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F40F9" w14:textId="77777777" w:rsidR="000B56AD" w:rsidRDefault="000B56AD" w:rsidP="00D846D2">
      <w:pPr>
        <w:spacing w:line="276" w:lineRule="auto"/>
        <w:jc w:val="center"/>
        <w:rPr>
          <w:rFonts w:asciiTheme="minorHAnsi" w:hAnsiTheme="minorHAnsi"/>
          <w:b/>
          <w:spacing w:val="-2"/>
          <w:sz w:val="28"/>
        </w:rPr>
      </w:pPr>
    </w:p>
    <w:p w14:paraId="362C4668" w14:textId="77777777" w:rsidR="003615CB" w:rsidRDefault="00880CEC" w:rsidP="00D846D2">
      <w:pPr>
        <w:pStyle w:val="BodyText"/>
        <w:ind w:left="0"/>
        <w:jc w:val="center"/>
        <w:rPr>
          <w:rFonts w:asciiTheme="minorHAnsi" w:hAnsiTheme="minorHAnsi"/>
          <w:b w:val="0"/>
          <w:bCs w:val="0"/>
        </w:rPr>
      </w:pPr>
      <w:r>
        <w:rPr>
          <w:rFonts w:asciiTheme="minorHAnsi" w:hAnsiTheme="minorHAnsi"/>
          <w:spacing w:val="-1"/>
        </w:rPr>
        <w:t>FOR OFFICIAL</w:t>
      </w:r>
      <w:r>
        <w:rPr>
          <w:rFonts w:asciiTheme="minorHAnsi" w:hAnsiTheme="minorHAnsi"/>
        </w:rPr>
        <w:t xml:space="preserve"> </w:t>
      </w:r>
      <w:r>
        <w:rPr>
          <w:rFonts w:asciiTheme="minorHAnsi" w:hAnsiTheme="minorHAnsi"/>
          <w:spacing w:val="-1"/>
        </w:rPr>
        <w:t>USE</w:t>
      </w:r>
      <w:r>
        <w:rPr>
          <w:rFonts w:asciiTheme="minorHAnsi" w:hAnsiTheme="minorHAnsi"/>
          <w:spacing w:val="3"/>
        </w:rPr>
        <w:t xml:space="preserve"> </w:t>
      </w:r>
      <w:r>
        <w:rPr>
          <w:rFonts w:asciiTheme="minorHAnsi" w:hAnsiTheme="minorHAnsi"/>
          <w:spacing w:val="-1"/>
        </w:rPr>
        <w:t>ONLY</w:t>
      </w:r>
    </w:p>
    <w:p w14:paraId="5B95D53A" w14:textId="77777777" w:rsidR="003615CB" w:rsidRDefault="00880CEC" w:rsidP="00D846D2">
      <w:pPr>
        <w:jc w:val="right"/>
        <w:rPr>
          <w:rFonts w:asciiTheme="minorHAnsi" w:hAnsiTheme="minorHAnsi"/>
          <w:spacing w:val="-1"/>
        </w:rPr>
      </w:pPr>
      <w:r>
        <w:rPr>
          <w:rFonts w:asciiTheme="minorHAnsi" w:hAnsiTheme="minorHAnsi"/>
        </w:rPr>
        <w:t>Report No:</w:t>
      </w:r>
      <w:r>
        <w:rPr>
          <w:rFonts w:asciiTheme="minorHAnsi" w:hAnsiTheme="minorHAnsi"/>
          <w:sz w:val="22"/>
          <w:szCs w:val="22"/>
        </w:rPr>
        <w:t xml:space="preserve"> </w:t>
      </w:r>
      <w:r w:rsidR="000375B5">
        <w:rPr>
          <w:rFonts w:asciiTheme="minorHAnsi" w:hAnsiTheme="minorHAnsi" w:cs="Times New Roman"/>
          <w:noProof/>
          <w:color w:val="auto"/>
        </w:rPr>
        <w:t>PAD5081</w:t>
      </w:r>
      <w:r>
        <w:rPr>
          <w:rFonts w:asciiTheme="minorHAnsi" w:hAnsiTheme="minorHAnsi"/>
          <w:spacing w:val="-1"/>
        </w:rPr>
        <w:t xml:space="preserve"> </w:t>
      </w:r>
    </w:p>
    <w:p w14:paraId="1E21FCEC" w14:textId="77777777" w:rsidR="00E94D9A" w:rsidRDefault="00E94D9A" w:rsidP="003615CB">
      <w:pPr>
        <w:jc w:val="center"/>
        <w:rPr>
          <w:rFonts w:asciiTheme="minorHAnsi" w:hAnsiTheme="minorHAnsi" w:cs="Times New Roman"/>
          <w:bCs/>
          <w:color w:val="262626" w:themeColor="text1" w:themeTint="D9"/>
          <w:kern w:val="24"/>
        </w:rPr>
      </w:pPr>
    </w:p>
    <w:p w14:paraId="61E8B0FE" w14:textId="77777777" w:rsidR="003615CB" w:rsidRDefault="00880CEC" w:rsidP="003615CB">
      <w:pPr>
        <w:jc w:val="center"/>
        <w:rPr>
          <w:rFonts w:asciiTheme="minorHAnsi" w:hAnsiTheme="minorHAnsi" w:cs="Times New Roman"/>
          <w:bCs/>
          <w:color w:val="262626" w:themeColor="text1" w:themeTint="D9"/>
          <w:kern w:val="24"/>
        </w:rPr>
      </w:pPr>
      <w:r>
        <w:rPr>
          <w:rFonts w:asciiTheme="minorHAnsi" w:hAnsiTheme="minorHAnsi" w:cs="Times New Roman"/>
          <w:bCs/>
          <w:color w:val="262626" w:themeColor="text1" w:themeTint="D9"/>
          <w:kern w:val="24"/>
        </w:rPr>
        <w:t>INTERNATIONAL DEVELOPMENT ASSOCIATION</w:t>
      </w:r>
    </w:p>
    <w:p w14:paraId="36DAFD2E" w14:textId="77777777" w:rsidR="003615CB" w:rsidRDefault="003615CB" w:rsidP="00D846D2">
      <w:pPr>
        <w:tabs>
          <w:tab w:val="left" w:pos="6690"/>
        </w:tabs>
        <w:jc w:val="center"/>
        <w:rPr>
          <w:rFonts w:asciiTheme="minorHAnsi" w:hAnsiTheme="minorHAnsi" w:cs="Times New Roman"/>
          <w:bCs/>
          <w:color w:val="262626" w:themeColor="text1" w:themeTint="D9"/>
          <w:kern w:val="24"/>
        </w:rPr>
      </w:pPr>
    </w:p>
    <w:p w14:paraId="0A2F9FB0" w14:textId="77777777" w:rsidR="003615CB" w:rsidRDefault="00880CEC" w:rsidP="003615CB">
      <w:pPr>
        <w:spacing w:line="360" w:lineRule="auto"/>
        <w:jc w:val="center"/>
        <w:rPr>
          <w:rFonts w:asciiTheme="minorHAnsi" w:hAnsiTheme="minorHAnsi" w:cs="Times New Roman"/>
          <w:caps/>
        </w:rPr>
      </w:pPr>
      <w:r w:rsidRPr="005E1B0B">
        <w:rPr>
          <w:rFonts w:asciiTheme="minorHAnsi" w:hAnsiTheme="minorHAnsi" w:cs="Times New Roman"/>
          <w:caps/>
        </w:rPr>
        <w:t xml:space="preserve">PROGRAM </w:t>
      </w:r>
      <w:r w:rsidR="002B4D49">
        <w:rPr>
          <w:rFonts w:asciiTheme="minorHAnsi" w:hAnsiTheme="minorHAnsi" w:cs="Times New Roman"/>
          <w:caps/>
        </w:rPr>
        <w:t>PAPER</w:t>
      </w:r>
    </w:p>
    <w:p w14:paraId="600DCB79" w14:textId="77777777" w:rsidR="003615CB" w:rsidRDefault="00880CEC" w:rsidP="003615CB">
      <w:pPr>
        <w:spacing w:line="360" w:lineRule="auto"/>
        <w:jc w:val="center"/>
        <w:rPr>
          <w:rFonts w:asciiTheme="minorHAnsi" w:hAnsiTheme="minorHAnsi" w:cs="Times New Roman"/>
          <w:caps/>
        </w:rPr>
      </w:pPr>
      <w:r>
        <w:rPr>
          <w:rFonts w:asciiTheme="minorHAnsi" w:hAnsiTheme="minorHAnsi" w:cs="Times New Roman"/>
          <w:caps/>
        </w:rPr>
        <w:t>ON A</w:t>
      </w:r>
    </w:p>
    <w:p w14:paraId="0C43C511" w14:textId="58105E5A" w:rsidR="00125A6E" w:rsidRPr="00415DE0" w:rsidRDefault="00880CEC" w:rsidP="00125A6E">
      <w:pPr>
        <w:jc w:val="center"/>
        <w:rPr>
          <w:rFonts w:ascii="Calibri" w:hAnsi="Calibri" w:cs="Times New Roman"/>
          <w:caps/>
        </w:rPr>
      </w:pPr>
      <w:r w:rsidRPr="00415DE0">
        <w:rPr>
          <w:rFonts w:ascii="Calibri" w:hAnsi="Calibri" w:cs="Times New Roman"/>
          <w:caps/>
        </w:rPr>
        <w:t xml:space="preserve">PROPOSED </w:t>
      </w:r>
      <w:r>
        <w:rPr>
          <w:rFonts w:ascii="Calibri" w:hAnsi="Calibri" w:cs="Times New Roman"/>
          <w:caps/>
        </w:rPr>
        <w:t>ADDITIONAL</w:t>
      </w:r>
      <w:r w:rsidRPr="00415DE0">
        <w:rPr>
          <w:rFonts w:ascii="Calibri" w:hAnsi="Calibri" w:cs="Times New Roman"/>
          <w:caps/>
        </w:rPr>
        <w:t xml:space="preserve"> GRANT</w:t>
      </w:r>
    </w:p>
    <w:p w14:paraId="1EEBC411" w14:textId="77777777" w:rsidR="003615CB" w:rsidRDefault="003615CB" w:rsidP="003615CB">
      <w:pPr>
        <w:jc w:val="center"/>
        <w:rPr>
          <w:rFonts w:asciiTheme="minorHAnsi" w:hAnsiTheme="minorHAnsi" w:cs="Times New Roman"/>
          <w:caps/>
        </w:rPr>
      </w:pPr>
    </w:p>
    <w:p w14:paraId="55CD7E11" w14:textId="249CCF59" w:rsidR="00504998" w:rsidRDefault="00880CEC" w:rsidP="00504998">
      <w:pPr>
        <w:spacing w:line="276" w:lineRule="auto"/>
        <w:jc w:val="center"/>
        <w:rPr>
          <w:rFonts w:asciiTheme="minorHAnsi" w:hAnsiTheme="minorHAnsi" w:cs="Times New Roman"/>
          <w:caps/>
        </w:rPr>
      </w:pPr>
      <w:r>
        <w:rPr>
          <w:rFonts w:asciiTheme="minorHAnsi" w:hAnsiTheme="minorHAnsi" w:cs="Times New Roman"/>
          <w:caps/>
        </w:rPr>
        <w:t>IN THE AMOUNT OF</w:t>
      </w:r>
      <w:r w:rsidR="00A2657B">
        <w:rPr>
          <w:rFonts w:asciiTheme="minorHAnsi" w:hAnsiTheme="minorHAnsi" w:cs="Times New Roman"/>
          <w:caps/>
        </w:rPr>
        <w:t xml:space="preserve"> SDR </w:t>
      </w:r>
      <w:r w:rsidR="00A54E05">
        <w:rPr>
          <w:rFonts w:asciiTheme="minorHAnsi" w:hAnsiTheme="minorHAnsi" w:cs="Times New Roman"/>
          <w:caps/>
        </w:rPr>
        <w:t>59.</w:t>
      </w:r>
      <w:r w:rsidR="00DB0D4F">
        <w:rPr>
          <w:rFonts w:asciiTheme="minorHAnsi" w:hAnsiTheme="minorHAnsi" w:cs="Times New Roman"/>
          <w:caps/>
        </w:rPr>
        <w:t>3</w:t>
      </w:r>
      <w:r w:rsidR="00A2657B">
        <w:rPr>
          <w:rFonts w:asciiTheme="minorHAnsi" w:hAnsiTheme="minorHAnsi" w:cs="Times New Roman"/>
          <w:caps/>
        </w:rPr>
        <w:t xml:space="preserve"> MILLION</w:t>
      </w:r>
    </w:p>
    <w:p w14:paraId="476A2D5D" w14:textId="3AD82A7F" w:rsidR="003615CB" w:rsidRDefault="00880CEC" w:rsidP="003615CB">
      <w:pPr>
        <w:jc w:val="center"/>
        <w:rPr>
          <w:rFonts w:asciiTheme="minorHAnsi" w:hAnsiTheme="minorHAnsi" w:cs="Times New Roman"/>
          <w:caps/>
        </w:rPr>
      </w:pPr>
      <w:r>
        <w:rPr>
          <w:rFonts w:asciiTheme="minorHAnsi" w:hAnsiTheme="minorHAnsi" w:cs="Times New Roman"/>
          <w:caps/>
        </w:rPr>
        <w:t>(</w:t>
      </w:r>
      <w:r w:rsidR="009A0A87">
        <w:rPr>
          <w:rFonts w:asciiTheme="minorHAnsi" w:hAnsiTheme="minorHAnsi" w:cs="Times New Roman"/>
          <w:caps/>
        </w:rPr>
        <w:t>US$</w:t>
      </w:r>
      <w:r w:rsidR="00A2657B">
        <w:rPr>
          <w:rFonts w:asciiTheme="minorHAnsi" w:hAnsiTheme="minorHAnsi" w:cs="Times New Roman"/>
          <w:caps/>
        </w:rPr>
        <w:t>80</w:t>
      </w:r>
      <w:r w:rsidR="009A0A87">
        <w:rPr>
          <w:rFonts w:asciiTheme="minorHAnsi" w:hAnsiTheme="minorHAnsi" w:cs="Times New Roman"/>
          <w:caps/>
        </w:rPr>
        <w:t xml:space="preserve"> </w:t>
      </w:r>
      <w:r w:rsidRPr="00415DE0">
        <w:rPr>
          <w:rFonts w:ascii="Calibri" w:hAnsi="Calibri" w:cs="Times New Roman"/>
          <w:caps/>
        </w:rPr>
        <w:t>MILLION EQUIVALENT</w:t>
      </w:r>
      <w:r>
        <w:rPr>
          <w:rFonts w:ascii="Calibri" w:hAnsi="Calibri" w:cs="Times New Roman"/>
          <w:caps/>
        </w:rPr>
        <w:t>)</w:t>
      </w:r>
    </w:p>
    <w:p w14:paraId="4F5B24CC" w14:textId="77777777" w:rsidR="003615CB" w:rsidRDefault="003615CB" w:rsidP="003615CB">
      <w:pPr>
        <w:jc w:val="center"/>
        <w:rPr>
          <w:rFonts w:asciiTheme="minorHAnsi" w:hAnsiTheme="minorHAnsi" w:cs="Times New Roman"/>
          <w:caps/>
        </w:rPr>
      </w:pPr>
    </w:p>
    <w:p w14:paraId="769F820B" w14:textId="0FA8CC2A" w:rsidR="003615CB" w:rsidRDefault="00880CEC" w:rsidP="003615CB">
      <w:pPr>
        <w:spacing w:line="276" w:lineRule="auto"/>
        <w:jc w:val="center"/>
        <w:rPr>
          <w:rFonts w:asciiTheme="minorHAnsi" w:hAnsiTheme="minorHAnsi" w:cs="Times New Roman"/>
          <w:caps/>
        </w:rPr>
      </w:pPr>
      <w:r>
        <w:rPr>
          <w:rFonts w:asciiTheme="minorHAnsi" w:hAnsiTheme="minorHAnsi" w:cs="Times New Roman"/>
          <w:caps/>
        </w:rPr>
        <w:t>TO THE</w:t>
      </w:r>
    </w:p>
    <w:p w14:paraId="604CDB54" w14:textId="77777777" w:rsidR="003615CB" w:rsidRDefault="003615CB" w:rsidP="003615CB">
      <w:pPr>
        <w:jc w:val="center"/>
        <w:rPr>
          <w:rFonts w:asciiTheme="minorHAnsi" w:hAnsiTheme="minorHAnsi" w:cs="Times New Roman"/>
          <w:caps/>
        </w:rPr>
      </w:pPr>
    </w:p>
    <w:p w14:paraId="7F86FEC0" w14:textId="0A599BD2" w:rsidR="003615CB" w:rsidRDefault="00A2657B" w:rsidP="003615CB">
      <w:pPr>
        <w:jc w:val="center"/>
        <w:rPr>
          <w:rFonts w:asciiTheme="minorHAnsi" w:hAnsiTheme="minorHAnsi" w:cs="Times New Roman"/>
          <w:caps/>
          <w:color w:val="auto"/>
        </w:rPr>
      </w:pPr>
      <w:r>
        <w:rPr>
          <w:rFonts w:asciiTheme="minorHAnsi" w:hAnsiTheme="minorHAnsi" w:cs="Times New Roman"/>
          <w:caps/>
          <w:color w:val="auto"/>
        </w:rPr>
        <w:t>REPUBLIC OF TAJIKISTAN</w:t>
      </w:r>
    </w:p>
    <w:p w14:paraId="78E818C3" w14:textId="77777777" w:rsidR="003615CB" w:rsidRPr="00381959" w:rsidRDefault="003615CB" w:rsidP="003615CB">
      <w:pPr>
        <w:jc w:val="center"/>
        <w:rPr>
          <w:rFonts w:asciiTheme="minorHAnsi" w:hAnsiTheme="minorHAnsi" w:cs="Times New Roman"/>
          <w:caps/>
          <w:color w:val="auto"/>
        </w:rPr>
      </w:pPr>
    </w:p>
    <w:p w14:paraId="7B0AEB58" w14:textId="14ED6065" w:rsidR="003615CB" w:rsidRDefault="00880CEC" w:rsidP="003615CB">
      <w:pPr>
        <w:spacing w:line="360" w:lineRule="auto"/>
        <w:jc w:val="center"/>
        <w:rPr>
          <w:rFonts w:asciiTheme="minorHAnsi" w:hAnsiTheme="minorHAnsi" w:cs="Times New Roman"/>
          <w:caps/>
        </w:rPr>
      </w:pPr>
      <w:r>
        <w:rPr>
          <w:rFonts w:asciiTheme="minorHAnsi" w:hAnsiTheme="minorHAnsi" w:cs="Times New Roman"/>
          <w:caps/>
        </w:rPr>
        <w:t>FOR</w:t>
      </w:r>
    </w:p>
    <w:p w14:paraId="6CF38E92" w14:textId="5C8FEEAB" w:rsidR="003615CB" w:rsidRDefault="00F46FEE" w:rsidP="003615CB">
      <w:pPr>
        <w:ind w:left="521" w:right="523"/>
        <w:jc w:val="center"/>
        <w:rPr>
          <w:rFonts w:asciiTheme="minorHAnsi" w:hAnsiTheme="minorHAnsi"/>
          <w:color w:val="auto"/>
          <w:spacing w:val="-1"/>
        </w:rPr>
      </w:pPr>
      <w:r>
        <w:rPr>
          <w:rFonts w:asciiTheme="minorHAnsi" w:hAnsiTheme="minorHAnsi" w:cs="Times New Roman"/>
          <w:noProof/>
        </w:rPr>
        <w:t>Additional Financing to Power Utility Financial Recovery Project</w:t>
      </w:r>
      <w:r w:rsidR="00880CEC">
        <w:rPr>
          <w:rFonts w:asciiTheme="minorHAnsi" w:hAnsiTheme="minorHAnsi" w:cs="Times New Roman"/>
          <w:caps/>
        </w:rPr>
        <w:br/>
      </w:r>
    </w:p>
    <w:p w14:paraId="18C3FE0D" w14:textId="6EE7F413" w:rsidR="00A2657B" w:rsidRPr="00381959" w:rsidRDefault="00EF10A7" w:rsidP="003615CB">
      <w:pPr>
        <w:ind w:left="521" w:right="523"/>
        <w:jc w:val="center"/>
        <w:rPr>
          <w:rFonts w:asciiTheme="minorHAnsi" w:eastAsia="Times New Roman" w:hAnsiTheme="minorHAnsi" w:cs="Times New Roman"/>
          <w:color w:val="auto"/>
        </w:rPr>
      </w:pPr>
      <w:r>
        <w:rPr>
          <w:rFonts w:asciiTheme="minorHAnsi" w:hAnsiTheme="minorHAnsi"/>
          <w:color w:val="auto"/>
          <w:spacing w:val="-1"/>
        </w:rPr>
        <w:t>June</w:t>
      </w:r>
      <w:r w:rsidR="00A2657B">
        <w:rPr>
          <w:rFonts w:asciiTheme="minorHAnsi" w:hAnsiTheme="minorHAnsi"/>
          <w:color w:val="auto"/>
          <w:spacing w:val="-1"/>
        </w:rPr>
        <w:t xml:space="preserve"> </w:t>
      </w:r>
      <w:r w:rsidR="007C4C70">
        <w:rPr>
          <w:rFonts w:asciiTheme="minorHAnsi" w:hAnsiTheme="minorHAnsi"/>
          <w:color w:val="auto"/>
          <w:spacing w:val="-1"/>
        </w:rPr>
        <w:t>3</w:t>
      </w:r>
      <w:r w:rsidR="00A2657B">
        <w:rPr>
          <w:rFonts w:asciiTheme="minorHAnsi" w:hAnsiTheme="minorHAnsi"/>
          <w:color w:val="auto"/>
          <w:spacing w:val="-1"/>
        </w:rPr>
        <w:t>, 2022</w:t>
      </w:r>
    </w:p>
    <w:p w14:paraId="56B15DC4" w14:textId="77777777" w:rsidR="003615CB" w:rsidRDefault="003615CB" w:rsidP="003615CB">
      <w:pPr>
        <w:jc w:val="center"/>
        <w:rPr>
          <w:rFonts w:asciiTheme="minorHAnsi" w:hAnsiTheme="minorHAnsi"/>
          <w:szCs w:val="22"/>
        </w:rPr>
      </w:pPr>
    </w:p>
    <w:p w14:paraId="71476397" w14:textId="77777777" w:rsidR="00A2657B" w:rsidRDefault="00A2657B" w:rsidP="003615CB">
      <w:pPr>
        <w:spacing w:line="276" w:lineRule="auto"/>
        <w:rPr>
          <w:rFonts w:asciiTheme="minorHAnsi" w:hAnsiTheme="minorHAnsi" w:cs="Times New Roman"/>
          <w:noProof/>
        </w:rPr>
      </w:pPr>
    </w:p>
    <w:p w14:paraId="6D67033D" w14:textId="1B42EB3E" w:rsidR="003615CB" w:rsidRPr="00442857" w:rsidRDefault="00880CEC" w:rsidP="003615CB">
      <w:pPr>
        <w:spacing w:line="276" w:lineRule="auto"/>
        <w:rPr>
          <w:rFonts w:asciiTheme="minorHAnsi" w:hAnsiTheme="minorHAnsi" w:cs="Times New Roman"/>
        </w:rPr>
      </w:pPr>
      <w:r w:rsidRPr="00442857">
        <w:rPr>
          <w:rFonts w:asciiTheme="minorHAnsi" w:hAnsiTheme="minorHAnsi" w:cs="Times New Roman"/>
          <w:noProof/>
        </w:rPr>
        <w:t>Energy &amp; Extractives Global Practice</w:t>
      </w:r>
    </w:p>
    <w:p w14:paraId="23F42F9A" w14:textId="62D98025" w:rsidR="003615CB" w:rsidRPr="008E0DF5" w:rsidRDefault="00CC0CCA" w:rsidP="003615CB">
      <w:pPr>
        <w:spacing w:line="276" w:lineRule="auto"/>
        <w:rPr>
          <w:rFonts w:asciiTheme="minorHAnsi" w:hAnsiTheme="minorHAnsi" w:cs="Times New Roman"/>
        </w:rPr>
      </w:pPr>
      <w:r w:rsidRPr="00442857">
        <w:rPr>
          <w:rFonts w:asciiTheme="minorHAnsi" w:hAnsiTheme="minorHAnsi" w:cs="Times New Roman"/>
          <w:noProof/>
        </w:rPr>
        <w:t>Europe And Central Asia Region</w:t>
      </w:r>
    </w:p>
    <w:p w14:paraId="69D2E4E9" w14:textId="7950C97A" w:rsidR="003615CB" w:rsidRDefault="003615CB" w:rsidP="003615CB">
      <w:pPr>
        <w:ind w:left="-288"/>
        <w:rPr>
          <w:rFonts w:asciiTheme="minorHAnsi" w:hAnsiTheme="minorHAnsi"/>
          <w:szCs w:val="22"/>
        </w:rPr>
      </w:pPr>
    </w:p>
    <w:p w14:paraId="2B4E4D00" w14:textId="75ECC041" w:rsidR="00A2657B" w:rsidRDefault="00A2657B" w:rsidP="003615CB">
      <w:pPr>
        <w:ind w:left="-288"/>
        <w:rPr>
          <w:rFonts w:asciiTheme="minorHAnsi" w:hAnsiTheme="minorHAnsi"/>
          <w:szCs w:val="22"/>
        </w:rPr>
      </w:pPr>
    </w:p>
    <w:p w14:paraId="169873DA" w14:textId="71A13DF2" w:rsidR="00A2657B" w:rsidRDefault="00A2657B" w:rsidP="003615CB">
      <w:pPr>
        <w:ind w:left="-288"/>
        <w:rPr>
          <w:rFonts w:asciiTheme="minorHAnsi" w:hAnsiTheme="minorHAnsi"/>
          <w:szCs w:val="22"/>
        </w:rPr>
      </w:pPr>
    </w:p>
    <w:p w14:paraId="51D25F41" w14:textId="1419489D" w:rsidR="00A2657B" w:rsidRDefault="00A2657B" w:rsidP="003615CB">
      <w:pPr>
        <w:ind w:left="-288"/>
        <w:rPr>
          <w:rFonts w:asciiTheme="minorHAnsi" w:hAnsiTheme="minorHAnsi"/>
          <w:szCs w:val="22"/>
        </w:rPr>
      </w:pPr>
    </w:p>
    <w:p w14:paraId="29037E3C" w14:textId="060E9D6A" w:rsidR="00A2657B" w:rsidRDefault="00A2657B" w:rsidP="003615CB">
      <w:pPr>
        <w:ind w:left="-288"/>
        <w:rPr>
          <w:rFonts w:asciiTheme="minorHAnsi" w:hAnsiTheme="minorHAnsi"/>
          <w:szCs w:val="22"/>
        </w:rPr>
      </w:pPr>
    </w:p>
    <w:p w14:paraId="79B9A845" w14:textId="62796B2E" w:rsidR="00A2657B" w:rsidRDefault="00A2657B" w:rsidP="003615CB">
      <w:pPr>
        <w:ind w:left="-288"/>
        <w:rPr>
          <w:rFonts w:asciiTheme="minorHAnsi" w:hAnsiTheme="minorHAnsi"/>
          <w:szCs w:val="22"/>
        </w:rPr>
      </w:pPr>
    </w:p>
    <w:p w14:paraId="6711B753" w14:textId="2DB2CF68" w:rsidR="00A2657B" w:rsidRDefault="00A2657B" w:rsidP="003615CB">
      <w:pPr>
        <w:ind w:left="-288"/>
        <w:rPr>
          <w:rFonts w:asciiTheme="minorHAnsi" w:hAnsiTheme="minorHAnsi"/>
          <w:szCs w:val="22"/>
        </w:rPr>
      </w:pPr>
    </w:p>
    <w:p w14:paraId="3FCBA3F8" w14:textId="025E3D1C" w:rsidR="00A2657B" w:rsidRDefault="00A2657B" w:rsidP="003615CB">
      <w:pPr>
        <w:ind w:left="-288"/>
        <w:rPr>
          <w:rFonts w:asciiTheme="minorHAnsi" w:hAnsiTheme="minorHAnsi"/>
          <w:szCs w:val="22"/>
        </w:rPr>
      </w:pPr>
    </w:p>
    <w:p w14:paraId="745B10BE" w14:textId="649E445B" w:rsidR="00A2657B" w:rsidRDefault="00A2657B" w:rsidP="003615CB">
      <w:pPr>
        <w:ind w:left="-288"/>
        <w:rPr>
          <w:rFonts w:asciiTheme="minorHAnsi" w:hAnsiTheme="minorHAnsi"/>
          <w:szCs w:val="22"/>
        </w:rPr>
      </w:pPr>
    </w:p>
    <w:p w14:paraId="26B1473A" w14:textId="7A0652AF" w:rsidR="00A2657B" w:rsidRDefault="00A2657B" w:rsidP="003615CB">
      <w:pPr>
        <w:ind w:left="-288"/>
        <w:rPr>
          <w:rFonts w:asciiTheme="minorHAnsi" w:hAnsiTheme="minorHAnsi"/>
          <w:szCs w:val="22"/>
        </w:rPr>
      </w:pPr>
    </w:p>
    <w:p w14:paraId="5AA4A0CD" w14:textId="77777777" w:rsidR="003D03F1" w:rsidRDefault="003D03F1" w:rsidP="003D03F1">
      <w:pPr>
        <w:rPr>
          <w:rFonts w:asciiTheme="minorHAnsi" w:hAnsiTheme="minorHAnsi"/>
          <w:szCs w:val="22"/>
        </w:rPr>
      </w:pPr>
    </w:p>
    <w:p w14:paraId="78B9B05C" w14:textId="77777777" w:rsidR="003D03F1" w:rsidRDefault="00880CEC" w:rsidP="003D03F1">
      <w:pPr>
        <w:ind w:left="-288"/>
        <w:jc w:val="center"/>
        <w:rPr>
          <w:rFonts w:asciiTheme="minorHAnsi" w:hAnsiTheme="minorHAnsi"/>
          <w:szCs w:val="22"/>
        </w:rPr>
      </w:pPr>
      <w:r>
        <w:rPr>
          <w:rFonts w:ascii="Times New Roman" w:eastAsiaTheme="minorHAnsi" w:hAnsi="Times New Roman" w:cs="Times New Roman"/>
          <w:noProof/>
          <w:color w:val="auto"/>
        </w:rPr>
        <mc:AlternateContent>
          <mc:Choice Requires="wps">
            <w:drawing>
              <wp:inline distT="0" distB="0" distL="0" distR="0" wp14:anchorId="2C2630D4" wp14:editId="502C1094">
                <wp:extent cx="6506845" cy="561975"/>
                <wp:effectExtent l="0" t="0" r="27305" b="28575"/>
                <wp:docPr id="32809" name="Rectangle 32809"/>
                <wp:cNvGraphicFramePr/>
                <a:graphic xmlns:a="http://schemas.openxmlformats.org/drawingml/2006/main">
                  <a:graphicData uri="http://schemas.microsoft.com/office/word/2010/wordprocessingShape">
                    <wps:wsp>
                      <wps:cNvSpPr/>
                      <wps:spPr>
                        <a:xfrm>
                          <a:off x="0" y="0"/>
                          <a:ext cx="6506845" cy="561975"/>
                        </a:xfrm>
                        <a:prstGeom prst="rect">
                          <a:avLst/>
                        </a:prstGeom>
                        <a:solidFill>
                          <a:schemeClr val="bg1"/>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131E20" w14:textId="77777777" w:rsidR="003F1DD8" w:rsidRDefault="00880CEC" w:rsidP="003D03F1">
                            <w:pPr>
                              <w:rPr>
                                <w:rFonts w:asciiTheme="minorHAnsi" w:hAnsiTheme="minorHAnsi"/>
                                <w:color w:val="808080" w:themeColor="background1" w:themeShade="80"/>
                                <w:sz w:val="22"/>
                                <w:szCs w:val="22"/>
                              </w:rPr>
                            </w:pPr>
                            <w:r>
                              <w:rPr>
                                <w:rFonts w:asciiTheme="minorHAnsi" w:eastAsiaTheme="minorHAnsi" w:hAnsiTheme="minorHAnsi"/>
                                <w:color w:val="808080" w:themeColor="background1" w:themeShade="80"/>
                                <w:sz w:val="22"/>
                                <w:szCs w:val="22"/>
                              </w:rPr>
                              <w:t>This document has a restricted distribution and may be used by recipients only in the performance of their official duties.  Its contents may not otherwise be disclosed without World Bank authorization.</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w:pict>
              <v:rect w14:anchorId="2C2630D4" id="Rectangle 32809" o:spid="_x0000_s1026" style="width:512.35pt;height:4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" fillcolor="white [3212]" strokecolor="#d8d8d8 [2732]" strokeweight="1pt">
                <v:textbox>
                  <w:txbxContent>
                    <w:p w14:paraId="3F131E20" w14:textId="77777777" w:rsidR="003F1DD8" w:rsidRDefault="00880CEC" w:rsidP="003D03F1">
                      <w:pPr>
                        <w:rPr>
                          <w:rFonts w:asciiTheme="minorHAnsi" w:hAnsiTheme="minorHAnsi"/>
                          <w:color w:val="808080" w:themeColor="background1" w:themeShade="80"/>
                          <w:sz w:val="22"/>
                          <w:szCs w:val="22"/>
                        </w:rPr>
                      </w:pPr>
                      <w:r>
                        <w:rPr>
                          <w:rFonts w:asciiTheme="minorHAnsi" w:eastAsiaTheme="minorHAnsi" w:hAnsiTheme="minorHAnsi"/>
                          <w:color w:val="808080" w:themeColor="background1" w:themeShade="80"/>
                          <w:sz w:val="22"/>
                          <w:szCs w:val="22"/>
                        </w:rPr>
                        <w:t>This document has a restricted distribution and may be used by recipients only in the performance of their official duties.  Its contents may not otherwise be disclosed without World Bank authorization.</w:t>
                      </w:r>
                    </w:p>
                  </w:txbxContent>
                </v:textbox>
                <w10:anchorlock/>
              </v:rect>
            </w:pict>
          </mc:Fallback>
        </mc:AlternateContent>
      </w:r>
    </w:p>
    <w:p w14:paraId="1ECFDC88" w14:textId="77777777" w:rsidR="00B54D7A" w:rsidRDefault="00B54D7A" w:rsidP="003D03F1">
      <w:pPr>
        <w:jc w:val="center"/>
        <w:rPr>
          <w:rFonts w:asciiTheme="minorHAnsi" w:hAnsiTheme="minorHAnsi"/>
          <w:szCs w:val="22"/>
        </w:rPr>
      </w:pPr>
    </w:p>
    <w:sdt>
      <w:sdtPr>
        <w:id w:val="1350606895"/>
        <w:lock w:val="sdtContentLocked"/>
        <w:placeholder>
          <w:docPart w:val="13D594FD1A31415699710F65CA904793"/>
        </w:placeholder>
      </w:sdtPr>
      <w:sdtContent>
        <w:p w14:paraId="274C11E4" w14:textId="77777777" w:rsidR="003D03F1" w:rsidRDefault="00880CEC" w:rsidP="00144483">
          <w:pPr>
            <w:pStyle w:val="Normal1"/>
            <w:spacing w:after="0" w:line="14" w:lineRule="exact"/>
          </w:pPr>
          <w:r>
            <w:t xml:space="preserve"> </w:t>
          </w:r>
        </w:p>
      </w:sdtContent>
    </w:sdt>
    <w:p w14:paraId="2C57326B" w14:textId="45BA2738" w:rsidR="00CE04DD" w:rsidRDefault="00CE04DD" w:rsidP="00144483">
      <w:pPr>
        <w:pStyle w:val="Normal1"/>
        <w:spacing w:after="0" w:line="14" w:lineRule="exact"/>
      </w:pPr>
    </w:p>
    <w:p w14:paraId="2835FD80" w14:textId="77777777" w:rsidR="003D03F1" w:rsidRDefault="003D03F1" w:rsidP="003D03F1">
      <w:pPr>
        <w:rPr>
          <w:rFonts w:asciiTheme="minorHAnsi" w:hAnsiTheme="minorHAnsi"/>
          <w:szCs w:val="22"/>
        </w:rPr>
      </w:pPr>
    </w:p>
    <w:tbl>
      <w:tblPr>
        <w:tblStyle w:val="TableGrid"/>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4F0F3F" w14:paraId="3DA811FE" w14:textId="77777777" w:rsidTr="00CB3A8D">
        <w:trPr>
          <w:jc w:val="center"/>
        </w:trPr>
        <w:tc>
          <w:tcPr>
            <w:tcW w:w="9450" w:type="dxa"/>
            <w:vAlign w:val="center"/>
          </w:tcPr>
          <w:p w14:paraId="3A4AEE0B" w14:textId="77777777" w:rsidR="003D03F1" w:rsidRDefault="00880CEC" w:rsidP="00CB3A8D">
            <w:pPr>
              <w:jc w:val="center"/>
              <w:rPr>
                <w:rFonts w:asciiTheme="minorHAnsi" w:hAnsiTheme="minorHAnsi" w:cs="Times New Roman"/>
              </w:rPr>
            </w:pPr>
            <w:r>
              <w:rPr>
                <w:noProof/>
              </w:rPr>
              <mc:AlternateContent>
                <mc:Choice Requires="wps">
                  <w:drawing>
                    <wp:anchor distT="0" distB="0" distL="114300" distR="114300" simplePos="0" relativeHeight="251658240" behindDoc="0" locked="0" layoutInCell="1" allowOverlap="1" wp14:anchorId="2100D28B" wp14:editId="3799E5FB">
                      <wp:simplePos x="0" y="0"/>
                      <wp:positionH relativeFrom="column">
                        <wp:posOffset>1762125</wp:posOffset>
                      </wp:positionH>
                      <wp:positionV relativeFrom="paragraph">
                        <wp:posOffset>155575</wp:posOffset>
                      </wp:positionV>
                      <wp:extent cx="0" cy="0"/>
                      <wp:effectExtent l="0" t="0" r="0" b="0"/>
                      <wp:wrapNone/>
                      <wp:docPr id="247"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BDD6EE"/>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247" o:spid="_x0000_s1028" style="mso-height-percent:0;mso-height-relative:margin;mso-width-percent:0;mso-width-relative:margin;mso-wrap-distance-bottom:0;mso-wrap-distance-left:9pt;mso-wrap-distance-right:9pt;mso-wrap-distance-top:0;mso-wrap-style:square;position:absolute;visibility:visible;z-index:251659264" from="138.75pt,12.25pt" to="138.75pt,12.25pt" strokecolor="#bdd6ee" strokeweight="0.5pt">
                      <v:stroke joinstyle="miter"/>
                    </v:line>
                  </w:pict>
                </mc:Fallback>
              </mc:AlternateContent>
            </w:r>
            <w:r>
              <w:rPr>
                <w:rFonts w:asciiTheme="minorHAnsi" w:hAnsiTheme="minorHAnsi" w:cs="Times New Roman"/>
              </w:rPr>
              <w:t xml:space="preserve">CURRENCY EQUIVALENTS </w:t>
            </w:r>
          </w:p>
          <w:p w14:paraId="679AEDF7" w14:textId="77777777" w:rsidR="003D03F1" w:rsidRDefault="003D03F1" w:rsidP="00CB3A8D">
            <w:pPr>
              <w:jc w:val="center"/>
              <w:rPr>
                <w:rFonts w:asciiTheme="minorHAnsi" w:hAnsiTheme="minorHAnsi" w:cs="Times New Roman"/>
              </w:rPr>
            </w:pPr>
          </w:p>
        </w:tc>
      </w:tr>
      <w:tr w:rsidR="004F0F3F" w14:paraId="3958537D" w14:textId="77777777" w:rsidTr="00CB3A8D">
        <w:trPr>
          <w:trHeight w:val="288"/>
          <w:jc w:val="center"/>
        </w:trPr>
        <w:tc>
          <w:tcPr>
            <w:tcW w:w="9450" w:type="dxa"/>
            <w:vAlign w:val="center"/>
            <w:hideMark/>
          </w:tcPr>
          <w:p w14:paraId="73C72160" w14:textId="0CF9E5A5" w:rsidR="003D03F1" w:rsidRDefault="00880CEC" w:rsidP="00CB3A8D">
            <w:pPr>
              <w:jc w:val="center"/>
              <w:rPr>
                <w:rFonts w:asciiTheme="minorHAnsi" w:hAnsiTheme="minorHAnsi" w:cs="Times New Roman"/>
                <w:color w:val="595959" w:themeColor="text1" w:themeTint="A6"/>
              </w:rPr>
            </w:pPr>
            <w:r>
              <w:rPr>
                <w:rFonts w:asciiTheme="minorHAnsi" w:hAnsiTheme="minorHAnsi" w:cs="Times New Roman"/>
                <w:color w:val="595959" w:themeColor="text1" w:themeTint="A6"/>
              </w:rPr>
              <w:t xml:space="preserve">(Exchange Rate Effective </w:t>
            </w:r>
            <w:r w:rsidR="00EF10A7">
              <w:rPr>
                <w:rFonts w:asciiTheme="minorHAnsi" w:hAnsiTheme="minorHAnsi" w:cs="Times New Roman"/>
                <w:noProof/>
                <w:color w:val="595959" w:themeColor="text1" w:themeTint="A6"/>
              </w:rPr>
              <w:t>May 31</w:t>
            </w:r>
            <w:r>
              <w:rPr>
                <w:rFonts w:asciiTheme="minorHAnsi" w:hAnsiTheme="minorHAnsi" w:cs="Times New Roman"/>
                <w:noProof/>
                <w:color w:val="595959" w:themeColor="text1" w:themeTint="A6"/>
              </w:rPr>
              <w:t>, 2022</w:t>
            </w:r>
            <w:r>
              <w:rPr>
                <w:rFonts w:asciiTheme="minorHAnsi" w:hAnsiTheme="minorHAnsi" w:cs="Times New Roman"/>
                <w:color w:val="595959" w:themeColor="text1" w:themeTint="A6"/>
              </w:rPr>
              <w:t>)</w:t>
            </w:r>
          </w:p>
        </w:tc>
      </w:tr>
      <w:tr w:rsidR="004F0F3F" w14:paraId="4FE022D1" w14:textId="77777777" w:rsidTr="00CB3A8D">
        <w:trPr>
          <w:trHeight w:val="20"/>
          <w:jc w:val="center"/>
        </w:trPr>
        <w:tc>
          <w:tcPr>
            <w:tcW w:w="9450" w:type="dxa"/>
            <w:vAlign w:val="center"/>
          </w:tcPr>
          <w:p w14:paraId="0C87C6BE" w14:textId="77777777" w:rsidR="003D03F1" w:rsidRDefault="003D03F1" w:rsidP="00CB3A8D">
            <w:pPr>
              <w:jc w:val="center"/>
              <w:rPr>
                <w:rFonts w:asciiTheme="minorHAnsi" w:hAnsiTheme="minorHAnsi" w:cs="Times New Roman"/>
              </w:rPr>
            </w:pPr>
          </w:p>
        </w:tc>
      </w:tr>
      <w:tr w:rsidR="004F0F3F" w14:paraId="24AC2CB8" w14:textId="77777777" w:rsidTr="00CB3A8D">
        <w:trPr>
          <w:jc w:val="center"/>
        </w:trPr>
        <w:tc>
          <w:tcPr>
            <w:tcW w:w="9450" w:type="dxa"/>
            <w:vAlign w:val="center"/>
            <w:hideMark/>
          </w:tcPr>
          <w:tbl>
            <w:tblPr>
              <w:tblStyle w:val="TableGrid"/>
              <w:tblW w:w="0" w:type="auto"/>
              <w:tblInd w:w="358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90"/>
              <w:gridCol w:w="2070"/>
            </w:tblGrid>
            <w:tr w:rsidR="004F0F3F" w14:paraId="3FD8869C" w14:textId="77777777" w:rsidTr="00CB3A8D">
              <w:trPr>
                <w:trHeight w:val="432"/>
              </w:trPr>
              <w:tc>
                <w:tcPr>
                  <w:tcW w:w="1890" w:type="dxa"/>
                  <w:tcBorders>
                    <w:top w:val="nil"/>
                    <w:left w:val="nil"/>
                    <w:bottom w:val="dashed" w:sz="4" w:space="0" w:color="D9D9D9" w:themeColor="background1" w:themeShade="D9"/>
                    <w:right w:val="nil"/>
                  </w:tcBorders>
                  <w:vAlign w:val="center"/>
                  <w:hideMark/>
                </w:tcPr>
                <w:p w14:paraId="64A483D1" w14:textId="77777777" w:rsidR="003D03F1" w:rsidRDefault="00880CEC" w:rsidP="00CB3A8D">
                  <w:pPr>
                    <w:ind w:left="-900" w:firstLine="900"/>
                    <w:jc w:val="right"/>
                    <w:rPr>
                      <w:rFonts w:asciiTheme="minorHAnsi" w:hAnsiTheme="minorHAnsi" w:cs="Times New Roman"/>
                    </w:rPr>
                  </w:pPr>
                  <w:r>
                    <w:rPr>
                      <w:rFonts w:asciiTheme="minorHAnsi" w:hAnsiTheme="minorHAnsi" w:cs="Times New Roman"/>
                    </w:rPr>
                    <w:t xml:space="preserve">Currency </w:t>
                  </w:r>
                  <w:proofErr w:type="gramStart"/>
                  <w:r>
                    <w:rPr>
                      <w:rFonts w:asciiTheme="minorHAnsi" w:hAnsiTheme="minorHAnsi" w:cs="Times New Roman"/>
                    </w:rPr>
                    <w:t>Unit  =</w:t>
                  </w:r>
                  <w:proofErr w:type="gramEnd"/>
                  <w:r>
                    <w:rPr>
                      <w:rFonts w:asciiTheme="minorHAnsi" w:hAnsiTheme="minorHAnsi" w:cs="Times New Roman"/>
                    </w:rPr>
                    <w:t xml:space="preserve">                                    </w:t>
                  </w:r>
                </w:p>
              </w:tc>
              <w:tc>
                <w:tcPr>
                  <w:tcW w:w="2070" w:type="dxa"/>
                  <w:tcBorders>
                    <w:top w:val="nil"/>
                    <w:left w:val="nil"/>
                    <w:bottom w:val="dashed" w:sz="4" w:space="0" w:color="D9D9D9" w:themeColor="background1" w:themeShade="D9"/>
                    <w:right w:val="nil"/>
                  </w:tcBorders>
                  <w:vAlign w:val="center"/>
                </w:tcPr>
                <w:p w14:paraId="1661C53E" w14:textId="411CADB7" w:rsidR="003D03F1" w:rsidRDefault="00A2657B" w:rsidP="00CB3A8D">
                  <w:pPr>
                    <w:rPr>
                      <w:rFonts w:asciiTheme="minorHAnsi" w:hAnsiTheme="minorHAnsi" w:cs="Times New Roman"/>
                    </w:rPr>
                  </w:pPr>
                  <w:r>
                    <w:rPr>
                      <w:rFonts w:asciiTheme="minorHAnsi" w:hAnsiTheme="minorHAnsi" w:cs="Times New Roman"/>
                    </w:rPr>
                    <w:t>Tajiki somoni</w:t>
                  </w:r>
                </w:p>
              </w:tc>
            </w:tr>
            <w:tr w:rsidR="004F0F3F" w14:paraId="30BCEFF7" w14:textId="77777777" w:rsidTr="00CB3A8D">
              <w:trPr>
                <w:trHeight w:val="432"/>
              </w:trPr>
              <w:tc>
                <w:tcPr>
                  <w:tcW w:w="1890" w:type="dxa"/>
                  <w:tcBorders>
                    <w:top w:val="dashed" w:sz="4" w:space="0" w:color="D9D9D9" w:themeColor="background1" w:themeShade="D9"/>
                    <w:left w:val="nil"/>
                    <w:bottom w:val="dashed" w:sz="4" w:space="0" w:color="D9D9D9" w:themeColor="background1" w:themeShade="D9"/>
                    <w:right w:val="nil"/>
                  </w:tcBorders>
                  <w:vAlign w:val="center"/>
                  <w:hideMark/>
                </w:tcPr>
                <w:p w14:paraId="70B0D327" w14:textId="2311606C" w:rsidR="003D03F1" w:rsidRDefault="00A2657B" w:rsidP="00CB3A8D">
                  <w:pPr>
                    <w:jc w:val="right"/>
                    <w:rPr>
                      <w:rFonts w:asciiTheme="minorHAnsi" w:hAnsiTheme="minorHAnsi" w:cs="Times New Roman"/>
                    </w:rPr>
                  </w:pPr>
                  <w:r>
                    <w:rPr>
                      <w:rFonts w:asciiTheme="minorHAnsi" w:hAnsiTheme="minorHAnsi" w:cs="Times New Roman"/>
                    </w:rPr>
                    <w:t>TJS 12.45</w:t>
                  </w:r>
                  <w:r w:rsidR="00880CEC">
                    <w:rPr>
                      <w:rFonts w:asciiTheme="minorHAnsi" w:hAnsiTheme="minorHAnsi" w:cs="Times New Roman"/>
                    </w:rPr>
                    <w:t xml:space="preserve"> =</w:t>
                  </w:r>
                </w:p>
              </w:tc>
              <w:tc>
                <w:tcPr>
                  <w:tcW w:w="2070" w:type="dxa"/>
                  <w:tcBorders>
                    <w:top w:val="dashed" w:sz="4" w:space="0" w:color="D9D9D9" w:themeColor="background1" w:themeShade="D9"/>
                    <w:left w:val="nil"/>
                    <w:bottom w:val="dashed" w:sz="4" w:space="0" w:color="D9D9D9" w:themeColor="background1" w:themeShade="D9"/>
                    <w:right w:val="nil"/>
                  </w:tcBorders>
                  <w:vAlign w:val="center"/>
                  <w:hideMark/>
                </w:tcPr>
                <w:p w14:paraId="4AA1801F" w14:textId="77777777" w:rsidR="003D03F1" w:rsidRDefault="00880CEC" w:rsidP="00CB3A8D">
                  <w:pPr>
                    <w:rPr>
                      <w:rFonts w:asciiTheme="minorHAnsi" w:hAnsiTheme="minorHAnsi" w:cs="Times New Roman"/>
                    </w:rPr>
                  </w:pPr>
                  <w:r>
                    <w:rPr>
                      <w:rFonts w:asciiTheme="minorHAnsi" w:hAnsiTheme="minorHAnsi" w:cs="Times New Roman"/>
                    </w:rPr>
                    <w:t>US$1</w:t>
                  </w:r>
                </w:p>
              </w:tc>
            </w:tr>
            <w:tr w:rsidR="004F0F3F" w14:paraId="51613E26" w14:textId="77777777" w:rsidTr="00CB3A8D">
              <w:trPr>
                <w:trHeight w:val="432"/>
              </w:trPr>
              <w:tc>
                <w:tcPr>
                  <w:tcW w:w="1890" w:type="dxa"/>
                  <w:tcBorders>
                    <w:top w:val="dashed" w:sz="4" w:space="0" w:color="D9D9D9" w:themeColor="background1" w:themeShade="D9"/>
                    <w:left w:val="nil"/>
                    <w:bottom w:val="nil"/>
                    <w:right w:val="nil"/>
                  </w:tcBorders>
                  <w:vAlign w:val="center"/>
                  <w:hideMark/>
                </w:tcPr>
                <w:p w14:paraId="5B4EB43D" w14:textId="04EFDD4B" w:rsidR="003D03F1" w:rsidRDefault="00880CEC" w:rsidP="00CB3A8D">
                  <w:pPr>
                    <w:jc w:val="right"/>
                    <w:rPr>
                      <w:rFonts w:asciiTheme="minorHAnsi" w:hAnsiTheme="minorHAnsi" w:cs="Times New Roman"/>
                    </w:rPr>
                  </w:pPr>
                  <w:r>
                    <w:rPr>
                      <w:rFonts w:asciiTheme="minorHAnsi" w:hAnsiTheme="minorHAnsi" w:cs="Times New Roman"/>
                    </w:rPr>
                    <w:t>US$</w:t>
                  </w:r>
                  <w:r w:rsidR="00A2657B">
                    <w:rPr>
                      <w:rFonts w:asciiTheme="minorHAnsi" w:hAnsiTheme="minorHAnsi" w:cs="Times New Roman"/>
                    </w:rPr>
                    <w:t>1.</w:t>
                  </w:r>
                  <w:proofErr w:type="gramStart"/>
                  <w:r w:rsidR="00A2657B">
                    <w:rPr>
                      <w:rFonts w:asciiTheme="minorHAnsi" w:hAnsiTheme="minorHAnsi" w:cs="Times New Roman"/>
                    </w:rPr>
                    <w:t>34</w:t>
                  </w:r>
                  <w:r>
                    <w:rPr>
                      <w:rFonts w:asciiTheme="minorHAnsi" w:hAnsiTheme="minorHAnsi" w:cs="Times New Roman"/>
                    </w:rPr>
                    <w:t xml:space="preserve">  =</w:t>
                  </w:r>
                  <w:proofErr w:type="gramEnd"/>
                </w:p>
              </w:tc>
              <w:tc>
                <w:tcPr>
                  <w:tcW w:w="2070" w:type="dxa"/>
                  <w:tcBorders>
                    <w:top w:val="dashed" w:sz="4" w:space="0" w:color="D9D9D9" w:themeColor="background1" w:themeShade="D9"/>
                    <w:left w:val="nil"/>
                    <w:bottom w:val="nil"/>
                    <w:right w:val="nil"/>
                  </w:tcBorders>
                  <w:vAlign w:val="center"/>
                  <w:hideMark/>
                </w:tcPr>
                <w:p w14:paraId="75657C5F" w14:textId="77777777" w:rsidR="003D03F1" w:rsidRDefault="00880CEC" w:rsidP="00CB3A8D">
                  <w:pPr>
                    <w:rPr>
                      <w:rFonts w:asciiTheme="minorHAnsi" w:hAnsiTheme="minorHAnsi" w:cs="Times New Roman"/>
                    </w:rPr>
                  </w:pPr>
                  <w:r>
                    <w:rPr>
                      <w:rFonts w:asciiTheme="minorHAnsi" w:hAnsiTheme="minorHAnsi" w:cs="Times New Roman"/>
                    </w:rPr>
                    <w:t>SDR 1</w:t>
                  </w:r>
                </w:p>
              </w:tc>
            </w:tr>
          </w:tbl>
          <w:p w14:paraId="1A9A188A" w14:textId="77777777" w:rsidR="003D03F1" w:rsidRDefault="003D03F1" w:rsidP="00CB3A8D">
            <w:pPr>
              <w:jc w:val="center"/>
              <w:rPr>
                <w:rFonts w:asciiTheme="minorHAnsi" w:hAnsiTheme="minorHAnsi" w:cs="Times New Roman"/>
              </w:rPr>
            </w:pPr>
          </w:p>
        </w:tc>
      </w:tr>
      <w:tr w:rsidR="004F0F3F" w14:paraId="36237F5A" w14:textId="77777777" w:rsidTr="00CB3A8D">
        <w:trPr>
          <w:jc w:val="center"/>
        </w:trPr>
        <w:tc>
          <w:tcPr>
            <w:tcW w:w="9450" w:type="dxa"/>
            <w:vAlign w:val="center"/>
          </w:tcPr>
          <w:p w14:paraId="7C3C465D" w14:textId="77777777" w:rsidR="003D03F1" w:rsidRDefault="003D03F1" w:rsidP="00CB3A8D">
            <w:pPr>
              <w:ind w:left="-900" w:firstLine="900"/>
              <w:jc w:val="center"/>
              <w:rPr>
                <w:rFonts w:asciiTheme="minorHAnsi" w:hAnsiTheme="minorHAnsi" w:cs="Times New Roman"/>
              </w:rPr>
            </w:pPr>
          </w:p>
          <w:p w14:paraId="2F644E7B" w14:textId="77777777" w:rsidR="003D03F1" w:rsidRDefault="00880CEC" w:rsidP="00CB3A8D">
            <w:pPr>
              <w:ind w:left="-900" w:firstLine="900"/>
              <w:jc w:val="center"/>
              <w:rPr>
                <w:rFonts w:asciiTheme="minorHAnsi" w:hAnsiTheme="minorHAnsi" w:cs="Times New Roman"/>
              </w:rPr>
            </w:pPr>
            <w:r>
              <w:rPr>
                <w:rFonts w:asciiTheme="minorHAnsi" w:hAnsiTheme="minorHAnsi" w:cs="Times New Roman"/>
              </w:rPr>
              <w:t>FISCAL YEAR</w:t>
            </w:r>
          </w:p>
        </w:tc>
      </w:tr>
      <w:tr w:rsidR="004F0F3F" w14:paraId="5562DF91" w14:textId="77777777" w:rsidTr="00CB3A8D">
        <w:trPr>
          <w:trHeight w:val="297"/>
          <w:jc w:val="center"/>
        </w:trPr>
        <w:tc>
          <w:tcPr>
            <w:tcW w:w="9450" w:type="dxa"/>
            <w:vAlign w:val="center"/>
            <w:hideMark/>
          </w:tcPr>
          <w:p w14:paraId="0AD98228" w14:textId="77777777" w:rsidR="003D03F1" w:rsidRDefault="00880CEC" w:rsidP="00CB3A8D">
            <w:pPr>
              <w:ind w:left="-900" w:firstLine="900"/>
              <w:jc w:val="center"/>
              <w:rPr>
                <w:rFonts w:asciiTheme="minorHAnsi" w:hAnsiTheme="minorHAnsi" w:cs="Times New Roman"/>
              </w:rPr>
            </w:pPr>
            <w:r>
              <w:rPr>
                <w:rFonts w:asciiTheme="minorHAnsi" w:hAnsiTheme="minorHAnsi" w:cs="Times New Roman"/>
              </w:rPr>
              <w:t>January 1 - December 31</w:t>
            </w:r>
          </w:p>
        </w:tc>
      </w:tr>
    </w:tbl>
    <w:p w14:paraId="4D27AFDE" w14:textId="77777777" w:rsidR="003D03F1" w:rsidRPr="00501672" w:rsidRDefault="003D03F1" w:rsidP="003D03F1">
      <w:pPr>
        <w:ind w:left="-907"/>
        <w:rPr>
          <w:rFonts w:asciiTheme="minorHAnsi" w:hAnsiTheme="minorHAnsi"/>
          <w:sz w:val="20"/>
        </w:rPr>
      </w:pPr>
    </w:p>
    <w:p w14:paraId="0692AA99" w14:textId="77777777" w:rsidR="003D03F1" w:rsidRPr="00501672" w:rsidRDefault="003D03F1" w:rsidP="003D03F1">
      <w:pPr>
        <w:ind w:left="-907"/>
        <w:rPr>
          <w:rFonts w:asciiTheme="minorHAnsi" w:hAnsiTheme="minorHAnsi"/>
          <w:sz w:val="20"/>
        </w:rPr>
      </w:pPr>
    </w:p>
    <w:p w14:paraId="43A765FB" w14:textId="77777777" w:rsidR="003D03F1" w:rsidRPr="00501672" w:rsidRDefault="003D03F1" w:rsidP="003D03F1">
      <w:pPr>
        <w:ind w:left="-907"/>
        <w:rPr>
          <w:rFonts w:asciiTheme="minorHAnsi" w:hAnsiTheme="minorHAnsi"/>
          <w:sz w:val="20"/>
        </w:rPr>
      </w:pPr>
    </w:p>
    <w:p w14:paraId="08002315" w14:textId="77777777" w:rsidR="003D03F1" w:rsidRPr="00501672" w:rsidRDefault="003D03F1" w:rsidP="003D03F1">
      <w:pPr>
        <w:ind w:left="-907"/>
        <w:rPr>
          <w:rFonts w:asciiTheme="minorHAnsi" w:hAnsiTheme="minorHAnsi"/>
          <w:sz w:val="20"/>
        </w:rPr>
      </w:pPr>
    </w:p>
    <w:p w14:paraId="084E8864" w14:textId="77777777" w:rsidR="003D03F1" w:rsidRPr="00501672" w:rsidRDefault="003D03F1" w:rsidP="003D03F1">
      <w:pPr>
        <w:ind w:left="-907"/>
        <w:rPr>
          <w:rFonts w:asciiTheme="minorHAnsi" w:hAnsiTheme="minorHAnsi"/>
          <w:sz w:val="20"/>
        </w:rPr>
      </w:pPr>
    </w:p>
    <w:p w14:paraId="47D31ACD" w14:textId="77777777" w:rsidR="003D03F1" w:rsidRPr="00501672" w:rsidRDefault="003D03F1" w:rsidP="003D03F1">
      <w:pPr>
        <w:ind w:left="-907"/>
        <w:rPr>
          <w:rFonts w:asciiTheme="minorHAnsi" w:hAnsiTheme="minorHAnsi"/>
          <w:sz w:val="20"/>
        </w:rPr>
      </w:pPr>
    </w:p>
    <w:p w14:paraId="08B80657" w14:textId="77777777" w:rsidR="003D03F1" w:rsidRPr="00501672" w:rsidRDefault="003D03F1" w:rsidP="003D03F1">
      <w:pPr>
        <w:ind w:left="-907"/>
        <w:rPr>
          <w:rFonts w:asciiTheme="minorHAnsi" w:hAnsiTheme="minorHAnsi"/>
          <w:sz w:val="20"/>
        </w:rPr>
      </w:pPr>
    </w:p>
    <w:p w14:paraId="16D7DF3F" w14:textId="77777777" w:rsidR="003D03F1" w:rsidRPr="00501672" w:rsidRDefault="003D03F1" w:rsidP="003D03F1">
      <w:pPr>
        <w:ind w:left="-907"/>
        <w:rPr>
          <w:rFonts w:asciiTheme="minorHAnsi" w:hAnsiTheme="minorHAnsi"/>
          <w:sz w:val="20"/>
        </w:rPr>
      </w:pPr>
    </w:p>
    <w:p w14:paraId="729C2ABB" w14:textId="77777777" w:rsidR="003D03F1" w:rsidRPr="00501672" w:rsidRDefault="003D03F1" w:rsidP="003D03F1">
      <w:pPr>
        <w:ind w:left="-907"/>
        <w:rPr>
          <w:rFonts w:asciiTheme="minorHAnsi" w:hAnsiTheme="minorHAnsi"/>
          <w:sz w:val="20"/>
        </w:rPr>
      </w:pPr>
    </w:p>
    <w:p w14:paraId="6C2046A3" w14:textId="77777777" w:rsidR="003D03F1" w:rsidRDefault="003D03F1" w:rsidP="003D03F1">
      <w:pPr>
        <w:ind w:left="-907"/>
        <w:rPr>
          <w:rFonts w:asciiTheme="minorHAnsi" w:hAnsiTheme="minorHAnsi"/>
          <w:sz w:val="20"/>
        </w:rPr>
      </w:pPr>
    </w:p>
    <w:p w14:paraId="2D42BB0D" w14:textId="77777777" w:rsidR="003D03F1" w:rsidRDefault="003D03F1" w:rsidP="003D03F1">
      <w:pPr>
        <w:ind w:left="-907"/>
        <w:rPr>
          <w:rFonts w:asciiTheme="minorHAnsi" w:hAnsiTheme="minorHAnsi"/>
          <w:sz w:val="20"/>
        </w:rPr>
      </w:pPr>
    </w:p>
    <w:p w14:paraId="740EA17C" w14:textId="77777777" w:rsidR="003D03F1" w:rsidRPr="00501672" w:rsidRDefault="003D03F1" w:rsidP="003D03F1">
      <w:pPr>
        <w:ind w:left="-907"/>
        <w:rPr>
          <w:rFonts w:asciiTheme="minorHAnsi" w:hAnsiTheme="minorHAnsi"/>
          <w:sz w:val="20"/>
        </w:rPr>
      </w:pPr>
    </w:p>
    <w:p w14:paraId="705601FD" w14:textId="77777777" w:rsidR="003D03F1" w:rsidRDefault="003D03F1" w:rsidP="003D03F1">
      <w:pPr>
        <w:ind w:left="-907"/>
        <w:rPr>
          <w:rFonts w:asciiTheme="minorHAnsi" w:hAnsiTheme="minorHAnsi"/>
          <w:sz w:val="20"/>
        </w:rPr>
      </w:pPr>
    </w:p>
    <w:p w14:paraId="2E972F23" w14:textId="77777777" w:rsidR="003D03F1" w:rsidRPr="00501672" w:rsidRDefault="003D03F1" w:rsidP="003D03F1">
      <w:pPr>
        <w:ind w:left="-907"/>
        <w:rPr>
          <w:rFonts w:asciiTheme="minorHAnsi" w:hAnsiTheme="minorHAnsi"/>
          <w:sz w:val="20"/>
        </w:rPr>
      </w:pPr>
    </w:p>
    <w:p w14:paraId="78F81EAA" w14:textId="72674B9E" w:rsidR="003D03F1" w:rsidRDefault="003D03F1" w:rsidP="003D03F1">
      <w:pPr>
        <w:ind w:left="-907"/>
        <w:rPr>
          <w:rFonts w:asciiTheme="minorHAnsi" w:hAnsiTheme="minorHAnsi"/>
          <w:sz w:val="20"/>
        </w:rPr>
      </w:pPr>
    </w:p>
    <w:p w14:paraId="7FCCE64E" w14:textId="72AC2C8D" w:rsidR="003575A8" w:rsidRDefault="003575A8" w:rsidP="003D03F1">
      <w:pPr>
        <w:ind w:left="-907"/>
        <w:rPr>
          <w:rFonts w:asciiTheme="minorHAnsi" w:hAnsiTheme="minorHAnsi"/>
          <w:sz w:val="20"/>
        </w:rPr>
      </w:pPr>
    </w:p>
    <w:p w14:paraId="523624EB" w14:textId="0233236A" w:rsidR="003575A8" w:rsidRDefault="003575A8" w:rsidP="003D03F1">
      <w:pPr>
        <w:ind w:left="-907"/>
        <w:rPr>
          <w:rFonts w:asciiTheme="minorHAnsi" w:hAnsiTheme="minorHAnsi"/>
          <w:sz w:val="20"/>
        </w:rPr>
      </w:pPr>
    </w:p>
    <w:p w14:paraId="7EE25D64" w14:textId="4D25B4E6" w:rsidR="003575A8" w:rsidRDefault="003575A8" w:rsidP="003D03F1">
      <w:pPr>
        <w:ind w:left="-907"/>
        <w:rPr>
          <w:rFonts w:asciiTheme="minorHAnsi" w:hAnsiTheme="minorHAnsi"/>
          <w:sz w:val="20"/>
        </w:rPr>
      </w:pPr>
    </w:p>
    <w:p w14:paraId="3A99B7CB" w14:textId="562BC148" w:rsidR="003575A8" w:rsidRDefault="003575A8" w:rsidP="003D03F1">
      <w:pPr>
        <w:ind w:left="-907"/>
        <w:rPr>
          <w:rFonts w:asciiTheme="minorHAnsi" w:hAnsiTheme="minorHAnsi"/>
          <w:sz w:val="20"/>
        </w:rPr>
      </w:pPr>
    </w:p>
    <w:p w14:paraId="67A2D034" w14:textId="6C1A4E0E" w:rsidR="003575A8" w:rsidRDefault="003575A8" w:rsidP="003D03F1">
      <w:pPr>
        <w:ind w:left="-907"/>
        <w:rPr>
          <w:rFonts w:asciiTheme="minorHAnsi" w:hAnsiTheme="minorHAnsi"/>
          <w:sz w:val="20"/>
        </w:rPr>
      </w:pPr>
    </w:p>
    <w:p w14:paraId="48314FE5" w14:textId="3FDB0E83" w:rsidR="003575A8" w:rsidRDefault="003575A8" w:rsidP="003D03F1">
      <w:pPr>
        <w:ind w:left="-907"/>
        <w:rPr>
          <w:rFonts w:asciiTheme="minorHAnsi" w:hAnsiTheme="minorHAnsi"/>
          <w:sz w:val="20"/>
        </w:rPr>
      </w:pPr>
    </w:p>
    <w:p w14:paraId="51C88E0E" w14:textId="77777777" w:rsidR="003575A8" w:rsidRDefault="003575A8" w:rsidP="003D03F1">
      <w:pPr>
        <w:ind w:left="-907"/>
        <w:rPr>
          <w:rFonts w:asciiTheme="minorHAnsi" w:hAnsiTheme="minorHAnsi"/>
          <w:sz w:val="20"/>
        </w:rPr>
      </w:pPr>
    </w:p>
    <w:p w14:paraId="61BD4E80" w14:textId="77777777" w:rsidR="003D03F1" w:rsidRPr="00501672" w:rsidRDefault="00880CEC" w:rsidP="003D03F1">
      <w:pPr>
        <w:ind w:left="-907"/>
        <w:rPr>
          <w:rFonts w:asciiTheme="minorHAnsi" w:hAnsiTheme="minorHAnsi"/>
          <w:sz w:val="20"/>
        </w:rPr>
      </w:pPr>
      <w:r>
        <w:rPr>
          <w:rFonts w:ascii="Times New Roman" w:eastAsiaTheme="minorHAnsi" w:hAnsi="Times New Roman" w:cs="Times New Roman"/>
          <w:noProof/>
          <w:color w:val="auto"/>
        </w:rPr>
        <mc:AlternateContent>
          <mc:Choice Requires="wps">
            <w:drawing>
              <wp:anchor distT="45720" distB="45720" distL="114300" distR="114300" simplePos="0" relativeHeight="251663360" behindDoc="0" locked="0" layoutInCell="1" allowOverlap="1" wp14:anchorId="26188C9A" wp14:editId="16D6AF30">
                <wp:simplePos x="0" y="0"/>
                <wp:positionH relativeFrom="column">
                  <wp:posOffset>-85725</wp:posOffset>
                </wp:positionH>
                <wp:positionV relativeFrom="paragraph">
                  <wp:posOffset>351155</wp:posOffset>
                </wp:positionV>
                <wp:extent cx="6105525" cy="1638300"/>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638300"/>
                        </a:xfrm>
                        <a:prstGeom prst="rect">
                          <a:avLst/>
                        </a:prstGeom>
                        <a:noFill/>
                        <a:ln w="9525">
                          <a:solidFill>
                            <a:schemeClr val="bg1">
                              <a:lumMod val="85000"/>
                            </a:schemeClr>
                          </a:solidFill>
                          <a:miter lim="800000"/>
                          <a:headEnd/>
                          <a:tailEnd/>
                        </a:ln>
                      </wps:spPr>
                      <wps:txbx>
                        <w:txbxContent>
                          <w:tbl>
                            <w:tblPr>
                              <w:tblStyle w:val="TableGrid"/>
                              <w:tblW w:w="94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0" w:type="dxa"/>
                              </w:tblCellMar>
                              <w:tblLook w:val="04A0" w:firstRow="1" w:lastRow="0" w:firstColumn="1" w:lastColumn="0" w:noHBand="0" w:noVBand="1"/>
                            </w:tblPr>
                            <w:tblGrid>
                              <w:gridCol w:w="3713"/>
                              <w:gridCol w:w="5711"/>
                            </w:tblGrid>
                            <w:tr w:rsidR="004F0F3F" w14:paraId="75580353" w14:textId="77777777" w:rsidTr="00CB3A8D">
                              <w:trPr>
                                <w:trHeight w:val="459"/>
                                <w:jc w:val="center"/>
                              </w:trPr>
                              <w:tc>
                                <w:tcPr>
                                  <w:tcW w:w="3713" w:type="dxa"/>
                                  <w:vAlign w:val="center"/>
                                  <w:hideMark/>
                                </w:tcPr>
                                <w:p w14:paraId="6E9F33FC" w14:textId="77777777" w:rsidR="003F1DD8" w:rsidRPr="00962ECA" w:rsidRDefault="00880CEC" w:rsidP="00CB3A8D">
                                  <w:pPr>
                                    <w:jc w:val="right"/>
                                    <w:rPr>
                                      <w:rFonts w:asciiTheme="minorHAnsi" w:hAnsiTheme="minorHAnsi"/>
                                      <w:color w:val="595959" w:themeColor="text1" w:themeTint="A6"/>
                                      <w:szCs w:val="22"/>
                                    </w:rPr>
                                  </w:pPr>
                                  <w:r w:rsidRPr="00962ECA">
                                    <w:rPr>
                                      <w:rFonts w:asciiTheme="minorHAnsi" w:hAnsiTheme="minorHAnsi"/>
                                      <w:color w:val="595959" w:themeColor="text1" w:themeTint="A6"/>
                                      <w:szCs w:val="22"/>
                                    </w:rPr>
                                    <w:t>Regional Vice President:</w:t>
                                  </w:r>
                                </w:p>
                              </w:tc>
                              <w:tc>
                                <w:tcPr>
                                  <w:tcW w:w="5711" w:type="dxa"/>
                                  <w:vAlign w:val="center"/>
                                  <w:hideMark/>
                                </w:tcPr>
                                <w:p w14:paraId="6C9A450D" w14:textId="77777777" w:rsidR="003F1DD8" w:rsidRPr="00962ECA" w:rsidRDefault="00880CEC" w:rsidP="00CB3A8D">
                                  <w:pPr>
                                    <w:rPr>
                                      <w:rFonts w:asciiTheme="minorHAnsi" w:hAnsiTheme="minorHAnsi"/>
                                      <w:szCs w:val="22"/>
                                    </w:rPr>
                                  </w:pPr>
                                  <w:r w:rsidRPr="00962ECA">
                                    <w:rPr>
                                      <w:rFonts w:asciiTheme="minorHAnsi" w:hAnsiTheme="minorHAnsi"/>
                                      <w:noProof/>
                                      <w:szCs w:val="22"/>
                                    </w:rPr>
                                    <w:t>Anna M.  Bjerde</w:t>
                                  </w:r>
                                </w:p>
                              </w:tc>
                            </w:tr>
                            <w:tr w:rsidR="004F0F3F" w14:paraId="10343F5F" w14:textId="77777777" w:rsidTr="00CB3A8D">
                              <w:trPr>
                                <w:trHeight w:val="459"/>
                                <w:jc w:val="center"/>
                              </w:trPr>
                              <w:tc>
                                <w:tcPr>
                                  <w:tcW w:w="3713" w:type="dxa"/>
                                  <w:vAlign w:val="center"/>
                                  <w:hideMark/>
                                </w:tcPr>
                                <w:p w14:paraId="4C846DE1" w14:textId="77777777" w:rsidR="003F1DD8" w:rsidRPr="00962ECA" w:rsidRDefault="00880CEC" w:rsidP="00CB3A8D">
                                  <w:pPr>
                                    <w:jc w:val="right"/>
                                    <w:rPr>
                                      <w:rFonts w:asciiTheme="minorHAnsi" w:hAnsiTheme="minorHAnsi"/>
                                      <w:color w:val="595959" w:themeColor="text1" w:themeTint="A6"/>
                                      <w:szCs w:val="22"/>
                                    </w:rPr>
                                  </w:pPr>
                                  <w:r w:rsidRPr="00962ECA">
                                    <w:rPr>
                                      <w:rFonts w:asciiTheme="minorHAnsi" w:hAnsiTheme="minorHAnsi"/>
                                      <w:color w:val="595959" w:themeColor="text1" w:themeTint="A6"/>
                                      <w:szCs w:val="22"/>
                                    </w:rPr>
                                    <w:t>Country Director:</w:t>
                                  </w:r>
                                </w:p>
                              </w:tc>
                              <w:tc>
                                <w:tcPr>
                                  <w:tcW w:w="5711" w:type="dxa"/>
                                  <w:vAlign w:val="center"/>
                                  <w:hideMark/>
                                </w:tcPr>
                                <w:p w14:paraId="0F782BC8" w14:textId="77777777" w:rsidR="003F1DD8" w:rsidRPr="00962ECA" w:rsidRDefault="00880CEC" w:rsidP="00CB3A8D">
                                  <w:pPr>
                                    <w:rPr>
                                      <w:rFonts w:asciiTheme="minorHAnsi" w:hAnsiTheme="minorHAnsi"/>
                                      <w:noProof/>
                                      <w:szCs w:val="22"/>
                                    </w:rPr>
                                  </w:pPr>
                                  <w:r w:rsidRPr="00962ECA">
                                    <w:rPr>
                                      <w:rFonts w:asciiTheme="minorHAnsi" w:hAnsiTheme="minorHAnsi"/>
                                      <w:noProof/>
                                      <w:szCs w:val="22"/>
                                    </w:rPr>
                                    <w:t>Tatiana A. Proskuryakova</w:t>
                                  </w:r>
                                </w:p>
                              </w:tc>
                            </w:tr>
                            <w:tr w:rsidR="004F0F3F" w14:paraId="011E136F" w14:textId="77777777" w:rsidTr="00CB3A8D">
                              <w:trPr>
                                <w:trHeight w:val="459"/>
                                <w:jc w:val="center"/>
                              </w:trPr>
                              <w:tc>
                                <w:tcPr>
                                  <w:tcW w:w="3713" w:type="dxa"/>
                                  <w:vAlign w:val="center"/>
                                  <w:hideMark/>
                                </w:tcPr>
                                <w:p w14:paraId="3F6FDD54" w14:textId="77777777" w:rsidR="003F1DD8" w:rsidRPr="00962ECA" w:rsidRDefault="00880CEC" w:rsidP="00CB3A8D">
                                  <w:pPr>
                                    <w:jc w:val="right"/>
                                    <w:rPr>
                                      <w:rFonts w:asciiTheme="minorHAnsi" w:hAnsiTheme="minorHAnsi"/>
                                      <w:color w:val="595959" w:themeColor="text1" w:themeTint="A6"/>
                                      <w:szCs w:val="22"/>
                                    </w:rPr>
                                  </w:pPr>
                                  <w:r>
                                    <w:rPr>
                                      <w:rFonts w:asciiTheme="minorHAnsi" w:hAnsiTheme="minorHAnsi"/>
                                      <w:color w:val="595959" w:themeColor="text1" w:themeTint="A6"/>
                                      <w:szCs w:val="22"/>
                                    </w:rPr>
                                    <w:t>Regional</w:t>
                                  </w:r>
                                  <w:r w:rsidRPr="00962ECA">
                                    <w:rPr>
                                      <w:rFonts w:asciiTheme="minorHAnsi" w:hAnsiTheme="minorHAnsi"/>
                                      <w:color w:val="595959" w:themeColor="text1" w:themeTint="A6"/>
                                      <w:szCs w:val="22"/>
                                    </w:rPr>
                                    <w:t xml:space="preserve"> Director:</w:t>
                                  </w:r>
                                </w:p>
                              </w:tc>
                              <w:tc>
                                <w:tcPr>
                                  <w:tcW w:w="5711" w:type="dxa"/>
                                  <w:vAlign w:val="center"/>
                                  <w:hideMark/>
                                </w:tcPr>
                                <w:p w14:paraId="418AB3BC" w14:textId="77777777" w:rsidR="003F1DD8" w:rsidRPr="00962ECA" w:rsidRDefault="00880CEC" w:rsidP="00CB3A8D">
                                  <w:pPr>
                                    <w:rPr>
                                      <w:rFonts w:asciiTheme="minorHAnsi" w:hAnsiTheme="minorHAnsi"/>
                                      <w:noProof/>
                                      <w:szCs w:val="22"/>
                                    </w:rPr>
                                  </w:pPr>
                                  <w:r>
                                    <w:rPr>
                                      <w:rFonts w:asciiTheme="minorHAnsi" w:hAnsiTheme="minorHAnsi"/>
                                      <w:noProof/>
                                      <w:szCs w:val="22"/>
                                    </w:rPr>
                                    <w:t>Charles Joseph Cormier</w:t>
                                  </w:r>
                                </w:p>
                              </w:tc>
                            </w:tr>
                            <w:tr w:rsidR="004F0F3F" w14:paraId="62EA31EE" w14:textId="77777777" w:rsidTr="00CB3A8D">
                              <w:trPr>
                                <w:trHeight w:val="459"/>
                                <w:jc w:val="center"/>
                              </w:trPr>
                              <w:tc>
                                <w:tcPr>
                                  <w:tcW w:w="3713" w:type="dxa"/>
                                  <w:vAlign w:val="center"/>
                                  <w:hideMark/>
                                </w:tcPr>
                                <w:p w14:paraId="79DC3E85" w14:textId="77777777" w:rsidR="003F1DD8" w:rsidRPr="00962ECA" w:rsidRDefault="00880CEC" w:rsidP="00CB3A8D">
                                  <w:pPr>
                                    <w:jc w:val="right"/>
                                    <w:rPr>
                                      <w:rFonts w:asciiTheme="minorHAnsi" w:hAnsiTheme="minorHAnsi"/>
                                      <w:color w:val="595959" w:themeColor="text1" w:themeTint="A6"/>
                                      <w:szCs w:val="22"/>
                                    </w:rPr>
                                  </w:pPr>
                                  <w:r w:rsidRPr="00962ECA">
                                    <w:rPr>
                                      <w:rFonts w:asciiTheme="minorHAnsi" w:hAnsiTheme="minorHAnsi"/>
                                      <w:color w:val="595959" w:themeColor="text1" w:themeTint="A6"/>
                                      <w:szCs w:val="22"/>
                                    </w:rPr>
                                    <w:t>Practice Manager:</w:t>
                                  </w:r>
                                </w:p>
                              </w:tc>
                              <w:tc>
                                <w:tcPr>
                                  <w:tcW w:w="5711" w:type="dxa"/>
                                  <w:vAlign w:val="center"/>
                                  <w:hideMark/>
                                </w:tcPr>
                                <w:p w14:paraId="1157732D" w14:textId="4018792A" w:rsidR="003F1DD8" w:rsidRPr="00962ECA" w:rsidRDefault="00A2657B" w:rsidP="00CB3A8D">
                                  <w:pPr>
                                    <w:rPr>
                                      <w:rFonts w:asciiTheme="minorHAnsi" w:hAnsiTheme="minorHAnsi"/>
                                      <w:noProof/>
                                      <w:szCs w:val="22"/>
                                    </w:rPr>
                                  </w:pPr>
                                  <w:r>
                                    <w:rPr>
                                      <w:rFonts w:asciiTheme="minorHAnsi" w:hAnsiTheme="minorHAnsi"/>
                                      <w:noProof/>
                                      <w:szCs w:val="22"/>
                                    </w:rPr>
                                    <w:t>Sudeshna Ghosh Banerjee</w:t>
                                  </w:r>
                                </w:p>
                              </w:tc>
                            </w:tr>
                            <w:tr w:rsidR="004F0F3F" w14:paraId="4BA15D11" w14:textId="77777777" w:rsidTr="00CB3A8D">
                              <w:trPr>
                                <w:trHeight w:val="459"/>
                                <w:jc w:val="center"/>
                              </w:trPr>
                              <w:tc>
                                <w:tcPr>
                                  <w:tcW w:w="3713" w:type="dxa"/>
                                  <w:vAlign w:val="center"/>
                                  <w:hideMark/>
                                </w:tcPr>
                                <w:p w14:paraId="4D8A5439" w14:textId="77777777" w:rsidR="003F1DD8" w:rsidRPr="00962ECA" w:rsidRDefault="00880CEC" w:rsidP="00CB3A8D">
                                  <w:pPr>
                                    <w:jc w:val="right"/>
                                    <w:rPr>
                                      <w:rFonts w:asciiTheme="minorHAnsi" w:hAnsiTheme="minorHAnsi"/>
                                      <w:color w:val="595959" w:themeColor="text1" w:themeTint="A6"/>
                                      <w:szCs w:val="22"/>
                                    </w:rPr>
                                  </w:pPr>
                                  <w:r w:rsidRPr="00962ECA">
                                    <w:rPr>
                                      <w:rFonts w:asciiTheme="minorHAnsi" w:hAnsiTheme="minorHAnsi"/>
                                      <w:color w:val="595959" w:themeColor="text1" w:themeTint="A6"/>
                                      <w:szCs w:val="22"/>
                                    </w:rPr>
                                    <w:t>Task Team Leader(s):</w:t>
                                  </w:r>
                                </w:p>
                              </w:tc>
                              <w:tc>
                                <w:tcPr>
                                  <w:tcW w:w="5711" w:type="dxa"/>
                                  <w:vAlign w:val="center"/>
                                  <w:hideMark/>
                                </w:tcPr>
                                <w:p w14:paraId="4ECDE39A" w14:textId="77777777" w:rsidR="003F1DD8" w:rsidRPr="00962ECA" w:rsidRDefault="00880CEC" w:rsidP="00CB3A8D">
                                  <w:pPr>
                                    <w:rPr>
                                      <w:rFonts w:asciiTheme="minorHAnsi" w:hAnsiTheme="minorHAnsi"/>
                                      <w:noProof/>
                                      <w:szCs w:val="22"/>
                                    </w:rPr>
                                  </w:pPr>
                                  <w:r w:rsidRPr="00962ECA">
                                    <w:rPr>
                                      <w:rFonts w:asciiTheme="minorHAnsi" w:hAnsiTheme="minorHAnsi"/>
                                      <w:noProof/>
                                      <w:szCs w:val="22"/>
                                    </w:rPr>
                                    <w:t>Artur Kochnakyan</w:t>
                                  </w:r>
                                </w:p>
                              </w:tc>
                            </w:tr>
                          </w:tbl>
                          <w:p w14:paraId="087C3204" w14:textId="77777777" w:rsidR="003F1DD8" w:rsidRPr="00501672" w:rsidRDefault="003F1DD8" w:rsidP="003D03F1">
                            <w:pPr>
                              <w:spacing w:line="14" w:lineRule="exact"/>
                              <w:rPr>
                                <w:rFonts w:asciiTheme="minorHAnsi" w:hAnsiTheme="minorHAnsi"/>
                              </w:rPr>
                            </w:pPr>
                          </w:p>
                        </w:txbxContent>
                      </wps:txbx>
                      <wps:bodyPr rot="0" vert="horz" wrap="square" anchor="ctr" anchorCtr="0"/>
                    </wps:wsp>
                  </a:graphicData>
                </a:graphic>
                <wp14:sizeRelH relativeFrom="margin">
                  <wp14:pctWidth>0</wp14:pctWidth>
                </wp14:sizeRelH>
                <wp14:sizeRelV relativeFrom="margin">
                  <wp14:pctHeight>0</wp14:pctHeight>
                </wp14:sizeRelV>
              </wp:anchor>
            </w:drawing>
          </mc:Choice>
          <mc:Fallback>
            <w:pict>
              <v:shapetype w14:anchorId="26188C9A" id="_x0000_t202" coordsize="21600,21600" o:spt="202" path="m,l,21600r21600,l21600,xe">
                <v:stroke joinstyle="miter"/>
                <v:path gradientshapeok="t" o:connecttype="rect"/>
              </v:shapetype>
              <v:shape id="Text Box 2" o:spid="_x0000_s1027" type="#_x0000_t202" style="position:absolute;left:0;text-align:left;margin-left:-6.75pt;margin-top:27.65pt;width:480.75pt;height:12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" filled="f" strokecolor="#d8d8d8 [2732]">
                <v:textbox>
                  <w:txbxContent>
                    <w:tbl>
                      <w:tblPr>
                        <w:tblStyle w:val="TableGrid"/>
                        <w:tblW w:w="94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0" w:type="dxa"/>
                        </w:tblCellMar>
                        <w:tblLook w:val="04A0" w:firstRow="1" w:lastRow="0" w:firstColumn="1" w:lastColumn="0" w:noHBand="0" w:noVBand="1"/>
                      </w:tblPr>
                      <w:tblGrid>
                        <w:gridCol w:w="3713"/>
                        <w:gridCol w:w="5711"/>
                      </w:tblGrid>
                      <w:tr w:rsidR="004F0F3F" w14:paraId="75580353" w14:textId="77777777" w:rsidTr="00CB3A8D">
                        <w:trPr>
                          <w:trHeight w:val="459"/>
                          <w:jc w:val="center"/>
                        </w:trPr>
                        <w:tc>
                          <w:tcPr>
                            <w:tcW w:w="3713" w:type="dxa"/>
                            <w:vAlign w:val="center"/>
                            <w:hideMark/>
                          </w:tcPr>
                          <w:p w14:paraId="6E9F33FC" w14:textId="77777777" w:rsidR="003F1DD8" w:rsidRPr="00962ECA" w:rsidRDefault="00880CEC" w:rsidP="00CB3A8D">
                            <w:pPr>
                              <w:jc w:val="right"/>
                              <w:rPr>
                                <w:rFonts w:asciiTheme="minorHAnsi" w:hAnsiTheme="minorHAnsi"/>
                                <w:color w:val="595959" w:themeColor="text1" w:themeTint="A6"/>
                                <w:szCs w:val="22"/>
                              </w:rPr>
                            </w:pPr>
                            <w:r w:rsidRPr="00962ECA">
                              <w:rPr>
                                <w:rFonts w:asciiTheme="minorHAnsi" w:hAnsiTheme="minorHAnsi"/>
                                <w:color w:val="595959" w:themeColor="text1" w:themeTint="A6"/>
                                <w:szCs w:val="22"/>
                              </w:rPr>
                              <w:t>Regional Vice President:</w:t>
                            </w:r>
                          </w:p>
                        </w:tc>
                        <w:tc>
                          <w:tcPr>
                            <w:tcW w:w="5711" w:type="dxa"/>
                            <w:vAlign w:val="center"/>
                            <w:hideMark/>
                          </w:tcPr>
                          <w:p w14:paraId="6C9A450D" w14:textId="77777777" w:rsidR="003F1DD8" w:rsidRPr="00962ECA" w:rsidRDefault="00880CEC" w:rsidP="00CB3A8D">
                            <w:pPr>
                              <w:rPr>
                                <w:rFonts w:asciiTheme="minorHAnsi" w:hAnsiTheme="minorHAnsi"/>
                                <w:szCs w:val="22"/>
                              </w:rPr>
                            </w:pPr>
                            <w:r w:rsidRPr="00962ECA">
                              <w:rPr>
                                <w:rFonts w:asciiTheme="minorHAnsi" w:hAnsiTheme="minorHAnsi"/>
                                <w:noProof/>
                                <w:szCs w:val="22"/>
                              </w:rPr>
                              <w:t>Anna M.  Bjerde</w:t>
                            </w:r>
                          </w:p>
                        </w:tc>
                      </w:tr>
                      <w:tr w:rsidR="004F0F3F" w14:paraId="10343F5F" w14:textId="77777777" w:rsidTr="00CB3A8D">
                        <w:trPr>
                          <w:trHeight w:val="459"/>
                          <w:jc w:val="center"/>
                        </w:trPr>
                        <w:tc>
                          <w:tcPr>
                            <w:tcW w:w="3713" w:type="dxa"/>
                            <w:vAlign w:val="center"/>
                            <w:hideMark/>
                          </w:tcPr>
                          <w:p w14:paraId="4C846DE1" w14:textId="77777777" w:rsidR="003F1DD8" w:rsidRPr="00962ECA" w:rsidRDefault="00880CEC" w:rsidP="00CB3A8D">
                            <w:pPr>
                              <w:jc w:val="right"/>
                              <w:rPr>
                                <w:rFonts w:asciiTheme="minorHAnsi" w:hAnsiTheme="minorHAnsi"/>
                                <w:color w:val="595959" w:themeColor="text1" w:themeTint="A6"/>
                                <w:szCs w:val="22"/>
                              </w:rPr>
                            </w:pPr>
                            <w:r w:rsidRPr="00962ECA">
                              <w:rPr>
                                <w:rFonts w:asciiTheme="minorHAnsi" w:hAnsiTheme="minorHAnsi"/>
                                <w:color w:val="595959" w:themeColor="text1" w:themeTint="A6"/>
                                <w:szCs w:val="22"/>
                              </w:rPr>
                              <w:t>Country Director:</w:t>
                            </w:r>
                          </w:p>
                        </w:tc>
                        <w:tc>
                          <w:tcPr>
                            <w:tcW w:w="5711" w:type="dxa"/>
                            <w:vAlign w:val="center"/>
                            <w:hideMark/>
                          </w:tcPr>
                          <w:p w14:paraId="0F782BC8" w14:textId="77777777" w:rsidR="003F1DD8" w:rsidRPr="00962ECA" w:rsidRDefault="00880CEC" w:rsidP="00CB3A8D">
                            <w:pPr>
                              <w:rPr>
                                <w:rFonts w:asciiTheme="minorHAnsi" w:hAnsiTheme="minorHAnsi"/>
                                <w:noProof/>
                                <w:szCs w:val="22"/>
                              </w:rPr>
                            </w:pPr>
                            <w:r w:rsidRPr="00962ECA">
                              <w:rPr>
                                <w:rFonts w:asciiTheme="minorHAnsi" w:hAnsiTheme="minorHAnsi"/>
                                <w:noProof/>
                                <w:szCs w:val="22"/>
                              </w:rPr>
                              <w:t>Tatiana A. Proskuryakova</w:t>
                            </w:r>
                          </w:p>
                        </w:tc>
                      </w:tr>
                      <w:tr w:rsidR="004F0F3F" w14:paraId="011E136F" w14:textId="77777777" w:rsidTr="00CB3A8D">
                        <w:trPr>
                          <w:trHeight w:val="459"/>
                          <w:jc w:val="center"/>
                        </w:trPr>
                        <w:tc>
                          <w:tcPr>
                            <w:tcW w:w="3713" w:type="dxa"/>
                            <w:vAlign w:val="center"/>
                            <w:hideMark/>
                          </w:tcPr>
                          <w:p w14:paraId="3F6FDD54" w14:textId="77777777" w:rsidR="003F1DD8" w:rsidRPr="00962ECA" w:rsidRDefault="00880CEC" w:rsidP="00CB3A8D">
                            <w:pPr>
                              <w:jc w:val="right"/>
                              <w:rPr>
                                <w:rFonts w:asciiTheme="minorHAnsi" w:hAnsiTheme="minorHAnsi"/>
                                <w:color w:val="595959" w:themeColor="text1" w:themeTint="A6"/>
                                <w:szCs w:val="22"/>
                              </w:rPr>
                            </w:pPr>
                            <w:r>
                              <w:rPr>
                                <w:rFonts w:asciiTheme="minorHAnsi" w:hAnsiTheme="minorHAnsi"/>
                                <w:color w:val="595959" w:themeColor="text1" w:themeTint="A6"/>
                                <w:szCs w:val="22"/>
                              </w:rPr>
                              <w:t>Regional</w:t>
                            </w:r>
                            <w:r w:rsidRPr="00962ECA">
                              <w:rPr>
                                <w:rFonts w:asciiTheme="minorHAnsi" w:hAnsiTheme="minorHAnsi"/>
                                <w:color w:val="595959" w:themeColor="text1" w:themeTint="A6"/>
                                <w:szCs w:val="22"/>
                              </w:rPr>
                              <w:t xml:space="preserve"> Director:</w:t>
                            </w:r>
                          </w:p>
                        </w:tc>
                        <w:tc>
                          <w:tcPr>
                            <w:tcW w:w="5711" w:type="dxa"/>
                            <w:vAlign w:val="center"/>
                            <w:hideMark/>
                          </w:tcPr>
                          <w:p w14:paraId="418AB3BC" w14:textId="77777777" w:rsidR="003F1DD8" w:rsidRPr="00962ECA" w:rsidRDefault="00880CEC" w:rsidP="00CB3A8D">
                            <w:pPr>
                              <w:rPr>
                                <w:rFonts w:asciiTheme="minorHAnsi" w:hAnsiTheme="minorHAnsi"/>
                                <w:noProof/>
                                <w:szCs w:val="22"/>
                              </w:rPr>
                            </w:pPr>
                            <w:r>
                              <w:rPr>
                                <w:rFonts w:asciiTheme="minorHAnsi" w:hAnsiTheme="minorHAnsi"/>
                                <w:noProof/>
                                <w:szCs w:val="22"/>
                              </w:rPr>
                              <w:t>Charles Joseph Cormier</w:t>
                            </w:r>
                          </w:p>
                        </w:tc>
                      </w:tr>
                      <w:tr w:rsidR="004F0F3F" w14:paraId="62EA31EE" w14:textId="77777777" w:rsidTr="00CB3A8D">
                        <w:trPr>
                          <w:trHeight w:val="459"/>
                          <w:jc w:val="center"/>
                        </w:trPr>
                        <w:tc>
                          <w:tcPr>
                            <w:tcW w:w="3713" w:type="dxa"/>
                            <w:vAlign w:val="center"/>
                            <w:hideMark/>
                          </w:tcPr>
                          <w:p w14:paraId="79DC3E85" w14:textId="77777777" w:rsidR="003F1DD8" w:rsidRPr="00962ECA" w:rsidRDefault="00880CEC" w:rsidP="00CB3A8D">
                            <w:pPr>
                              <w:jc w:val="right"/>
                              <w:rPr>
                                <w:rFonts w:asciiTheme="minorHAnsi" w:hAnsiTheme="minorHAnsi"/>
                                <w:color w:val="595959" w:themeColor="text1" w:themeTint="A6"/>
                                <w:szCs w:val="22"/>
                              </w:rPr>
                            </w:pPr>
                            <w:r w:rsidRPr="00962ECA">
                              <w:rPr>
                                <w:rFonts w:asciiTheme="minorHAnsi" w:hAnsiTheme="minorHAnsi"/>
                                <w:color w:val="595959" w:themeColor="text1" w:themeTint="A6"/>
                                <w:szCs w:val="22"/>
                              </w:rPr>
                              <w:t>Practice Manager:</w:t>
                            </w:r>
                          </w:p>
                        </w:tc>
                        <w:tc>
                          <w:tcPr>
                            <w:tcW w:w="5711" w:type="dxa"/>
                            <w:vAlign w:val="center"/>
                            <w:hideMark/>
                          </w:tcPr>
                          <w:p w14:paraId="1157732D" w14:textId="4018792A" w:rsidR="003F1DD8" w:rsidRPr="00962ECA" w:rsidRDefault="00A2657B" w:rsidP="00CB3A8D">
                            <w:pPr>
                              <w:rPr>
                                <w:rFonts w:asciiTheme="minorHAnsi" w:hAnsiTheme="minorHAnsi"/>
                                <w:noProof/>
                                <w:szCs w:val="22"/>
                              </w:rPr>
                            </w:pPr>
                            <w:r>
                              <w:rPr>
                                <w:rFonts w:asciiTheme="minorHAnsi" w:hAnsiTheme="minorHAnsi"/>
                                <w:noProof/>
                                <w:szCs w:val="22"/>
                              </w:rPr>
                              <w:t>Sudeshna Ghosh Banerjee</w:t>
                            </w:r>
                          </w:p>
                        </w:tc>
                      </w:tr>
                      <w:tr w:rsidR="004F0F3F" w14:paraId="4BA15D11" w14:textId="77777777" w:rsidTr="00CB3A8D">
                        <w:trPr>
                          <w:trHeight w:val="459"/>
                          <w:jc w:val="center"/>
                        </w:trPr>
                        <w:tc>
                          <w:tcPr>
                            <w:tcW w:w="3713" w:type="dxa"/>
                            <w:vAlign w:val="center"/>
                            <w:hideMark/>
                          </w:tcPr>
                          <w:p w14:paraId="4D8A5439" w14:textId="77777777" w:rsidR="003F1DD8" w:rsidRPr="00962ECA" w:rsidRDefault="00880CEC" w:rsidP="00CB3A8D">
                            <w:pPr>
                              <w:jc w:val="right"/>
                              <w:rPr>
                                <w:rFonts w:asciiTheme="minorHAnsi" w:hAnsiTheme="minorHAnsi"/>
                                <w:color w:val="595959" w:themeColor="text1" w:themeTint="A6"/>
                                <w:szCs w:val="22"/>
                              </w:rPr>
                            </w:pPr>
                            <w:r w:rsidRPr="00962ECA">
                              <w:rPr>
                                <w:rFonts w:asciiTheme="minorHAnsi" w:hAnsiTheme="minorHAnsi"/>
                                <w:color w:val="595959" w:themeColor="text1" w:themeTint="A6"/>
                                <w:szCs w:val="22"/>
                              </w:rPr>
                              <w:t>Task Team Leader(s):</w:t>
                            </w:r>
                          </w:p>
                        </w:tc>
                        <w:tc>
                          <w:tcPr>
                            <w:tcW w:w="5711" w:type="dxa"/>
                            <w:vAlign w:val="center"/>
                            <w:hideMark/>
                          </w:tcPr>
                          <w:p w14:paraId="4ECDE39A" w14:textId="77777777" w:rsidR="003F1DD8" w:rsidRPr="00962ECA" w:rsidRDefault="00880CEC" w:rsidP="00CB3A8D">
                            <w:pPr>
                              <w:rPr>
                                <w:rFonts w:asciiTheme="minorHAnsi" w:hAnsiTheme="minorHAnsi"/>
                                <w:noProof/>
                                <w:szCs w:val="22"/>
                              </w:rPr>
                            </w:pPr>
                            <w:r w:rsidRPr="00962ECA">
                              <w:rPr>
                                <w:rFonts w:asciiTheme="minorHAnsi" w:hAnsiTheme="minorHAnsi"/>
                                <w:noProof/>
                                <w:szCs w:val="22"/>
                              </w:rPr>
                              <w:t>Artur Kochnakyan</w:t>
                            </w:r>
                          </w:p>
                        </w:tc>
                      </w:tr>
                    </w:tbl>
                    <w:p w14:paraId="087C3204" w14:textId="77777777" w:rsidR="003F1DD8" w:rsidRPr="00501672" w:rsidRDefault="003F1DD8" w:rsidP="003D03F1">
                      <w:pPr>
                        <w:spacing w:line="14" w:lineRule="exact"/>
                        <w:rPr>
                          <w:rFonts w:asciiTheme="minorHAnsi" w:hAnsiTheme="minorHAnsi"/>
                        </w:rPr>
                      </w:pPr>
                    </w:p>
                  </w:txbxContent>
                </v:textbox>
                <w10:wrap type="square"/>
              </v:shape>
            </w:pict>
          </mc:Fallback>
        </mc:AlternateContent>
      </w:r>
    </w:p>
    <w:tbl>
      <w:tblPr>
        <w:tblStyle w:val="TableGrid"/>
        <w:tblW w:w="96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4"/>
      </w:tblGrid>
      <w:tr w:rsidR="004F0F3F" w14:paraId="25803C0A" w14:textId="77777777" w:rsidTr="00CB3A8D">
        <w:trPr>
          <w:jc w:val="center"/>
        </w:trPr>
        <w:tc>
          <w:tcPr>
            <w:tcW w:w="9684" w:type="dxa"/>
            <w:vAlign w:val="center"/>
            <w:hideMark/>
          </w:tcPr>
          <w:p w14:paraId="2DB21FF1" w14:textId="77777777" w:rsidR="003D03F1" w:rsidRDefault="00880CEC" w:rsidP="00CB3A8D">
            <w:pPr>
              <w:ind w:left="-900" w:firstLine="900"/>
              <w:jc w:val="center"/>
              <w:rPr>
                <w:rFonts w:asciiTheme="minorHAnsi" w:hAnsiTheme="minorHAnsi" w:cs="Times New Roman"/>
              </w:rPr>
            </w:pPr>
            <w:r>
              <w:rPr>
                <w:rFonts w:asciiTheme="minorHAnsi" w:hAnsiTheme="minorHAnsi" w:cs="Times New Roman"/>
              </w:rPr>
              <w:lastRenderedPageBreak/>
              <w:t>ABBREVIATIONS AND ACRONYMS</w:t>
            </w:r>
          </w:p>
        </w:tc>
      </w:tr>
      <w:tr w:rsidR="004F0F3F" w14:paraId="714752FB" w14:textId="77777777" w:rsidTr="00CB3A8D">
        <w:trPr>
          <w:jc w:val="center"/>
        </w:trPr>
        <w:tc>
          <w:tcPr>
            <w:tcW w:w="9684" w:type="dxa"/>
          </w:tcPr>
          <w:p w14:paraId="438C1D28" w14:textId="77777777" w:rsidR="003D03F1" w:rsidRDefault="003D03F1" w:rsidP="00CB3A8D">
            <w:pPr>
              <w:rPr>
                <w:rFonts w:asciiTheme="minorHAnsi" w:hAnsiTheme="minorHAnsi" w:cs="Times New Roman"/>
                <w:b/>
                <w:sz w:val="22"/>
                <w:szCs w:val="22"/>
              </w:rPr>
            </w:pPr>
          </w:p>
        </w:tc>
      </w:tr>
    </w:tbl>
    <w:p w14:paraId="58476403" w14:textId="77777777" w:rsidR="003D03F1" w:rsidRPr="00406E20" w:rsidRDefault="003D03F1" w:rsidP="003D03F1">
      <w:pPr>
        <w:ind w:left="-907"/>
        <w:rPr>
          <w:rFonts w:asciiTheme="minorHAnsi" w:hAnsiTheme="minorHAnsi"/>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662"/>
      </w:tblGrid>
      <w:tr w:rsidR="00A2657B" w14:paraId="5E3BDB1D" w14:textId="77777777" w:rsidTr="00182493">
        <w:tc>
          <w:tcPr>
            <w:tcW w:w="2093" w:type="dxa"/>
          </w:tcPr>
          <w:p w14:paraId="201755E8" w14:textId="77777777" w:rsidR="00A2657B" w:rsidRDefault="00A2657B" w:rsidP="00182493">
            <w:pPr>
              <w:rPr>
                <w:rFonts w:asciiTheme="minorHAnsi" w:hAnsiTheme="minorHAnsi" w:cstheme="minorHAnsi"/>
                <w:sz w:val="22"/>
                <w:szCs w:val="22"/>
              </w:rPr>
            </w:pPr>
            <w:r>
              <w:rPr>
                <w:rFonts w:asciiTheme="minorHAnsi" w:hAnsiTheme="minorHAnsi" w:cstheme="minorHAnsi"/>
                <w:sz w:val="22"/>
                <w:szCs w:val="22"/>
              </w:rPr>
              <w:t>ACG</w:t>
            </w:r>
          </w:p>
        </w:tc>
        <w:tc>
          <w:tcPr>
            <w:tcW w:w="6662" w:type="dxa"/>
          </w:tcPr>
          <w:p w14:paraId="3A47595B" w14:textId="77777777" w:rsidR="00A2657B" w:rsidRDefault="00A2657B" w:rsidP="00182493">
            <w:pPr>
              <w:rPr>
                <w:rFonts w:asciiTheme="minorHAnsi" w:hAnsiTheme="minorHAnsi" w:cstheme="minorHAnsi"/>
                <w:sz w:val="22"/>
                <w:szCs w:val="22"/>
              </w:rPr>
            </w:pPr>
            <w:r>
              <w:rPr>
                <w:rFonts w:asciiTheme="minorHAnsi" w:hAnsiTheme="minorHAnsi" w:cstheme="minorHAnsi"/>
                <w:sz w:val="22"/>
                <w:szCs w:val="22"/>
              </w:rPr>
              <w:t>Anti-Corruption Guidelines</w:t>
            </w:r>
          </w:p>
        </w:tc>
      </w:tr>
      <w:tr w:rsidR="00A2657B" w:rsidRPr="00FD20D5" w14:paraId="71ABBAB4" w14:textId="77777777" w:rsidTr="00182493">
        <w:tc>
          <w:tcPr>
            <w:tcW w:w="2093" w:type="dxa"/>
          </w:tcPr>
          <w:p w14:paraId="0FA5AFDC" w14:textId="77777777" w:rsidR="00A2657B" w:rsidRPr="00FD20D5" w:rsidRDefault="00A2657B" w:rsidP="00182493">
            <w:pPr>
              <w:rPr>
                <w:rFonts w:asciiTheme="minorHAnsi" w:hAnsiTheme="minorHAnsi" w:cstheme="minorHAnsi"/>
                <w:color w:val="000000" w:themeColor="text1"/>
                <w:sz w:val="22"/>
                <w:szCs w:val="22"/>
              </w:rPr>
            </w:pPr>
            <w:r w:rsidRPr="00FD20D5">
              <w:rPr>
                <w:rFonts w:asciiTheme="minorHAnsi" w:hAnsiTheme="minorHAnsi" w:cstheme="minorHAnsi"/>
                <w:color w:val="000000" w:themeColor="text1"/>
                <w:sz w:val="22"/>
                <w:szCs w:val="22"/>
              </w:rPr>
              <w:t>ADB</w:t>
            </w:r>
          </w:p>
        </w:tc>
        <w:tc>
          <w:tcPr>
            <w:tcW w:w="6662" w:type="dxa"/>
          </w:tcPr>
          <w:p w14:paraId="6258546D" w14:textId="77777777" w:rsidR="00A2657B" w:rsidRPr="00FD20D5" w:rsidRDefault="00A2657B" w:rsidP="00182493">
            <w:pPr>
              <w:rPr>
                <w:rFonts w:asciiTheme="minorHAnsi" w:hAnsiTheme="minorHAnsi" w:cstheme="minorHAnsi"/>
                <w:sz w:val="22"/>
                <w:szCs w:val="22"/>
              </w:rPr>
            </w:pPr>
            <w:r w:rsidRPr="00FD20D5">
              <w:rPr>
                <w:rFonts w:asciiTheme="minorHAnsi" w:hAnsiTheme="minorHAnsi" w:cstheme="minorHAnsi"/>
                <w:color w:val="000000" w:themeColor="text1"/>
                <w:sz w:val="22"/>
                <w:szCs w:val="22"/>
              </w:rPr>
              <w:t>Asian Development Bank</w:t>
            </w:r>
          </w:p>
        </w:tc>
      </w:tr>
      <w:tr w:rsidR="00A2657B" w:rsidRPr="0016063D" w14:paraId="3CA79967" w14:textId="77777777" w:rsidTr="00182493">
        <w:tc>
          <w:tcPr>
            <w:tcW w:w="2093" w:type="dxa"/>
          </w:tcPr>
          <w:p w14:paraId="0ABC3E0B" w14:textId="77777777" w:rsidR="00A2657B" w:rsidRDefault="00A2657B" w:rsidP="00182493">
            <w:pPr>
              <w:rPr>
                <w:rFonts w:asciiTheme="minorHAnsi" w:hAnsiTheme="minorHAnsi" w:cstheme="minorHAnsi"/>
                <w:sz w:val="22"/>
                <w:szCs w:val="22"/>
                <w:lang w:val="en-GB"/>
              </w:rPr>
            </w:pPr>
            <w:r>
              <w:rPr>
                <w:rFonts w:asciiTheme="minorHAnsi" w:hAnsiTheme="minorHAnsi" w:cstheme="minorHAnsi"/>
                <w:sz w:val="22"/>
                <w:szCs w:val="22"/>
                <w:lang w:val="en-GB"/>
              </w:rPr>
              <w:t>AIIB</w:t>
            </w:r>
          </w:p>
        </w:tc>
        <w:tc>
          <w:tcPr>
            <w:tcW w:w="6662" w:type="dxa"/>
          </w:tcPr>
          <w:p w14:paraId="72A4F067" w14:textId="77777777" w:rsidR="00A2657B" w:rsidRPr="0016063D" w:rsidRDefault="00A2657B" w:rsidP="00182493">
            <w:pPr>
              <w:rPr>
                <w:rFonts w:asciiTheme="minorHAnsi" w:hAnsiTheme="minorHAnsi" w:cstheme="minorHAnsi"/>
                <w:sz w:val="22"/>
                <w:szCs w:val="22"/>
              </w:rPr>
            </w:pPr>
            <w:r>
              <w:rPr>
                <w:rFonts w:asciiTheme="minorHAnsi" w:hAnsiTheme="minorHAnsi" w:cstheme="minorHAnsi"/>
                <w:sz w:val="22"/>
                <w:szCs w:val="22"/>
              </w:rPr>
              <w:t>Asian Infrastructure Investment Bank</w:t>
            </w:r>
          </w:p>
        </w:tc>
      </w:tr>
      <w:tr w:rsidR="00A2657B" w:rsidRPr="0016063D" w14:paraId="03C381F5" w14:textId="77777777" w:rsidTr="00182493">
        <w:tc>
          <w:tcPr>
            <w:tcW w:w="2093" w:type="dxa"/>
          </w:tcPr>
          <w:p w14:paraId="1BA0C4E2" w14:textId="12D20D99" w:rsidR="00A2657B" w:rsidRDefault="00A2657B" w:rsidP="00182493">
            <w:pPr>
              <w:rPr>
                <w:rFonts w:asciiTheme="minorHAnsi" w:hAnsiTheme="minorHAnsi" w:cstheme="minorHAnsi"/>
                <w:sz w:val="22"/>
                <w:szCs w:val="22"/>
                <w:lang w:val="en-GB"/>
              </w:rPr>
            </w:pPr>
            <w:r>
              <w:rPr>
                <w:rFonts w:asciiTheme="minorHAnsi" w:hAnsiTheme="minorHAnsi" w:cstheme="minorHAnsi"/>
                <w:sz w:val="22"/>
                <w:szCs w:val="22"/>
                <w:lang w:val="en-GB"/>
              </w:rPr>
              <w:t>AM</w:t>
            </w:r>
            <w:r w:rsidR="00842CA3">
              <w:rPr>
                <w:rFonts w:asciiTheme="minorHAnsi" w:hAnsiTheme="minorHAnsi" w:cstheme="minorHAnsi"/>
                <w:sz w:val="22"/>
                <w:szCs w:val="22"/>
                <w:lang w:val="en-GB"/>
              </w:rPr>
              <w:t>S</w:t>
            </w:r>
          </w:p>
        </w:tc>
        <w:tc>
          <w:tcPr>
            <w:tcW w:w="6662" w:type="dxa"/>
          </w:tcPr>
          <w:p w14:paraId="01ADCDF9" w14:textId="35BB1398" w:rsidR="00A2657B" w:rsidRPr="0016063D" w:rsidRDefault="00A2657B" w:rsidP="00182493">
            <w:pPr>
              <w:rPr>
                <w:rFonts w:asciiTheme="minorHAnsi" w:hAnsiTheme="minorHAnsi" w:cstheme="minorHAnsi"/>
                <w:sz w:val="22"/>
                <w:szCs w:val="22"/>
              </w:rPr>
            </w:pPr>
            <w:r>
              <w:rPr>
                <w:rFonts w:asciiTheme="minorHAnsi" w:hAnsiTheme="minorHAnsi" w:cstheme="minorHAnsi"/>
                <w:sz w:val="22"/>
                <w:szCs w:val="22"/>
              </w:rPr>
              <w:t xml:space="preserve">Anti-Monopoly </w:t>
            </w:r>
            <w:r w:rsidR="00842CA3">
              <w:rPr>
                <w:rFonts w:asciiTheme="minorHAnsi" w:hAnsiTheme="minorHAnsi" w:cstheme="minorHAnsi"/>
                <w:sz w:val="22"/>
                <w:szCs w:val="22"/>
              </w:rPr>
              <w:t>Services under the Government of Tajikistan</w:t>
            </w:r>
          </w:p>
        </w:tc>
      </w:tr>
      <w:tr w:rsidR="00A2657B" w:rsidRPr="00FD20D5" w14:paraId="30017E37" w14:textId="77777777" w:rsidTr="00182493">
        <w:tc>
          <w:tcPr>
            <w:tcW w:w="2093" w:type="dxa"/>
          </w:tcPr>
          <w:p w14:paraId="7E5D45D5" w14:textId="77777777" w:rsidR="00A2657B" w:rsidRPr="00FD20D5" w:rsidRDefault="00A2657B" w:rsidP="00182493">
            <w:pPr>
              <w:rPr>
                <w:rFonts w:asciiTheme="minorHAnsi" w:hAnsiTheme="minorHAnsi" w:cstheme="minorHAnsi"/>
                <w:sz w:val="22"/>
                <w:szCs w:val="22"/>
                <w:lang w:val="en-GB"/>
              </w:rPr>
            </w:pPr>
            <w:r w:rsidRPr="00FD20D5">
              <w:rPr>
                <w:rFonts w:asciiTheme="minorHAnsi" w:hAnsiTheme="minorHAnsi" w:cstheme="minorHAnsi"/>
                <w:sz w:val="22"/>
                <w:szCs w:val="22"/>
                <w:lang w:val="en-GB"/>
              </w:rPr>
              <w:t>AMI</w:t>
            </w:r>
          </w:p>
        </w:tc>
        <w:tc>
          <w:tcPr>
            <w:tcW w:w="6662" w:type="dxa"/>
          </w:tcPr>
          <w:p w14:paraId="5B4CE531" w14:textId="77777777" w:rsidR="00A2657B" w:rsidRPr="00FD20D5" w:rsidRDefault="00A2657B" w:rsidP="00182493">
            <w:pPr>
              <w:rPr>
                <w:rFonts w:asciiTheme="minorHAnsi" w:hAnsiTheme="minorHAnsi" w:cstheme="minorHAnsi"/>
                <w:sz w:val="22"/>
                <w:szCs w:val="22"/>
                <w:lang w:val="en-GB"/>
              </w:rPr>
            </w:pPr>
            <w:r w:rsidRPr="00FD20D5">
              <w:rPr>
                <w:rFonts w:asciiTheme="minorHAnsi" w:hAnsiTheme="minorHAnsi" w:cstheme="minorHAnsi"/>
                <w:sz w:val="22"/>
                <w:szCs w:val="22"/>
                <w:lang w:val="en-GB"/>
              </w:rPr>
              <w:t>Advanced Metering Infrastructure</w:t>
            </w:r>
          </w:p>
        </w:tc>
      </w:tr>
      <w:tr w:rsidR="00A2657B" w:rsidRPr="00FD20D5" w14:paraId="1623936D" w14:textId="77777777" w:rsidTr="00182493">
        <w:tc>
          <w:tcPr>
            <w:tcW w:w="2093" w:type="dxa"/>
          </w:tcPr>
          <w:p w14:paraId="4453CFA8" w14:textId="77777777" w:rsidR="00A2657B" w:rsidRPr="00FD20D5" w:rsidRDefault="00A2657B" w:rsidP="00182493">
            <w:pPr>
              <w:rPr>
                <w:rFonts w:asciiTheme="minorHAnsi" w:hAnsiTheme="minorHAnsi" w:cstheme="minorHAnsi"/>
                <w:sz w:val="22"/>
                <w:szCs w:val="22"/>
                <w:lang w:val="en-GB"/>
              </w:rPr>
            </w:pPr>
            <w:r>
              <w:rPr>
                <w:rFonts w:asciiTheme="minorHAnsi" w:hAnsiTheme="minorHAnsi" w:cstheme="minorHAnsi"/>
                <w:sz w:val="22"/>
                <w:szCs w:val="22"/>
                <w:lang w:val="en-GB"/>
              </w:rPr>
              <w:t>ASFCCC</w:t>
            </w:r>
          </w:p>
        </w:tc>
        <w:tc>
          <w:tcPr>
            <w:tcW w:w="6662" w:type="dxa"/>
          </w:tcPr>
          <w:p w14:paraId="5E524B67" w14:textId="77777777" w:rsidR="00A2657B" w:rsidRPr="00FD20D5" w:rsidRDefault="00A2657B" w:rsidP="00182493">
            <w:pPr>
              <w:rPr>
                <w:rFonts w:asciiTheme="minorHAnsi" w:hAnsiTheme="minorHAnsi" w:cstheme="minorHAnsi"/>
                <w:sz w:val="22"/>
                <w:szCs w:val="22"/>
                <w:lang w:val="en-GB"/>
              </w:rPr>
            </w:pPr>
            <w:r>
              <w:rPr>
                <w:rFonts w:asciiTheme="minorHAnsi" w:hAnsiTheme="minorHAnsi" w:cstheme="minorHAnsi"/>
                <w:sz w:val="22"/>
                <w:szCs w:val="22"/>
                <w:lang w:val="en-GB"/>
              </w:rPr>
              <w:t>Agency for State Financial Control and Combating Corruption</w:t>
            </w:r>
          </w:p>
        </w:tc>
      </w:tr>
      <w:tr w:rsidR="00A2657B" w14:paraId="59232340" w14:textId="77777777" w:rsidTr="00182493">
        <w:tc>
          <w:tcPr>
            <w:tcW w:w="2093" w:type="dxa"/>
          </w:tcPr>
          <w:p w14:paraId="6DDB6A60" w14:textId="77777777" w:rsidR="00A2657B" w:rsidRDefault="00A2657B" w:rsidP="00182493">
            <w:pPr>
              <w:rPr>
                <w:rFonts w:asciiTheme="minorHAnsi" w:hAnsiTheme="minorHAnsi" w:cstheme="minorHAnsi"/>
                <w:sz w:val="22"/>
                <w:szCs w:val="22"/>
                <w:lang w:val="en-GB"/>
              </w:rPr>
            </w:pPr>
            <w:r>
              <w:rPr>
                <w:rFonts w:asciiTheme="minorHAnsi" w:hAnsiTheme="minorHAnsi" w:cstheme="minorHAnsi"/>
                <w:sz w:val="22"/>
                <w:szCs w:val="22"/>
                <w:lang w:val="en-GB"/>
              </w:rPr>
              <w:t>BAU</w:t>
            </w:r>
          </w:p>
        </w:tc>
        <w:tc>
          <w:tcPr>
            <w:tcW w:w="6662" w:type="dxa"/>
          </w:tcPr>
          <w:p w14:paraId="158CE468" w14:textId="77777777" w:rsidR="00A2657B" w:rsidRDefault="00A2657B" w:rsidP="00182493">
            <w:pPr>
              <w:rPr>
                <w:rFonts w:asciiTheme="minorHAnsi" w:hAnsiTheme="minorHAnsi" w:cstheme="minorHAnsi"/>
                <w:sz w:val="22"/>
                <w:szCs w:val="22"/>
                <w:lang w:val="en-GB"/>
              </w:rPr>
            </w:pPr>
            <w:r>
              <w:rPr>
                <w:rFonts w:asciiTheme="minorHAnsi" w:hAnsiTheme="minorHAnsi" w:cstheme="minorHAnsi"/>
                <w:sz w:val="22"/>
                <w:szCs w:val="22"/>
                <w:lang w:val="en-GB"/>
              </w:rPr>
              <w:t>Business as Usual</w:t>
            </w:r>
          </w:p>
        </w:tc>
      </w:tr>
      <w:tr w:rsidR="00A2657B" w:rsidRPr="00FD20D5" w14:paraId="3FF76E1C" w14:textId="77777777" w:rsidTr="00182493">
        <w:tc>
          <w:tcPr>
            <w:tcW w:w="2093" w:type="dxa"/>
          </w:tcPr>
          <w:p w14:paraId="340C344E" w14:textId="77777777" w:rsidR="00A2657B" w:rsidRPr="00FD20D5" w:rsidRDefault="00A2657B" w:rsidP="00182493">
            <w:pPr>
              <w:rPr>
                <w:rFonts w:asciiTheme="minorHAnsi" w:hAnsiTheme="minorHAnsi" w:cstheme="minorHAnsi"/>
                <w:sz w:val="22"/>
                <w:szCs w:val="22"/>
              </w:rPr>
            </w:pPr>
            <w:r w:rsidRPr="00FD20D5">
              <w:rPr>
                <w:rFonts w:asciiTheme="minorHAnsi" w:hAnsiTheme="minorHAnsi" w:cstheme="minorHAnsi"/>
                <w:sz w:val="22"/>
                <w:szCs w:val="22"/>
                <w:lang w:val="en-GB"/>
              </w:rPr>
              <w:t>BT</w:t>
            </w:r>
          </w:p>
        </w:tc>
        <w:tc>
          <w:tcPr>
            <w:tcW w:w="6662" w:type="dxa"/>
          </w:tcPr>
          <w:p w14:paraId="533F56F2" w14:textId="22EE75C6" w:rsidR="00A2657B" w:rsidRPr="00FD20D5" w:rsidRDefault="00A2657B" w:rsidP="00182493">
            <w:pPr>
              <w:rPr>
                <w:rFonts w:asciiTheme="minorHAnsi" w:hAnsiTheme="minorHAnsi" w:cstheme="minorHAnsi"/>
                <w:sz w:val="22"/>
                <w:szCs w:val="22"/>
              </w:rPr>
            </w:pPr>
            <w:r w:rsidRPr="00FD20D5">
              <w:rPr>
                <w:rFonts w:asciiTheme="minorHAnsi" w:hAnsiTheme="minorHAnsi" w:cstheme="minorHAnsi"/>
                <w:sz w:val="22"/>
                <w:szCs w:val="22"/>
                <w:lang w:val="en-GB"/>
              </w:rPr>
              <w:t>Barqi Tojik</w:t>
            </w:r>
            <w:r w:rsidR="008C6759">
              <w:rPr>
                <w:rFonts w:asciiTheme="minorHAnsi" w:hAnsiTheme="minorHAnsi" w:cstheme="minorHAnsi"/>
                <w:sz w:val="22"/>
                <w:szCs w:val="22"/>
                <w:lang w:val="en-GB"/>
              </w:rPr>
              <w:t xml:space="preserve"> Open Joint Stock Holding Company</w:t>
            </w:r>
          </w:p>
        </w:tc>
      </w:tr>
      <w:tr w:rsidR="00A2657B" w:rsidRPr="00FD20D5" w14:paraId="15EF1DD4" w14:textId="77777777" w:rsidTr="00182493">
        <w:tc>
          <w:tcPr>
            <w:tcW w:w="2093" w:type="dxa"/>
          </w:tcPr>
          <w:p w14:paraId="27BEFBBF" w14:textId="77777777" w:rsidR="00A2657B" w:rsidRPr="00FD20D5" w:rsidRDefault="00A2657B" w:rsidP="00182493">
            <w:pPr>
              <w:rPr>
                <w:rFonts w:asciiTheme="minorHAnsi" w:hAnsiTheme="minorHAnsi" w:cstheme="minorHAnsi"/>
                <w:sz w:val="22"/>
                <w:szCs w:val="22"/>
              </w:rPr>
            </w:pPr>
            <w:r>
              <w:rPr>
                <w:rFonts w:asciiTheme="minorHAnsi" w:hAnsiTheme="minorHAnsi" w:cstheme="minorHAnsi"/>
                <w:sz w:val="22"/>
                <w:szCs w:val="22"/>
              </w:rPr>
              <w:t>CAPS</w:t>
            </w:r>
          </w:p>
        </w:tc>
        <w:tc>
          <w:tcPr>
            <w:tcW w:w="6662" w:type="dxa"/>
          </w:tcPr>
          <w:p w14:paraId="64CC8AA1" w14:textId="77777777" w:rsidR="00A2657B" w:rsidRPr="00FD20D5" w:rsidRDefault="00A2657B" w:rsidP="00182493">
            <w:pPr>
              <w:rPr>
                <w:rFonts w:asciiTheme="minorHAnsi" w:hAnsiTheme="minorHAnsi" w:cstheme="minorHAnsi"/>
                <w:sz w:val="22"/>
                <w:szCs w:val="22"/>
              </w:rPr>
            </w:pPr>
            <w:r>
              <w:rPr>
                <w:rFonts w:asciiTheme="minorHAnsi" w:hAnsiTheme="minorHAnsi" w:cstheme="minorHAnsi"/>
                <w:sz w:val="22"/>
                <w:szCs w:val="22"/>
              </w:rPr>
              <w:t>Central Asian Power System</w:t>
            </w:r>
          </w:p>
        </w:tc>
      </w:tr>
      <w:tr w:rsidR="00A2657B" w:rsidRPr="00FD20D5" w14:paraId="1D2CAD4C" w14:textId="77777777" w:rsidTr="00182493">
        <w:tc>
          <w:tcPr>
            <w:tcW w:w="2093" w:type="dxa"/>
          </w:tcPr>
          <w:p w14:paraId="1158119B" w14:textId="77777777" w:rsidR="00A2657B" w:rsidRPr="00FD20D5" w:rsidRDefault="00A2657B" w:rsidP="00182493">
            <w:pPr>
              <w:rPr>
                <w:rFonts w:asciiTheme="minorHAnsi" w:hAnsiTheme="minorHAnsi" w:cstheme="minorHAnsi"/>
                <w:sz w:val="22"/>
                <w:szCs w:val="22"/>
              </w:rPr>
            </w:pPr>
            <w:r w:rsidRPr="00FD20D5">
              <w:rPr>
                <w:rFonts w:asciiTheme="minorHAnsi" w:hAnsiTheme="minorHAnsi" w:cstheme="minorHAnsi"/>
                <w:sz w:val="22"/>
                <w:szCs w:val="22"/>
              </w:rPr>
              <w:t>CASA-1000</w:t>
            </w:r>
          </w:p>
        </w:tc>
        <w:tc>
          <w:tcPr>
            <w:tcW w:w="6662" w:type="dxa"/>
          </w:tcPr>
          <w:p w14:paraId="7AA814A3" w14:textId="77777777" w:rsidR="00A2657B" w:rsidRPr="00FD20D5" w:rsidRDefault="00A2657B" w:rsidP="00182493">
            <w:pPr>
              <w:rPr>
                <w:rFonts w:asciiTheme="minorHAnsi" w:hAnsiTheme="minorHAnsi" w:cstheme="minorHAnsi"/>
                <w:sz w:val="22"/>
                <w:szCs w:val="22"/>
              </w:rPr>
            </w:pPr>
            <w:r w:rsidRPr="00FD20D5">
              <w:rPr>
                <w:rFonts w:asciiTheme="minorHAnsi" w:hAnsiTheme="minorHAnsi" w:cstheme="minorHAnsi"/>
                <w:sz w:val="22"/>
                <w:szCs w:val="22"/>
              </w:rPr>
              <w:t xml:space="preserve">Central Asia South Asia </w:t>
            </w:r>
            <w:r>
              <w:rPr>
                <w:rFonts w:asciiTheme="minorHAnsi" w:hAnsiTheme="minorHAnsi" w:cstheme="minorHAnsi"/>
                <w:sz w:val="22"/>
                <w:szCs w:val="22"/>
              </w:rPr>
              <w:t>Electricity Transmission and Trade Project</w:t>
            </w:r>
            <w:r w:rsidRPr="00FD20D5">
              <w:rPr>
                <w:rFonts w:asciiTheme="minorHAnsi" w:hAnsiTheme="minorHAnsi" w:cstheme="minorHAnsi"/>
                <w:sz w:val="22"/>
                <w:szCs w:val="22"/>
              </w:rPr>
              <w:t xml:space="preserve"> </w:t>
            </w:r>
          </w:p>
        </w:tc>
      </w:tr>
      <w:tr w:rsidR="00A2657B" w:rsidRPr="00FD20D5" w14:paraId="5C740F89" w14:textId="77777777" w:rsidTr="00182493">
        <w:tc>
          <w:tcPr>
            <w:tcW w:w="2093" w:type="dxa"/>
          </w:tcPr>
          <w:p w14:paraId="56010EA8" w14:textId="77777777" w:rsidR="00A2657B" w:rsidRPr="00FD20D5" w:rsidRDefault="00A2657B" w:rsidP="00182493">
            <w:pPr>
              <w:rPr>
                <w:rFonts w:asciiTheme="minorHAnsi" w:hAnsiTheme="minorHAnsi" w:cstheme="minorHAnsi"/>
                <w:sz w:val="22"/>
                <w:szCs w:val="22"/>
                <w:shd w:val="clear" w:color="auto" w:fill="FFFFFF"/>
              </w:rPr>
            </w:pPr>
            <w:r w:rsidRPr="00FD20D5">
              <w:rPr>
                <w:rStyle w:val="1"/>
                <w:rFonts w:asciiTheme="minorHAnsi" w:eastAsiaTheme="minorHAnsi" w:hAnsiTheme="minorHAnsi" w:cstheme="minorHAnsi"/>
                <w:sz w:val="22"/>
                <w:szCs w:val="22"/>
              </w:rPr>
              <w:t>CEP</w:t>
            </w:r>
          </w:p>
        </w:tc>
        <w:tc>
          <w:tcPr>
            <w:tcW w:w="6662" w:type="dxa"/>
          </w:tcPr>
          <w:p w14:paraId="019C18E7" w14:textId="77777777" w:rsidR="00A2657B" w:rsidRPr="00FD20D5" w:rsidRDefault="00A2657B" w:rsidP="00182493">
            <w:pPr>
              <w:rPr>
                <w:rStyle w:val="61"/>
                <w:rFonts w:asciiTheme="minorHAnsi" w:eastAsiaTheme="minorHAnsi" w:hAnsiTheme="minorHAnsi" w:cstheme="minorHAnsi"/>
                <w:sz w:val="22"/>
                <w:szCs w:val="22"/>
              </w:rPr>
            </w:pPr>
            <w:r w:rsidRPr="00FD20D5">
              <w:rPr>
                <w:rStyle w:val="61"/>
                <w:rFonts w:asciiTheme="minorHAnsi" w:eastAsiaTheme="minorHAnsi" w:hAnsiTheme="minorHAnsi" w:cstheme="minorHAnsi"/>
                <w:sz w:val="22"/>
                <w:szCs w:val="22"/>
              </w:rPr>
              <w:t>Committee on Environmental Protection</w:t>
            </w:r>
          </w:p>
        </w:tc>
      </w:tr>
      <w:tr w:rsidR="00A2657B" w:rsidRPr="00FD20D5" w14:paraId="5630CF69" w14:textId="77777777" w:rsidTr="00182493">
        <w:tc>
          <w:tcPr>
            <w:tcW w:w="2093" w:type="dxa"/>
          </w:tcPr>
          <w:p w14:paraId="6B84EEC2" w14:textId="77777777" w:rsidR="00A2657B" w:rsidRPr="00FD20D5" w:rsidRDefault="00A2657B" w:rsidP="00182493">
            <w:pPr>
              <w:rPr>
                <w:rFonts w:asciiTheme="minorHAnsi" w:hAnsiTheme="minorHAnsi" w:cstheme="minorHAnsi"/>
                <w:sz w:val="22"/>
                <w:szCs w:val="22"/>
              </w:rPr>
            </w:pPr>
            <w:r w:rsidRPr="00FD20D5">
              <w:rPr>
                <w:rFonts w:asciiTheme="minorHAnsi" w:hAnsiTheme="minorHAnsi" w:cstheme="minorHAnsi"/>
                <w:sz w:val="22"/>
                <w:szCs w:val="22"/>
              </w:rPr>
              <w:t>CHP</w:t>
            </w:r>
          </w:p>
        </w:tc>
        <w:tc>
          <w:tcPr>
            <w:tcW w:w="6662" w:type="dxa"/>
          </w:tcPr>
          <w:p w14:paraId="65C874AC" w14:textId="77777777" w:rsidR="00A2657B" w:rsidRPr="00FD20D5" w:rsidRDefault="00A2657B" w:rsidP="00182493">
            <w:pPr>
              <w:rPr>
                <w:rFonts w:asciiTheme="minorHAnsi" w:hAnsiTheme="minorHAnsi" w:cstheme="minorHAnsi"/>
                <w:sz w:val="22"/>
                <w:szCs w:val="22"/>
              </w:rPr>
            </w:pPr>
            <w:r w:rsidRPr="00FD20D5">
              <w:rPr>
                <w:rFonts w:asciiTheme="minorHAnsi" w:hAnsiTheme="minorHAnsi" w:cstheme="minorHAnsi"/>
                <w:sz w:val="22"/>
                <w:szCs w:val="22"/>
              </w:rPr>
              <w:t xml:space="preserve">Combined </w:t>
            </w:r>
            <w:r>
              <w:rPr>
                <w:rFonts w:asciiTheme="minorHAnsi" w:hAnsiTheme="minorHAnsi" w:cstheme="minorHAnsi"/>
                <w:sz w:val="22"/>
                <w:szCs w:val="22"/>
              </w:rPr>
              <w:t>Heat and Power P</w:t>
            </w:r>
            <w:r w:rsidRPr="00FD20D5">
              <w:rPr>
                <w:rFonts w:asciiTheme="minorHAnsi" w:hAnsiTheme="minorHAnsi" w:cstheme="minorHAnsi"/>
                <w:sz w:val="22"/>
                <w:szCs w:val="22"/>
              </w:rPr>
              <w:t>lant</w:t>
            </w:r>
          </w:p>
        </w:tc>
      </w:tr>
      <w:tr w:rsidR="00A2657B" w:rsidRPr="00FD20D5" w14:paraId="22FB5B70" w14:textId="77777777" w:rsidTr="00182493">
        <w:tc>
          <w:tcPr>
            <w:tcW w:w="2093" w:type="dxa"/>
          </w:tcPr>
          <w:p w14:paraId="521B9D93" w14:textId="77777777" w:rsidR="00A2657B" w:rsidRPr="00FD20D5" w:rsidRDefault="00A2657B" w:rsidP="0018249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CPF</w:t>
            </w:r>
          </w:p>
        </w:tc>
        <w:tc>
          <w:tcPr>
            <w:tcW w:w="6662" w:type="dxa"/>
          </w:tcPr>
          <w:p w14:paraId="0878F27D" w14:textId="77777777" w:rsidR="00A2657B" w:rsidRPr="00FD20D5" w:rsidRDefault="00A2657B" w:rsidP="0018249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Country Partnership Framework</w:t>
            </w:r>
          </w:p>
        </w:tc>
      </w:tr>
      <w:tr w:rsidR="00A2657B" w:rsidRPr="00FD20D5" w14:paraId="50B13766" w14:textId="77777777" w:rsidTr="00182493">
        <w:tc>
          <w:tcPr>
            <w:tcW w:w="2093" w:type="dxa"/>
          </w:tcPr>
          <w:p w14:paraId="69F10B75" w14:textId="77777777" w:rsidR="00A2657B" w:rsidRPr="00FD20D5" w:rsidRDefault="00A2657B" w:rsidP="00182493">
            <w:pPr>
              <w:rPr>
                <w:rFonts w:asciiTheme="minorHAnsi" w:hAnsiTheme="minorHAnsi" w:cstheme="minorHAnsi"/>
                <w:sz w:val="22"/>
                <w:szCs w:val="22"/>
              </w:rPr>
            </w:pPr>
            <w:r>
              <w:rPr>
                <w:rFonts w:asciiTheme="minorHAnsi" w:hAnsiTheme="minorHAnsi" w:cstheme="minorHAnsi"/>
                <w:sz w:val="22"/>
                <w:szCs w:val="22"/>
              </w:rPr>
              <w:t>DLI</w:t>
            </w:r>
          </w:p>
        </w:tc>
        <w:tc>
          <w:tcPr>
            <w:tcW w:w="6662" w:type="dxa"/>
          </w:tcPr>
          <w:p w14:paraId="5F51658A" w14:textId="77777777" w:rsidR="00A2657B" w:rsidRPr="00FD20D5" w:rsidRDefault="00A2657B" w:rsidP="00182493">
            <w:pPr>
              <w:rPr>
                <w:rFonts w:asciiTheme="minorHAnsi" w:hAnsiTheme="minorHAnsi" w:cstheme="minorHAnsi"/>
                <w:color w:val="1D2228"/>
                <w:sz w:val="22"/>
                <w:szCs w:val="22"/>
                <w:shd w:val="clear" w:color="auto" w:fill="FFFFFF"/>
              </w:rPr>
            </w:pPr>
            <w:r>
              <w:rPr>
                <w:rFonts w:asciiTheme="minorHAnsi" w:hAnsiTheme="minorHAnsi" w:cstheme="minorHAnsi"/>
                <w:color w:val="1D2228"/>
                <w:sz w:val="22"/>
                <w:szCs w:val="22"/>
                <w:shd w:val="clear" w:color="auto" w:fill="FFFFFF"/>
              </w:rPr>
              <w:t>Disbursement Linked Indicator</w:t>
            </w:r>
          </w:p>
        </w:tc>
      </w:tr>
      <w:tr w:rsidR="00A2657B" w14:paraId="3A1E4C35" w14:textId="77777777" w:rsidTr="00182493">
        <w:tc>
          <w:tcPr>
            <w:tcW w:w="2093" w:type="dxa"/>
          </w:tcPr>
          <w:p w14:paraId="39A71CD8" w14:textId="77777777" w:rsidR="00A2657B" w:rsidRDefault="00A2657B" w:rsidP="0018249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DSCR</w:t>
            </w:r>
          </w:p>
        </w:tc>
        <w:tc>
          <w:tcPr>
            <w:tcW w:w="6662" w:type="dxa"/>
          </w:tcPr>
          <w:p w14:paraId="5B0A6DAC" w14:textId="77777777" w:rsidR="00A2657B" w:rsidRDefault="00A2657B" w:rsidP="0018249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Debt Service Coverage Ratio</w:t>
            </w:r>
          </w:p>
        </w:tc>
      </w:tr>
      <w:tr w:rsidR="00A2657B" w:rsidRPr="00FD20D5" w14:paraId="7BE91824" w14:textId="77777777" w:rsidTr="00182493">
        <w:tc>
          <w:tcPr>
            <w:tcW w:w="2093" w:type="dxa"/>
          </w:tcPr>
          <w:p w14:paraId="5E458172" w14:textId="77777777" w:rsidR="00A2657B" w:rsidRPr="00FD20D5" w:rsidRDefault="00A2657B" w:rsidP="0018249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EBITDA</w:t>
            </w:r>
          </w:p>
        </w:tc>
        <w:tc>
          <w:tcPr>
            <w:tcW w:w="6662" w:type="dxa"/>
          </w:tcPr>
          <w:p w14:paraId="2B83D758" w14:textId="77777777" w:rsidR="00A2657B" w:rsidRPr="00FD20D5" w:rsidRDefault="00A2657B" w:rsidP="0018249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Earnings Before interest, Taxes, Depreciation and Amortization</w:t>
            </w:r>
          </w:p>
        </w:tc>
      </w:tr>
      <w:tr w:rsidR="00A2657B" w:rsidRPr="00FD20D5" w14:paraId="43BB993F" w14:textId="77777777" w:rsidTr="00182493">
        <w:tc>
          <w:tcPr>
            <w:tcW w:w="2093" w:type="dxa"/>
          </w:tcPr>
          <w:p w14:paraId="385020BA" w14:textId="77777777" w:rsidR="00A2657B" w:rsidRPr="00FD20D5" w:rsidRDefault="00A2657B" w:rsidP="00182493">
            <w:pPr>
              <w:rPr>
                <w:rFonts w:asciiTheme="minorHAnsi" w:hAnsiTheme="minorHAnsi" w:cstheme="minorHAnsi"/>
                <w:color w:val="000000" w:themeColor="text1"/>
                <w:sz w:val="22"/>
                <w:szCs w:val="22"/>
              </w:rPr>
            </w:pPr>
            <w:r w:rsidRPr="00FD20D5">
              <w:rPr>
                <w:rFonts w:asciiTheme="minorHAnsi" w:hAnsiTheme="minorHAnsi" w:cstheme="minorHAnsi"/>
                <w:color w:val="000000" w:themeColor="text1"/>
                <w:sz w:val="22"/>
                <w:szCs w:val="22"/>
              </w:rPr>
              <w:t>EBRD</w:t>
            </w:r>
          </w:p>
        </w:tc>
        <w:tc>
          <w:tcPr>
            <w:tcW w:w="6662" w:type="dxa"/>
          </w:tcPr>
          <w:p w14:paraId="75045EF3" w14:textId="77777777" w:rsidR="00A2657B" w:rsidRPr="00FD20D5" w:rsidRDefault="00A2657B" w:rsidP="00182493">
            <w:pPr>
              <w:rPr>
                <w:rFonts w:asciiTheme="minorHAnsi" w:hAnsiTheme="minorHAnsi" w:cstheme="minorHAnsi"/>
                <w:sz w:val="22"/>
                <w:szCs w:val="22"/>
              </w:rPr>
            </w:pPr>
            <w:r w:rsidRPr="00FD20D5">
              <w:rPr>
                <w:rFonts w:asciiTheme="minorHAnsi" w:hAnsiTheme="minorHAnsi" w:cstheme="minorHAnsi"/>
                <w:color w:val="000000" w:themeColor="text1"/>
                <w:sz w:val="22"/>
                <w:szCs w:val="22"/>
              </w:rPr>
              <w:t>European Bank for Reconstruction and Development</w:t>
            </w:r>
          </w:p>
        </w:tc>
      </w:tr>
      <w:tr w:rsidR="00A2657B" w14:paraId="0CF8CDBB" w14:textId="77777777" w:rsidTr="00182493">
        <w:tc>
          <w:tcPr>
            <w:tcW w:w="2093" w:type="dxa"/>
          </w:tcPr>
          <w:p w14:paraId="0EF2E13A" w14:textId="77777777" w:rsidR="00A2657B" w:rsidRPr="00FD20D5" w:rsidRDefault="00A2657B" w:rsidP="00182493">
            <w:pPr>
              <w:rPr>
                <w:rFonts w:asciiTheme="minorHAnsi" w:hAnsiTheme="minorHAnsi" w:cstheme="minorHAnsi"/>
                <w:sz w:val="22"/>
                <w:szCs w:val="22"/>
              </w:rPr>
            </w:pPr>
            <w:r>
              <w:rPr>
                <w:rFonts w:asciiTheme="minorHAnsi" w:hAnsiTheme="minorHAnsi" w:cstheme="minorHAnsi"/>
                <w:sz w:val="22"/>
                <w:szCs w:val="22"/>
              </w:rPr>
              <w:t>EDB</w:t>
            </w:r>
          </w:p>
        </w:tc>
        <w:tc>
          <w:tcPr>
            <w:tcW w:w="6662" w:type="dxa"/>
          </w:tcPr>
          <w:p w14:paraId="16B731A9" w14:textId="77777777" w:rsidR="00A2657B" w:rsidRDefault="00A2657B" w:rsidP="00182493">
            <w:pPr>
              <w:rPr>
                <w:rFonts w:asciiTheme="minorHAnsi" w:hAnsiTheme="minorHAnsi" w:cstheme="minorHAnsi"/>
                <w:sz w:val="22"/>
                <w:szCs w:val="22"/>
              </w:rPr>
            </w:pPr>
            <w:r>
              <w:rPr>
                <w:rFonts w:asciiTheme="minorHAnsi" w:hAnsiTheme="minorHAnsi" w:cstheme="minorHAnsi"/>
                <w:sz w:val="22"/>
                <w:szCs w:val="22"/>
              </w:rPr>
              <w:t>Eurasian Development Bank</w:t>
            </w:r>
          </w:p>
        </w:tc>
      </w:tr>
      <w:tr w:rsidR="00A2657B" w:rsidRPr="00FD20D5" w14:paraId="11F2B1CA" w14:textId="77777777" w:rsidTr="00182493">
        <w:tc>
          <w:tcPr>
            <w:tcW w:w="2093" w:type="dxa"/>
          </w:tcPr>
          <w:p w14:paraId="52A81851" w14:textId="77777777" w:rsidR="00A2657B" w:rsidRPr="00FD20D5" w:rsidRDefault="00A2657B" w:rsidP="00182493">
            <w:pPr>
              <w:rPr>
                <w:rFonts w:asciiTheme="minorHAnsi" w:hAnsiTheme="minorHAnsi" w:cstheme="minorHAnsi"/>
                <w:sz w:val="22"/>
                <w:szCs w:val="22"/>
              </w:rPr>
            </w:pPr>
            <w:r w:rsidRPr="00FD20D5">
              <w:rPr>
                <w:rFonts w:asciiTheme="minorHAnsi" w:hAnsiTheme="minorHAnsi" w:cstheme="minorHAnsi"/>
                <w:sz w:val="22"/>
                <w:szCs w:val="22"/>
              </w:rPr>
              <w:t>EIA</w:t>
            </w:r>
          </w:p>
        </w:tc>
        <w:tc>
          <w:tcPr>
            <w:tcW w:w="6662" w:type="dxa"/>
          </w:tcPr>
          <w:p w14:paraId="15B9BF75" w14:textId="77777777" w:rsidR="00A2657B" w:rsidRPr="00FD20D5" w:rsidRDefault="00A2657B" w:rsidP="00182493">
            <w:pPr>
              <w:rPr>
                <w:rStyle w:val="61"/>
                <w:rFonts w:asciiTheme="minorHAnsi" w:eastAsiaTheme="minorHAnsi" w:hAnsiTheme="minorHAnsi" w:cstheme="minorHAnsi"/>
                <w:sz w:val="22"/>
                <w:szCs w:val="22"/>
              </w:rPr>
            </w:pPr>
            <w:r w:rsidRPr="00FD20D5">
              <w:rPr>
                <w:rFonts w:asciiTheme="minorHAnsi" w:hAnsiTheme="minorHAnsi" w:cstheme="minorHAnsi"/>
                <w:sz w:val="22"/>
                <w:szCs w:val="22"/>
              </w:rPr>
              <w:t>Environmental Impact Assessment</w:t>
            </w:r>
          </w:p>
        </w:tc>
      </w:tr>
      <w:tr w:rsidR="00A2657B" w14:paraId="576FE586" w14:textId="77777777" w:rsidTr="00182493">
        <w:tc>
          <w:tcPr>
            <w:tcW w:w="2093" w:type="dxa"/>
          </w:tcPr>
          <w:p w14:paraId="49F2403C" w14:textId="77777777" w:rsidR="00A2657B" w:rsidRDefault="00A2657B" w:rsidP="00182493">
            <w:pPr>
              <w:rPr>
                <w:rFonts w:asciiTheme="minorHAnsi" w:hAnsiTheme="minorHAnsi" w:cstheme="minorHAnsi"/>
                <w:sz w:val="22"/>
                <w:szCs w:val="22"/>
              </w:rPr>
            </w:pPr>
            <w:r>
              <w:rPr>
                <w:rFonts w:asciiTheme="minorHAnsi" w:hAnsiTheme="minorHAnsi" w:cstheme="minorHAnsi"/>
                <w:sz w:val="22"/>
                <w:szCs w:val="22"/>
              </w:rPr>
              <w:t>ESIA</w:t>
            </w:r>
          </w:p>
        </w:tc>
        <w:tc>
          <w:tcPr>
            <w:tcW w:w="6662" w:type="dxa"/>
          </w:tcPr>
          <w:p w14:paraId="6D9710E4" w14:textId="77777777" w:rsidR="00A2657B" w:rsidRDefault="00A2657B" w:rsidP="00182493">
            <w:pPr>
              <w:rPr>
                <w:rFonts w:asciiTheme="minorHAnsi" w:hAnsiTheme="minorHAnsi" w:cstheme="minorHAnsi"/>
                <w:sz w:val="22"/>
                <w:szCs w:val="22"/>
              </w:rPr>
            </w:pPr>
            <w:r>
              <w:rPr>
                <w:rFonts w:asciiTheme="minorHAnsi" w:hAnsiTheme="minorHAnsi" w:cstheme="minorHAnsi"/>
                <w:sz w:val="22"/>
                <w:szCs w:val="22"/>
              </w:rPr>
              <w:t>Environmental and Social Impact Assessment</w:t>
            </w:r>
          </w:p>
        </w:tc>
      </w:tr>
      <w:tr w:rsidR="00A2657B" w:rsidRPr="00FD20D5" w14:paraId="757CA9FE" w14:textId="77777777" w:rsidTr="00182493">
        <w:tc>
          <w:tcPr>
            <w:tcW w:w="2093" w:type="dxa"/>
          </w:tcPr>
          <w:p w14:paraId="4774C525" w14:textId="77777777" w:rsidR="00A2657B" w:rsidRPr="00FD20D5" w:rsidRDefault="00A2657B" w:rsidP="00182493">
            <w:pPr>
              <w:rPr>
                <w:rFonts w:asciiTheme="minorHAnsi" w:hAnsiTheme="minorHAnsi" w:cstheme="minorHAnsi"/>
                <w:sz w:val="22"/>
                <w:szCs w:val="22"/>
              </w:rPr>
            </w:pPr>
            <w:r w:rsidRPr="00FD20D5">
              <w:rPr>
                <w:rFonts w:asciiTheme="minorHAnsi" w:hAnsiTheme="minorHAnsi" w:cstheme="minorHAnsi"/>
                <w:sz w:val="22"/>
                <w:szCs w:val="22"/>
              </w:rPr>
              <w:t>ESMP</w:t>
            </w:r>
          </w:p>
        </w:tc>
        <w:tc>
          <w:tcPr>
            <w:tcW w:w="6662" w:type="dxa"/>
          </w:tcPr>
          <w:p w14:paraId="65BBECEA" w14:textId="77777777" w:rsidR="00A2657B" w:rsidRPr="00FD20D5" w:rsidRDefault="00A2657B" w:rsidP="00182493">
            <w:pPr>
              <w:rPr>
                <w:rFonts w:asciiTheme="minorHAnsi" w:hAnsiTheme="minorHAnsi" w:cstheme="minorHAnsi"/>
                <w:sz w:val="22"/>
                <w:szCs w:val="22"/>
              </w:rPr>
            </w:pPr>
            <w:r w:rsidRPr="00FD20D5">
              <w:rPr>
                <w:rFonts w:asciiTheme="minorHAnsi" w:hAnsiTheme="minorHAnsi" w:cstheme="minorHAnsi"/>
                <w:sz w:val="22"/>
                <w:szCs w:val="22"/>
              </w:rPr>
              <w:t>Environmental and Social Management Plan</w:t>
            </w:r>
          </w:p>
        </w:tc>
      </w:tr>
      <w:tr w:rsidR="00A2657B" w:rsidRPr="00FD20D5" w14:paraId="3F562E5B" w14:textId="77777777" w:rsidTr="00182493">
        <w:tc>
          <w:tcPr>
            <w:tcW w:w="2093" w:type="dxa"/>
          </w:tcPr>
          <w:p w14:paraId="4A925F12" w14:textId="77777777" w:rsidR="00A2657B" w:rsidRPr="00FD20D5" w:rsidRDefault="00A2657B" w:rsidP="00182493">
            <w:pPr>
              <w:rPr>
                <w:rFonts w:asciiTheme="minorHAnsi" w:hAnsiTheme="minorHAnsi" w:cstheme="minorHAnsi"/>
                <w:sz w:val="22"/>
                <w:szCs w:val="22"/>
              </w:rPr>
            </w:pPr>
            <w:r>
              <w:rPr>
                <w:rFonts w:asciiTheme="minorHAnsi" w:hAnsiTheme="minorHAnsi" w:cstheme="minorHAnsi"/>
                <w:sz w:val="22"/>
                <w:szCs w:val="22"/>
              </w:rPr>
              <w:t>ESPMU</w:t>
            </w:r>
          </w:p>
        </w:tc>
        <w:tc>
          <w:tcPr>
            <w:tcW w:w="6662" w:type="dxa"/>
          </w:tcPr>
          <w:p w14:paraId="6C5621A9" w14:textId="77777777" w:rsidR="00A2657B" w:rsidRPr="00FD20D5" w:rsidRDefault="00A2657B" w:rsidP="00182493">
            <w:pPr>
              <w:rPr>
                <w:rFonts w:asciiTheme="minorHAnsi" w:hAnsiTheme="minorHAnsi" w:cstheme="minorHAnsi"/>
                <w:sz w:val="22"/>
                <w:szCs w:val="22"/>
              </w:rPr>
            </w:pPr>
            <w:r>
              <w:rPr>
                <w:rFonts w:asciiTheme="minorHAnsi" w:hAnsiTheme="minorHAnsi" w:cstheme="minorHAnsi"/>
                <w:sz w:val="22"/>
                <w:szCs w:val="22"/>
              </w:rPr>
              <w:t>Energy Sector Project Management Unit</w:t>
            </w:r>
          </w:p>
        </w:tc>
      </w:tr>
      <w:tr w:rsidR="00A2657B" w:rsidRPr="00FD20D5" w14:paraId="1540FDB5" w14:textId="77777777" w:rsidTr="00182493">
        <w:tc>
          <w:tcPr>
            <w:tcW w:w="2093" w:type="dxa"/>
          </w:tcPr>
          <w:p w14:paraId="683D2A81" w14:textId="77777777" w:rsidR="00A2657B" w:rsidRPr="00FD20D5" w:rsidRDefault="00A2657B" w:rsidP="00182493">
            <w:pPr>
              <w:rPr>
                <w:rFonts w:asciiTheme="minorHAnsi" w:hAnsiTheme="minorHAnsi" w:cstheme="minorHAnsi"/>
                <w:sz w:val="22"/>
                <w:szCs w:val="22"/>
              </w:rPr>
            </w:pPr>
            <w:r w:rsidRPr="00FD20D5">
              <w:rPr>
                <w:rFonts w:asciiTheme="minorHAnsi" w:hAnsiTheme="minorHAnsi" w:cstheme="minorHAnsi"/>
                <w:sz w:val="22"/>
                <w:szCs w:val="22"/>
              </w:rPr>
              <w:t>ESSA</w:t>
            </w:r>
          </w:p>
        </w:tc>
        <w:tc>
          <w:tcPr>
            <w:tcW w:w="6662" w:type="dxa"/>
          </w:tcPr>
          <w:p w14:paraId="0D9481B7" w14:textId="77777777" w:rsidR="00A2657B" w:rsidRPr="00FD20D5" w:rsidRDefault="00A2657B" w:rsidP="00182493">
            <w:pPr>
              <w:rPr>
                <w:rFonts w:asciiTheme="minorHAnsi" w:hAnsiTheme="minorHAnsi" w:cstheme="minorHAnsi"/>
                <w:sz w:val="22"/>
                <w:szCs w:val="22"/>
              </w:rPr>
            </w:pPr>
            <w:r w:rsidRPr="00FD20D5">
              <w:rPr>
                <w:rFonts w:asciiTheme="minorHAnsi" w:hAnsiTheme="minorHAnsi" w:cstheme="minorHAnsi"/>
                <w:sz w:val="22"/>
                <w:szCs w:val="22"/>
              </w:rPr>
              <w:t>Environmental and Social Systems Assessment</w:t>
            </w:r>
          </w:p>
        </w:tc>
      </w:tr>
      <w:tr w:rsidR="00A2657B" w:rsidRPr="00FD20D5" w14:paraId="20FBB67D" w14:textId="77777777" w:rsidTr="00182493">
        <w:tc>
          <w:tcPr>
            <w:tcW w:w="2093" w:type="dxa"/>
          </w:tcPr>
          <w:p w14:paraId="7951D361" w14:textId="77777777" w:rsidR="00A2657B" w:rsidRPr="00FD20D5" w:rsidRDefault="00A2657B" w:rsidP="00182493">
            <w:pPr>
              <w:rPr>
                <w:rFonts w:asciiTheme="minorHAnsi" w:hAnsiTheme="minorHAnsi" w:cstheme="minorHAnsi"/>
                <w:sz w:val="22"/>
                <w:szCs w:val="22"/>
              </w:rPr>
            </w:pPr>
            <w:r>
              <w:rPr>
                <w:rFonts w:asciiTheme="minorHAnsi" w:hAnsiTheme="minorHAnsi" w:cstheme="minorHAnsi"/>
                <w:sz w:val="22"/>
                <w:szCs w:val="22"/>
              </w:rPr>
              <w:t>EU</w:t>
            </w:r>
          </w:p>
        </w:tc>
        <w:tc>
          <w:tcPr>
            <w:tcW w:w="6662" w:type="dxa"/>
          </w:tcPr>
          <w:p w14:paraId="53272D25" w14:textId="77777777" w:rsidR="00A2657B" w:rsidRPr="00FD20D5" w:rsidRDefault="00A2657B" w:rsidP="00182493">
            <w:pPr>
              <w:rPr>
                <w:rFonts w:asciiTheme="minorHAnsi" w:hAnsiTheme="minorHAnsi" w:cstheme="minorHAnsi"/>
                <w:sz w:val="22"/>
                <w:szCs w:val="22"/>
              </w:rPr>
            </w:pPr>
            <w:r>
              <w:rPr>
                <w:rFonts w:asciiTheme="minorHAnsi" w:hAnsiTheme="minorHAnsi" w:cstheme="minorHAnsi"/>
                <w:sz w:val="22"/>
                <w:szCs w:val="22"/>
              </w:rPr>
              <w:t>European Union</w:t>
            </w:r>
          </w:p>
        </w:tc>
      </w:tr>
      <w:tr w:rsidR="00A2657B" w:rsidRPr="00FD20D5" w14:paraId="2D495D6B" w14:textId="77777777" w:rsidTr="00182493">
        <w:tc>
          <w:tcPr>
            <w:tcW w:w="2093" w:type="dxa"/>
          </w:tcPr>
          <w:p w14:paraId="531500F9" w14:textId="77777777" w:rsidR="00A2657B" w:rsidRPr="00FD20D5" w:rsidRDefault="00A2657B" w:rsidP="00182493">
            <w:pPr>
              <w:rPr>
                <w:rFonts w:asciiTheme="minorHAnsi" w:hAnsiTheme="minorHAnsi" w:cstheme="minorHAnsi"/>
                <w:sz w:val="22"/>
                <w:szCs w:val="22"/>
              </w:rPr>
            </w:pPr>
            <w:r w:rsidRPr="00FD20D5">
              <w:rPr>
                <w:rFonts w:asciiTheme="minorHAnsi" w:hAnsiTheme="minorHAnsi" w:cstheme="minorHAnsi"/>
                <w:sz w:val="22"/>
                <w:szCs w:val="22"/>
              </w:rPr>
              <w:t>FHH</w:t>
            </w:r>
          </w:p>
        </w:tc>
        <w:tc>
          <w:tcPr>
            <w:tcW w:w="6662" w:type="dxa"/>
          </w:tcPr>
          <w:p w14:paraId="67D33948" w14:textId="77777777" w:rsidR="00A2657B" w:rsidRPr="00FD20D5" w:rsidRDefault="00A2657B" w:rsidP="00182493">
            <w:pPr>
              <w:rPr>
                <w:rFonts w:asciiTheme="minorHAnsi" w:hAnsiTheme="minorHAnsi" w:cstheme="minorHAnsi"/>
                <w:sz w:val="22"/>
                <w:szCs w:val="22"/>
              </w:rPr>
            </w:pPr>
            <w:r w:rsidRPr="00FD20D5">
              <w:rPr>
                <w:rFonts w:asciiTheme="minorHAnsi" w:hAnsiTheme="minorHAnsi" w:cstheme="minorHAnsi"/>
                <w:sz w:val="22"/>
                <w:szCs w:val="22"/>
              </w:rPr>
              <w:t>Female Headed Household</w:t>
            </w:r>
          </w:p>
        </w:tc>
      </w:tr>
      <w:tr w:rsidR="00A2657B" w:rsidRPr="00FD20D5" w14:paraId="16E6AC8C" w14:textId="77777777" w:rsidTr="00182493">
        <w:tc>
          <w:tcPr>
            <w:tcW w:w="2093" w:type="dxa"/>
          </w:tcPr>
          <w:p w14:paraId="729198AD" w14:textId="77777777" w:rsidR="00A2657B" w:rsidRPr="00FD20D5" w:rsidRDefault="00A2657B" w:rsidP="00182493">
            <w:pPr>
              <w:rPr>
                <w:rFonts w:asciiTheme="minorHAnsi" w:hAnsiTheme="minorHAnsi" w:cstheme="minorHAnsi"/>
                <w:sz w:val="22"/>
                <w:szCs w:val="22"/>
              </w:rPr>
            </w:pPr>
            <w:r>
              <w:rPr>
                <w:rFonts w:asciiTheme="minorHAnsi" w:hAnsiTheme="minorHAnsi" w:cstheme="minorHAnsi"/>
                <w:sz w:val="22"/>
                <w:szCs w:val="22"/>
              </w:rPr>
              <w:t>FSA</w:t>
            </w:r>
          </w:p>
        </w:tc>
        <w:tc>
          <w:tcPr>
            <w:tcW w:w="6662" w:type="dxa"/>
          </w:tcPr>
          <w:p w14:paraId="569B17A3" w14:textId="77777777" w:rsidR="00A2657B" w:rsidRPr="00FD20D5" w:rsidRDefault="00A2657B" w:rsidP="00182493">
            <w:pPr>
              <w:rPr>
                <w:rFonts w:asciiTheme="minorHAnsi" w:hAnsiTheme="minorHAnsi" w:cstheme="minorHAnsi"/>
                <w:sz w:val="22"/>
                <w:szCs w:val="22"/>
              </w:rPr>
            </w:pPr>
            <w:r>
              <w:rPr>
                <w:rFonts w:asciiTheme="minorHAnsi" w:hAnsiTheme="minorHAnsi" w:cstheme="minorHAnsi"/>
                <w:sz w:val="22"/>
                <w:szCs w:val="22"/>
              </w:rPr>
              <w:t>Fiduciary Systems Assessment</w:t>
            </w:r>
          </w:p>
        </w:tc>
      </w:tr>
      <w:tr w:rsidR="00A2657B" w:rsidRPr="00FD20D5" w14:paraId="7E8F3242" w14:textId="77777777" w:rsidTr="00182493">
        <w:tc>
          <w:tcPr>
            <w:tcW w:w="2093" w:type="dxa"/>
          </w:tcPr>
          <w:p w14:paraId="2A7632A7" w14:textId="77777777" w:rsidR="00A2657B" w:rsidRPr="00FD20D5" w:rsidRDefault="00A2657B" w:rsidP="00182493">
            <w:pPr>
              <w:rPr>
                <w:rFonts w:asciiTheme="minorHAnsi" w:hAnsiTheme="minorHAnsi" w:cstheme="minorHAnsi"/>
                <w:sz w:val="22"/>
                <w:szCs w:val="22"/>
                <w:lang w:val="en-GB"/>
              </w:rPr>
            </w:pPr>
            <w:r w:rsidRPr="00FD20D5">
              <w:rPr>
                <w:rFonts w:asciiTheme="minorHAnsi" w:hAnsiTheme="minorHAnsi" w:cstheme="minorHAnsi"/>
                <w:sz w:val="22"/>
                <w:szCs w:val="22"/>
              </w:rPr>
              <w:t>GBAO</w:t>
            </w:r>
          </w:p>
        </w:tc>
        <w:tc>
          <w:tcPr>
            <w:tcW w:w="6662" w:type="dxa"/>
          </w:tcPr>
          <w:p w14:paraId="13820890" w14:textId="77777777" w:rsidR="00A2657B" w:rsidRPr="00FD20D5" w:rsidRDefault="00A2657B" w:rsidP="00182493">
            <w:pPr>
              <w:rPr>
                <w:rFonts w:asciiTheme="minorHAnsi" w:hAnsiTheme="minorHAnsi" w:cstheme="minorHAnsi"/>
                <w:sz w:val="22"/>
                <w:szCs w:val="22"/>
              </w:rPr>
            </w:pPr>
            <w:proofErr w:type="spellStart"/>
            <w:r w:rsidRPr="00FD20D5">
              <w:rPr>
                <w:rFonts w:asciiTheme="minorHAnsi" w:hAnsiTheme="minorHAnsi" w:cstheme="minorHAnsi"/>
                <w:sz w:val="22"/>
                <w:szCs w:val="22"/>
              </w:rPr>
              <w:t>Gorno</w:t>
            </w:r>
            <w:proofErr w:type="spellEnd"/>
            <w:r w:rsidRPr="00FD20D5">
              <w:rPr>
                <w:rFonts w:asciiTheme="minorHAnsi" w:hAnsiTheme="minorHAnsi" w:cstheme="minorHAnsi"/>
                <w:sz w:val="22"/>
                <w:szCs w:val="22"/>
              </w:rPr>
              <w:t xml:space="preserve">-Badakhshan Autonomous Oblast </w:t>
            </w:r>
          </w:p>
        </w:tc>
      </w:tr>
      <w:tr w:rsidR="00A2657B" w14:paraId="0EE54F50" w14:textId="77777777" w:rsidTr="00182493">
        <w:tc>
          <w:tcPr>
            <w:tcW w:w="2093" w:type="dxa"/>
          </w:tcPr>
          <w:p w14:paraId="26B6C5AE" w14:textId="77777777" w:rsidR="00A2657B" w:rsidRDefault="00A2657B" w:rsidP="00182493">
            <w:pPr>
              <w:rPr>
                <w:rFonts w:asciiTheme="minorHAnsi" w:hAnsiTheme="minorHAnsi" w:cstheme="minorHAnsi"/>
                <w:sz w:val="22"/>
                <w:szCs w:val="22"/>
              </w:rPr>
            </w:pPr>
            <w:r>
              <w:rPr>
                <w:rFonts w:asciiTheme="minorHAnsi" w:hAnsiTheme="minorHAnsi" w:cstheme="minorHAnsi"/>
                <w:sz w:val="22"/>
                <w:szCs w:val="22"/>
              </w:rPr>
              <w:t>GDP</w:t>
            </w:r>
          </w:p>
        </w:tc>
        <w:tc>
          <w:tcPr>
            <w:tcW w:w="6662" w:type="dxa"/>
          </w:tcPr>
          <w:p w14:paraId="4CCA7B34" w14:textId="77777777" w:rsidR="00A2657B" w:rsidRDefault="00A2657B" w:rsidP="00182493">
            <w:pPr>
              <w:rPr>
                <w:rFonts w:asciiTheme="minorHAnsi" w:hAnsiTheme="minorHAnsi" w:cstheme="minorHAnsi"/>
                <w:sz w:val="22"/>
                <w:szCs w:val="22"/>
              </w:rPr>
            </w:pPr>
            <w:r>
              <w:rPr>
                <w:rFonts w:asciiTheme="minorHAnsi" w:hAnsiTheme="minorHAnsi" w:cstheme="minorHAnsi"/>
                <w:sz w:val="22"/>
                <w:szCs w:val="22"/>
              </w:rPr>
              <w:t>Gross Domestic Product</w:t>
            </w:r>
          </w:p>
        </w:tc>
      </w:tr>
      <w:tr w:rsidR="00A2657B" w14:paraId="4E9C7A4A" w14:textId="77777777" w:rsidTr="00182493">
        <w:tc>
          <w:tcPr>
            <w:tcW w:w="2093" w:type="dxa"/>
          </w:tcPr>
          <w:p w14:paraId="0E20663D" w14:textId="77777777" w:rsidR="00A2657B" w:rsidRDefault="00A2657B" w:rsidP="00182493">
            <w:pPr>
              <w:rPr>
                <w:rFonts w:asciiTheme="minorHAnsi" w:hAnsiTheme="minorHAnsi" w:cstheme="minorHAnsi"/>
                <w:sz w:val="22"/>
                <w:szCs w:val="22"/>
              </w:rPr>
            </w:pPr>
            <w:r>
              <w:rPr>
                <w:rFonts w:asciiTheme="minorHAnsi" w:hAnsiTheme="minorHAnsi" w:cstheme="minorHAnsi"/>
                <w:sz w:val="22"/>
                <w:szCs w:val="22"/>
              </w:rPr>
              <w:t>GEP</w:t>
            </w:r>
          </w:p>
        </w:tc>
        <w:tc>
          <w:tcPr>
            <w:tcW w:w="6662" w:type="dxa"/>
          </w:tcPr>
          <w:p w14:paraId="0BFEF227" w14:textId="77777777" w:rsidR="00A2657B" w:rsidRDefault="00A2657B" w:rsidP="00182493">
            <w:pPr>
              <w:rPr>
                <w:rFonts w:asciiTheme="minorHAnsi" w:hAnsiTheme="minorHAnsi" w:cstheme="minorHAnsi"/>
                <w:sz w:val="22"/>
                <w:szCs w:val="22"/>
              </w:rPr>
            </w:pPr>
            <w:r>
              <w:rPr>
                <w:rFonts w:asciiTheme="minorHAnsi" w:hAnsiTheme="minorHAnsi" w:cstheme="minorHAnsi"/>
                <w:sz w:val="22"/>
                <w:szCs w:val="22"/>
              </w:rPr>
              <w:t>Generation Expansion Plan</w:t>
            </w:r>
          </w:p>
        </w:tc>
      </w:tr>
      <w:tr w:rsidR="00A2657B" w:rsidRPr="00FD20D5" w14:paraId="1A9EDC66" w14:textId="77777777" w:rsidTr="00182493">
        <w:tc>
          <w:tcPr>
            <w:tcW w:w="2093" w:type="dxa"/>
          </w:tcPr>
          <w:p w14:paraId="640C4498" w14:textId="77777777" w:rsidR="00A2657B" w:rsidRPr="00FD20D5" w:rsidRDefault="00A2657B" w:rsidP="00182493">
            <w:pPr>
              <w:rPr>
                <w:rFonts w:asciiTheme="minorHAnsi" w:hAnsiTheme="minorHAnsi" w:cstheme="minorHAnsi"/>
                <w:sz w:val="22"/>
                <w:szCs w:val="22"/>
              </w:rPr>
            </w:pPr>
            <w:r w:rsidRPr="00FD20D5">
              <w:rPr>
                <w:rFonts w:asciiTheme="minorHAnsi" w:hAnsiTheme="minorHAnsi" w:cstheme="minorHAnsi"/>
                <w:sz w:val="22"/>
                <w:szCs w:val="22"/>
              </w:rPr>
              <w:t>GHG</w:t>
            </w:r>
          </w:p>
        </w:tc>
        <w:tc>
          <w:tcPr>
            <w:tcW w:w="6662" w:type="dxa"/>
          </w:tcPr>
          <w:p w14:paraId="45B061A5" w14:textId="77777777" w:rsidR="00A2657B" w:rsidRPr="00FD20D5" w:rsidRDefault="00A2657B" w:rsidP="00182493">
            <w:pPr>
              <w:rPr>
                <w:rFonts w:asciiTheme="minorHAnsi" w:hAnsiTheme="minorHAnsi" w:cstheme="minorHAnsi"/>
                <w:sz w:val="22"/>
                <w:szCs w:val="22"/>
              </w:rPr>
            </w:pPr>
            <w:r w:rsidRPr="00FD20D5">
              <w:rPr>
                <w:rFonts w:asciiTheme="minorHAnsi" w:hAnsiTheme="minorHAnsi" w:cstheme="minorHAnsi"/>
                <w:sz w:val="22"/>
                <w:szCs w:val="22"/>
              </w:rPr>
              <w:t>Greenhouse Gases</w:t>
            </w:r>
          </w:p>
        </w:tc>
      </w:tr>
      <w:tr w:rsidR="00A2657B" w:rsidRPr="00FD20D5" w14:paraId="62701EEF" w14:textId="77777777" w:rsidTr="00182493">
        <w:tc>
          <w:tcPr>
            <w:tcW w:w="2093" w:type="dxa"/>
          </w:tcPr>
          <w:p w14:paraId="5B79E648" w14:textId="77777777" w:rsidR="00A2657B" w:rsidRPr="00FD20D5" w:rsidRDefault="00A2657B" w:rsidP="00182493">
            <w:pPr>
              <w:rPr>
                <w:rFonts w:asciiTheme="minorHAnsi" w:hAnsiTheme="minorHAnsi" w:cstheme="minorHAnsi"/>
                <w:sz w:val="22"/>
                <w:szCs w:val="22"/>
              </w:rPr>
            </w:pPr>
            <w:r>
              <w:rPr>
                <w:rFonts w:asciiTheme="minorHAnsi" w:hAnsiTheme="minorHAnsi" w:cstheme="minorHAnsi"/>
                <w:sz w:val="22"/>
                <w:szCs w:val="22"/>
              </w:rPr>
              <w:t>GRM</w:t>
            </w:r>
          </w:p>
        </w:tc>
        <w:tc>
          <w:tcPr>
            <w:tcW w:w="6662" w:type="dxa"/>
          </w:tcPr>
          <w:p w14:paraId="6E843EF5" w14:textId="77777777" w:rsidR="00A2657B" w:rsidRPr="00FD20D5" w:rsidRDefault="00A2657B" w:rsidP="00182493">
            <w:pPr>
              <w:rPr>
                <w:rFonts w:asciiTheme="minorHAnsi" w:hAnsiTheme="minorHAnsi" w:cstheme="minorHAnsi"/>
                <w:sz w:val="22"/>
                <w:szCs w:val="22"/>
              </w:rPr>
            </w:pPr>
            <w:r>
              <w:rPr>
                <w:rFonts w:asciiTheme="minorHAnsi" w:hAnsiTheme="minorHAnsi" w:cstheme="minorHAnsi"/>
                <w:sz w:val="22"/>
                <w:szCs w:val="22"/>
              </w:rPr>
              <w:t>Grievance Redress Mechanism</w:t>
            </w:r>
          </w:p>
        </w:tc>
      </w:tr>
      <w:tr w:rsidR="00A2657B" w:rsidRPr="00FD20D5" w14:paraId="1AB6AD9D" w14:textId="77777777" w:rsidTr="00182493">
        <w:tc>
          <w:tcPr>
            <w:tcW w:w="2093" w:type="dxa"/>
          </w:tcPr>
          <w:p w14:paraId="025FA041" w14:textId="77777777" w:rsidR="00A2657B" w:rsidRPr="00FD20D5" w:rsidRDefault="00A2657B" w:rsidP="00182493">
            <w:pPr>
              <w:rPr>
                <w:rFonts w:asciiTheme="minorHAnsi" w:hAnsiTheme="minorHAnsi" w:cstheme="minorHAnsi"/>
                <w:sz w:val="22"/>
                <w:szCs w:val="22"/>
              </w:rPr>
            </w:pPr>
            <w:r w:rsidRPr="00FD20D5">
              <w:rPr>
                <w:rFonts w:asciiTheme="minorHAnsi" w:hAnsiTheme="minorHAnsi" w:cstheme="minorHAnsi"/>
                <w:sz w:val="22"/>
                <w:szCs w:val="22"/>
              </w:rPr>
              <w:t>GWh</w:t>
            </w:r>
          </w:p>
        </w:tc>
        <w:tc>
          <w:tcPr>
            <w:tcW w:w="6662" w:type="dxa"/>
          </w:tcPr>
          <w:p w14:paraId="29938088" w14:textId="77777777" w:rsidR="00A2657B" w:rsidRPr="00FD20D5" w:rsidRDefault="00A2657B" w:rsidP="00182493">
            <w:pPr>
              <w:rPr>
                <w:rFonts w:asciiTheme="minorHAnsi" w:hAnsiTheme="minorHAnsi" w:cstheme="minorHAnsi"/>
                <w:color w:val="1D2228"/>
                <w:sz w:val="22"/>
                <w:szCs w:val="22"/>
                <w:shd w:val="clear" w:color="auto" w:fill="FFFFFF"/>
              </w:rPr>
            </w:pPr>
            <w:r w:rsidRPr="00FD20D5">
              <w:rPr>
                <w:rFonts w:asciiTheme="minorHAnsi" w:hAnsiTheme="minorHAnsi" w:cstheme="minorHAnsi"/>
                <w:color w:val="1D2228"/>
                <w:sz w:val="22"/>
                <w:szCs w:val="22"/>
                <w:shd w:val="clear" w:color="auto" w:fill="FFFFFF"/>
              </w:rPr>
              <w:t>Gigawatt-hours</w:t>
            </w:r>
          </w:p>
        </w:tc>
      </w:tr>
      <w:tr w:rsidR="00A2657B" w:rsidRPr="00FD20D5" w14:paraId="4D251383" w14:textId="77777777" w:rsidTr="00182493">
        <w:tc>
          <w:tcPr>
            <w:tcW w:w="2093" w:type="dxa"/>
          </w:tcPr>
          <w:p w14:paraId="6D2F2019" w14:textId="77777777" w:rsidR="00A2657B" w:rsidRPr="00FD20D5" w:rsidRDefault="00A2657B" w:rsidP="00182493">
            <w:pPr>
              <w:rPr>
                <w:rFonts w:asciiTheme="minorHAnsi" w:hAnsiTheme="minorHAnsi" w:cstheme="minorHAnsi"/>
                <w:sz w:val="22"/>
                <w:szCs w:val="22"/>
              </w:rPr>
            </w:pPr>
            <w:r>
              <w:rPr>
                <w:rFonts w:asciiTheme="minorHAnsi" w:hAnsiTheme="minorHAnsi" w:cstheme="minorHAnsi"/>
                <w:sz w:val="22"/>
                <w:szCs w:val="22"/>
              </w:rPr>
              <w:t>HFO</w:t>
            </w:r>
          </w:p>
        </w:tc>
        <w:tc>
          <w:tcPr>
            <w:tcW w:w="6662" w:type="dxa"/>
          </w:tcPr>
          <w:p w14:paraId="43EF4489" w14:textId="77777777" w:rsidR="00A2657B" w:rsidRPr="00FD20D5" w:rsidRDefault="00A2657B" w:rsidP="00182493">
            <w:pPr>
              <w:rPr>
                <w:rFonts w:asciiTheme="minorHAnsi" w:hAnsiTheme="minorHAnsi" w:cstheme="minorHAnsi"/>
                <w:sz w:val="22"/>
                <w:szCs w:val="22"/>
              </w:rPr>
            </w:pPr>
            <w:r>
              <w:rPr>
                <w:rFonts w:asciiTheme="minorHAnsi" w:hAnsiTheme="minorHAnsi" w:cstheme="minorHAnsi"/>
                <w:sz w:val="22"/>
                <w:szCs w:val="22"/>
              </w:rPr>
              <w:t>Heavy Fuel Oil</w:t>
            </w:r>
          </w:p>
        </w:tc>
      </w:tr>
      <w:tr w:rsidR="00A2657B" w:rsidRPr="00FD20D5" w14:paraId="1403C1F9" w14:textId="77777777" w:rsidTr="00182493">
        <w:tc>
          <w:tcPr>
            <w:tcW w:w="2093" w:type="dxa"/>
          </w:tcPr>
          <w:p w14:paraId="226A56F8" w14:textId="77777777" w:rsidR="00A2657B" w:rsidRPr="00FD20D5" w:rsidRDefault="00A2657B" w:rsidP="00182493">
            <w:pPr>
              <w:rPr>
                <w:rFonts w:asciiTheme="minorHAnsi" w:hAnsiTheme="minorHAnsi" w:cstheme="minorHAnsi"/>
                <w:sz w:val="22"/>
                <w:szCs w:val="22"/>
              </w:rPr>
            </w:pPr>
            <w:r w:rsidRPr="00FD20D5">
              <w:rPr>
                <w:rFonts w:asciiTheme="minorHAnsi" w:hAnsiTheme="minorHAnsi" w:cstheme="minorHAnsi"/>
                <w:sz w:val="22"/>
                <w:szCs w:val="22"/>
              </w:rPr>
              <w:t>HPP</w:t>
            </w:r>
          </w:p>
        </w:tc>
        <w:tc>
          <w:tcPr>
            <w:tcW w:w="6662" w:type="dxa"/>
          </w:tcPr>
          <w:p w14:paraId="64971B6B" w14:textId="77777777" w:rsidR="00A2657B" w:rsidRPr="00FD20D5" w:rsidRDefault="00A2657B" w:rsidP="00182493">
            <w:pPr>
              <w:rPr>
                <w:rFonts w:asciiTheme="minorHAnsi" w:hAnsiTheme="minorHAnsi" w:cstheme="minorHAnsi"/>
                <w:sz w:val="22"/>
                <w:szCs w:val="22"/>
              </w:rPr>
            </w:pPr>
            <w:r w:rsidRPr="00FD20D5">
              <w:rPr>
                <w:rFonts w:asciiTheme="minorHAnsi" w:hAnsiTheme="minorHAnsi" w:cstheme="minorHAnsi"/>
                <w:sz w:val="22"/>
                <w:szCs w:val="22"/>
              </w:rPr>
              <w:t>Hydropower Plant</w:t>
            </w:r>
          </w:p>
        </w:tc>
      </w:tr>
      <w:tr w:rsidR="00A2657B" w:rsidRPr="00053654" w14:paraId="5750C4F1" w14:textId="77777777" w:rsidTr="00182493">
        <w:tc>
          <w:tcPr>
            <w:tcW w:w="2093" w:type="dxa"/>
          </w:tcPr>
          <w:p w14:paraId="33F4ED19" w14:textId="77777777" w:rsidR="00A2657B" w:rsidRPr="00053654" w:rsidRDefault="00A2657B" w:rsidP="00182493">
            <w:pPr>
              <w:rPr>
                <w:rFonts w:asciiTheme="minorHAnsi" w:hAnsiTheme="minorHAnsi" w:cstheme="minorHAnsi"/>
                <w:sz w:val="22"/>
                <w:szCs w:val="22"/>
              </w:rPr>
            </w:pPr>
            <w:r w:rsidRPr="00053654">
              <w:rPr>
                <w:rFonts w:asciiTheme="minorHAnsi" w:hAnsiTheme="minorHAnsi" w:cstheme="minorHAnsi"/>
                <w:sz w:val="22"/>
                <w:szCs w:val="22"/>
              </w:rPr>
              <w:t>IAS</w:t>
            </w:r>
          </w:p>
        </w:tc>
        <w:tc>
          <w:tcPr>
            <w:tcW w:w="6662" w:type="dxa"/>
          </w:tcPr>
          <w:p w14:paraId="5638ACFA" w14:textId="77777777" w:rsidR="00A2657B" w:rsidRPr="00053654" w:rsidRDefault="00A2657B" w:rsidP="00182493">
            <w:pPr>
              <w:rPr>
                <w:rStyle w:val="61"/>
                <w:rFonts w:asciiTheme="minorHAnsi" w:eastAsiaTheme="minorHAnsi" w:hAnsiTheme="minorHAnsi" w:cstheme="minorHAnsi"/>
                <w:sz w:val="22"/>
                <w:szCs w:val="22"/>
              </w:rPr>
            </w:pPr>
            <w:r w:rsidRPr="00053654">
              <w:rPr>
                <w:rStyle w:val="61"/>
                <w:rFonts w:asciiTheme="minorHAnsi" w:eastAsiaTheme="minorHAnsi" w:hAnsiTheme="minorHAnsi" w:cstheme="minorHAnsi"/>
                <w:sz w:val="22"/>
                <w:szCs w:val="22"/>
              </w:rPr>
              <w:t>International Accounting Standards</w:t>
            </w:r>
          </w:p>
        </w:tc>
      </w:tr>
      <w:tr w:rsidR="00A2657B" w:rsidRPr="00FD20D5" w14:paraId="537404D8" w14:textId="77777777" w:rsidTr="00182493">
        <w:tc>
          <w:tcPr>
            <w:tcW w:w="2093" w:type="dxa"/>
          </w:tcPr>
          <w:p w14:paraId="028CBCAB" w14:textId="77777777" w:rsidR="00A2657B" w:rsidRPr="00FD20D5" w:rsidRDefault="00A2657B" w:rsidP="00182493">
            <w:pPr>
              <w:rPr>
                <w:rFonts w:asciiTheme="minorHAnsi" w:hAnsiTheme="minorHAnsi" w:cstheme="minorHAnsi"/>
                <w:sz w:val="22"/>
                <w:szCs w:val="22"/>
              </w:rPr>
            </w:pPr>
            <w:r>
              <w:rPr>
                <w:rFonts w:asciiTheme="minorHAnsi" w:hAnsiTheme="minorHAnsi" w:cstheme="minorHAnsi"/>
                <w:sz w:val="22"/>
                <w:szCs w:val="22"/>
              </w:rPr>
              <w:t>IDA</w:t>
            </w:r>
          </w:p>
        </w:tc>
        <w:tc>
          <w:tcPr>
            <w:tcW w:w="6662" w:type="dxa"/>
          </w:tcPr>
          <w:p w14:paraId="6C2E9E19" w14:textId="77777777" w:rsidR="00A2657B" w:rsidRPr="00FD20D5" w:rsidRDefault="00A2657B" w:rsidP="00182493">
            <w:pPr>
              <w:rPr>
                <w:rStyle w:val="61"/>
                <w:rFonts w:asciiTheme="minorHAnsi" w:eastAsiaTheme="minorHAnsi" w:hAnsiTheme="minorHAnsi" w:cstheme="minorHAnsi"/>
                <w:sz w:val="22"/>
                <w:szCs w:val="22"/>
              </w:rPr>
            </w:pPr>
            <w:r>
              <w:rPr>
                <w:rStyle w:val="61"/>
                <w:rFonts w:asciiTheme="minorHAnsi" w:eastAsiaTheme="minorHAnsi" w:hAnsiTheme="minorHAnsi" w:cstheme="minorHAnsi"/>
                <w:sz w:val="22"/>
                <w:szCs w:val="22"/>
              </w:rPr>
              <w:t>International Development Association</w:t>
            </w:r>
          </w:p>
        </w:tc>
      </w:tr>
      <w:tr w:rsidR="00A2657B" w:rsidRPr="00FD20D5" w14:paraId="2858386C" w14:textId="77777777" w:rsidTr="00182493">
        <w:tc>
          <w:tcPr>
            <w:tcW w:w="2093" w:type="dxa"/>
          </w:tcPr>
          <w:p w14:paraId="648B55F8" w14:textId="77777777" w:rsidR="00A2657B" w:rsidRPr="00FD20D5" w:rsidRDefault="00A2657B" w:rsidP="00182493">
            <w:pPr>
              <w:rPr>
                <w:rFonts w:asciiTheme="minorHAnsi" w:hAnsiTheme="minorHAnsi" w:cstheme="minorHAnsi"/>
                <w:sz w:val="22"/>
                <w:szCs w:val="22"/>
              </w:rPr>
            </w:pPr>
            <w:r>
              <w:rPr>
                <w:rFonts w:asciiTheme="minorHAnsi" w:hAnsiTheme="minorHAnsi" w:cstheme="minorHAnsi"/>
                <w:sz w:val="22"/>
                <w:szCs w:val="22"/>
              </w:rPr>
              <w:t>IFC</w:t>
            </w:r>
          </w:p>
        </w:tc>
        <w:tc>
          <w:tcPr>
            <w:tcW w:w="6662" w:type="dxa"/>
          </w:tcPr>
          <w:p w14:paraId="506E08E6" w14:textId="77777777" w:rsidR="00A2657B" w:rsidRPr="00FD20D5" w:rsidRDefault="00A2657B" w:rsidP="00182493">
            <w:pPr>
              <w:rPr>
                <w:rStyle w:val="61"/>
                <w:rFonts w:asciiTheme="minorHAnsi" w:eastAsiaTheme="minorHAnsi" w:hAnsiTheme="minorHAnsi" w:cstheme="minorHAnsi"/>
                <w:sz w:val="22"/>
                <w:szCs w:val="22"/>
              </w:rPr>
            </w:pPr>
            <w:r>
              <w:rPr>
                <w:rStyle w:val="61"/>
                <w:rFonts w:asciiTheme="minorHAnsi" w:eastAsiaTheme="minorHAnsi" w:hAnsiTheme="minorHAnsi" w:cstheme="minorHAnsi"/>
                <w:sz w:val="22"/>
                <w:szCs w:val="22"/>
              </w:rPr>
              <w:t>International Finance Corporation</w:t>
            </w:r>
          </w:p>
        </w:tc>
      </w:tr>
      <w:tr w:rsidR="00A2657B" w:rsidRPr="00D71E28" w14:paraId="6C1C2FEF" w14:textId="77777777" w:rsidTr="00182493">
        <w:tc>
          <w:tcPr>
            <w:tcW w:w="2093" w:type="dxa"/>
          </w:tcPr>
          <w:p w14:paraId="5B794B0B" w14:textId="77777777" w:rsidR="00A2657B" w:rsidRDefault="00A2657B" w:rsidP="00182493">
            <w:pPr>
              <w:rPr>
                <w:rFonts w:asciiTheme="minorHAnsi" w:hAnsiTheme="minorHAnsi" w:cstheme="minorHAnsi"/>
                <w:sz w:val="22"/>
                <w:szCs w:val="22"/>
              </w:rPr>
            </w:pPr>
            <w:r>
              <w:rPr>
                <w:rFonts w:asciiTheme="minorHAnsi" w:hAnsiTheme="minorHAnsi" w:cstheme="minorHAnsi"/>
                <w:sz w:val="22"/>
                <w:szCs w:val="22"/>
              </w:rPr>
              <w:t>IFIs</w:t>
            </w:r>
          </w:p>
        </w:tc>
        <w:tc>
          <w:tcPr>
            <w:tcW w:w="6662" w:type="dxa"/>
          </w:tcPr>
          <w:p w14:paraId="5740CD98" w14:textId="77777777" w:rsidR="00A2657B" w:rsidRPr="00D71E28" w:rsidRDefault="00A2657B" w:rsidP="00182493">
            <w:pPr>
              <w:rPr>
                <w:rStyle w:val="61"/>
                <w:rFonts w:asciiTheme="minorHAnsi" w:eastAsiaTheme="minorHAnsi" w:hAnsiTheme="minorHAnsi" w:cstheme="minorHAnsi"/>
                <w:sz w:val="22"/>
                <w:szCs w:val="22"/>
              </w:rPr>
            </w:pPr>
            <w:r w:rsidRPr="00D71E28">
              <w:rPr>
                <w:rStyle w:val="61"/>
                <w:rFonts w:asciiTheme="minorHAnsi" w:eastAsiaTheme="minorHAnsi" w:hAnsiTheme="minorHAnsi" w:cstheme="minorHAnsi"/>
                <w:sz w:val="22"/>
                <w:szCs w:val="22"/>
              </w:rPr>
              <w:t>International Financial Institutions</w:t>
            </w:r>
          </w:p>
        </w:tc>
      </w:tr>
      <w:tr w:rsidR="00A2657B" w:rsidRPr="00FD20D5" w14:paraId="5883B0D7" w14:textId="77777777" w:rsidTr="00182493">
        <w:tc>
          <w:tcPr>
            <w:tcW w:w="2093" w:type="dxa"/>
          </w:tcPr>
          <w:p w14:paraId="1067DD5C" w14:textId="77777777" w:rsidR="00A2657B" w:rsidRPr="00FD20D5" w:rsidRDefault="00A2657B" w:rsidP="00182493">
            <w:pPr>
              <w:rPr>
                <w:rFonts w:asciiTheme="minorHAnsi" w:hAnsiTheme="minorHAnsi" w:cstheme="minorHAnsi"/>
                <w:sz w:val="22"/>
                <w:szCs w:val="22"/>
              </w:rPr>
            </w:pPr>
            <w:r>
              <w:rPr>
                <w:rFonts w:asciiTheme="minorHAnsi" w:hAnsiTheme="minorHAnsi" w:cstheme="minorHAnsi"/>
                <w:sz w:val="22"/>
                <w:szCs w:val="22"/>
              </w:rPr>
              <w:t>IFRS</w:t>
            </w:r>
          </w:p>
        </w:tc>
        <w:tc>
          <w:tcPr>
            <w:tcW w:w="6662" w:type="dxa"/>
          </w:tcPr>
          <w:p w14:paraId="7BA3DDDF" w14:textId="77777777" w:rsidR="00A2657B" w:rsidRPr="00FD20D5" w:rsidRDefault="00A2657B" w:rsidP="00182493">
            <w:pPr>
              <w:rPr>
                <w:rStyle w:val="61"/>
                <w:rFonts w:asciiTheme="minorHAnsi" w:eastAsiaTheme="minorHAnsi" w:hAnsiTheme="minorHAnsi" w:cstheme="minorHAnsi"/>
                <w:sz w:val="22"/>
                <w:szCs w:val="22"/>
              </w:rPr>
            </w:pPr>
            <w:r>
              <w:rPr>
                <w:rStyle w:val="61"/>
                <w:rFonts w:asciiTheme="minorHAnsi" w:eastAsiaTheme="minorHAnsi" w:hAnsiTheme="minorHAnsi" w:cstheme="minorHAnsi"/>
                <w:sz w:val="22"/>
                <w:szCs w:val="22"/>
              </w:rPr>
              <w:t>International Financial Reporting Standards</w:t>
            </w:r>
          </w:p>
        </w:tc>
      </w:tr>
      <w:tr w:rsidR="00A2657B" w:rsidRPr="00FD20D5" w14:paraId="5B027354" w14:textId="77777777" w:rsidTr="00182493">
        <w:tc>
          <w:tcPr>
            <w:tcW w:w="2093" w:type="dxa"/>
          </w:tcPr>
          <w:p w14:paraId="4F24199F" w14:textId="77777777" w:rsidR="00A2657B" w:rsidRPr="00FD20D5" w:rsidRDefault="00A2657B" w:rsidP="00182493">
            <w:pPr>
              <w:rPr>
                <w:rStyle w:val="1"/>
                <w:rFonts w:asciiTheme="minorHAnsi" w:eastAsiaTheme="minorHAnsi" w:hAnsiTheme="minorHAnsi" w:cstheme="minorHAnsi"/>
                <w:sz w:val="22"/>
                <w:szCs w:val="22"/>
              </w:rPr>
            </w:pPr>
            <w:r w:rsidRPr="00FD20D5">
              <w:rPr>
                <w:rFonts w:asciiTheme="minorHAnsi" w:hAnsiTheme="minorHAnsi" w:cstheme="minorHAnsi"/>
                <w:sz w:val="22"/>
                <w:szCs w:val="22"/>
              </w:rPr>
              <w:t>ILO</w:t>
            </w:r>
          </w:p>
        </w:tc>
        <w:tc>
          <w:tcPr>
            <w:tcW w:w="6662" w:type="dxa"/>
          </w:tcPr>
          <w:p w14:paraId="36F7C9B8" w14:textId="77777777" w:rsidR="00A2657B" w:rsidRPr="00FD20D5" w:rsidRDefault="00A2657B" w:rsidP="00182493">
            <w:pPr>
              <w:rPr>
                <w:rStyle w:val="61"/>
                <w:rFonts w:asciiTheme="minorHAnsi" w:eastAsiaTheme="minorHAnsi" w:hAnsiTheme="minorHAnsi" w:cstheme="minorHAnsi"/>
                <w:sz w:val="22"/>
                <w:szCs w:val="22"/>
              </w:rPr>
            </w:pPr>
            <w:r w:rsidRPr="00FD20D5">
              <w:rPr>
                <w:rStyle w:val="61"/>
                <w:rFonts w:asciiTheme="minorHAnsi" w:eastAsiaTheme="minorHAnsi" w:hAnsiTheme="minorHAnsi" w:cstheme="minorHAnsi"/>
                <w:sz w:val="22"/>
                <w:szCs w:val="22"/>
              </w:rPr>
              <w:t>International Labor Organization</w:t>
            </w:r>
          </w:p>
        </w:tc>
      </w:tr>
      <w:tr w:rsidR="00A2657B" w:rsidRPr="00FD20D5" w14:paraId="35D6107B" w14:textId="77777777" w:rsidTr="00182493">
        <w:tc>
          <w:tcPr>
            <w:tcW w:w="2093" w:type="dxa"/>
          </w:tcPr>
          <w:p w14:paraId="080F5568" w14:textId="77777777" w:rsidR="00A2657B" w:rsidRPr="00FD20D5" w:rsidRDefault="00A2657B" w:rsidP="00182493">
            <w:pPr>
              <w:rPr>
                <w:rFonts w:asciiTheme="minorHAnsi" w:hAnsiTheme="minorHAnsi" w:cstheme="minorHAnsi"/>
                <w:sz w:val="22"/>
                <w:szCs w:val="22"/>
              </w:rPr>
            </w:pPr>
            <w:r>
              <w:rPr>
                <w:rFonts w:asciiTheme="minorHAnsi" w:hAnsiTheme="minorHAnsi" w:cstheme="minorHAnsi"/>
                <w:sz w:val="22"/>
                <w:szCs w:val="22"/>
              </w:rPr>
              <w:t>INTOSAI</w:t>
            </w:r>
          </w:p>
        </w:tc>
        <w:tc>
          <w:tcPr>
            <w:tcW w:w="6662" w:type="dxa"/>
          </w:tcPr>
          <w:p w14:paraId="4F4C1BDF" w14:textId="77777777" w:rsidR="00A2657B" w:rsidRPr="00FD20D5" w:rsidRDefault="00A2657B" w:rsidP="00182493">
            <w:pPr>
              <w:rPr>
                <w:rFonts w:asciiTheme="minorHAnsi" w:hAnsiTheme="minorHAnsi" w:cstheme="minorHAnsi"/>
                <w:sz w:val="22"/>
                <w:szCs w:val="22"/>
              </w:rPr>
            </w:pPr>
            <w:r>
              <w:rPr>
                <w:rFonts w:asciiTheme="minorHAnsi" w:hAnsiTheme="minorHAnsi" w:cstheme="minorHAnsi"/>
                <w:sz w:val="22"/>
                <w:szCs w:val="22"/>
              </w:rPr>
              <w:t>International Organization of Supreme Audit Institutions</w:t>
            </w:r>
          </w:p>
        </w:tc>
      </w:tr>
      <w:tr w:rsidR="00A2657B" w:rsidRPr="00FD20D5" w14:paraId="2321D5BC" w14:textId="77777777" w:rsidTr="00182493">
        <w:tc>
          <w:tcPr>
            <w:tcW w:w="2093" w:type="dxa"/>
          </w:tcPr>
          <w:p w14:paraId="704309AF" w14:textId="77777777" w:rsidR="00A2657B" w:rsidRPr="00FD20D5" w:rsidRDefault="00A2657B" w:rsidP="00182493">
            <w:pPr>
              <w:rPr>
                <w:rFonts w:asciiTheme="minorHAnsi" w:hAnsiTheme="minorHAnsi" w:cstheme="minorHAnsi"/>
                <w:sz w:val="22"/>
                <w:szCs w:val="22"/>
              </w:rPr>
            </w:pPr>
            <w:r w:rsidRPr="00FD20D5">
              <w:rPr>
                <w:rFonts w:asciiTheme="minorHAnsi" w:hAnsiTheme="minorHAnsi" w:cstheme="minorHAnsi"/>
                <w:sz w:val="22"/>
                <w:szCs w:val="22"/>
              </w:rPr>
              <w:t>IPPs</w:t>
            </w:r>
          </w:p>
        </w:tc>
        <w:tc>
          <w:tcPr>
            <w:tcW w:w="6662" w:type="dxa"/>
          </w:tcPr>
          <w:p w14:paraId="56D777F5" w14:textId="77777777" w:rsidR="00A2657B" w:rsidRPr="00FD20D5" w:rsidRDefault="00A2657B" w:rsidP="00182493">
            <w:pPr>
              <w:rPr>
                <w:rFonts w:asciiTheme="minorHAnsi" w:hAnsiTheme="minorHAnsi" w:cstheme="minorHAnsi"/>
                <w:sz w:val="22"/>
                <w:szCs w:val="22"/>
              </w:rPr>
            </w:pPr>
            <w:r w:rsidRPr="00FD20D5">
              <w:rPr>
                <w:rFonts w:asciiTheme="minorHAnsi" w:hAnsiTheme="minorHAnsi" w:cstheme="minorHAnsi"/>
                <w:sz w:val="22"/>
                <w:szCs w:val="22"/>
              </w:rPr>
              <w:t xml:space="preserve">Independent </w:t>
            </w:r>
            <w:r>
              <w:rPr>
                <w:rFonts w:asciiTheme="minorHAnsi" w:hAnsiTheme="minorHAnsi" w:cstheme="minorHAnsi"/>
                <w:sz w:val="22"/>
                <w:szCs w:val="22"/>
              </w:rPr>
              <w:t>P</w:t>
            </w:r>
            <w:r w:rsidRPr="00FD20D5">
              <w:rPr>
                <w:rFonts w:asciiTheme="minorHAnsi" w:hAnsiTheme="minorHAnsi" w:cstheme="minorHAnsi"/>
                <w:sz w:val="22"/>
                <w:szCs w:val="22"/>
              </w:rPr>
              <w:t xml:space="preserve">ower </w:t>
            </w:r>
            <w:r>
              <w:rPr>
                <w:rFonts w:asciiTheme="minorHAnsi" w:hAnsiTheme="minorHAnsi" w:cstheme="minorHAnsi"/>
                <w:sz w:val="22"/>
                <w:szCs w:val="22"/>
              </w:rPr>
              <w:t>P</w:t>
            </w:r>
            <w:r w:rsidRPr="00FD20D5">
              <w:rPr>
                <w:rFonts w:asciiTheme="minorHAnsi" w:hAnsiTheme="minorHAnsi" w:cstheme="minorHAnsi"/>
                <w:sz w:val="22"/>
                <w:szCs w:val="22"/>
              </w:rPr>
              <w:t>roducers</w:t>
            </w:r>
          </w:p>
        </w:tc>
      </w:tr>
      <w:tr w:rsidR="00A2657B" w:rsidRPr="00FD20D5" w14:paraId="43785196" w14:textId="77777777" w:rsidTr="00182493">
        <w:tc>
          <w:tcPr>
            <w:tcW w:w="2093" w:type="dxa"/>
          </w:tcPr>
          <w:p w14:paraId="64115E11" w14:textId="77777777" w:rsidR="00A2657B" w:rsidRPr="00FD20D5" w:rsidRDefault="00A2657B" w:rsidP="00182493">
            <w:pPr>
              <w:rPr>
                <w:rFonts w:asciiTheme="minorHAnsi" w:hAnsiTheme="minorHAnsi" w:cstheme="minorHAnsi"/>
                <w:sz w:val="22"/>
                <w:szCs w:val="22"/>
              </w:rPr>
            </w:pPr>
            <w:r>
              <w:rPr>
                <w:rFonts w:asciiTheme="minorHAnsi" w:hAnsiTheme="minorHAnsi" w:cstheme="minorHAnsi"/>
                <w:sz w:val="22"/>
                <w:szCs w:val="22"/>
              </w:rPr>
              <w:t>IPSAS</w:t>
            </w:r>
          </w:p>
        </w:tc>
        <w:tc>
          <w:tcPr>
            <w:tcW w:w="6662" w:type="dxa"/>
          </w:tcPr>
          <w:p w14:paraId="0952AB0A" w14:textId="77777777" w:rsidR="00A2657B" w:rsidRPr="00FD20D5" w:rsidRDefault="00A2657B" w:rsidP="00182493">
            <w:pPr>
              <w:rPr>
                <w:rFonts w:asciiTheme="minorHAnsi" w:hAnsiTheme="minorHAnsi" w:cstheme="minorHAnsi"/>
                <w:sz w:val="22"/>
                <w:szCs w:val="22"/>
                <w:lang w:val="en-GB"/>
              </w:rPr>
            </w:pPr>
            <w:r>
              <w:rPr>
                <w:rFonts w:asciiTheme="minorHAnsi" w:hAnsiTheme="minorHAnsi" w:cstheme="minorHAnsi"/>
                <w:sz w:val="22"/>
                <w:szCs w:val="22"/>
                <w:lang w:val="en-GB"/>
              </w:rPr>
              <w:t>International Public-Sector Accounting Standards</w:t>
            </w:r>
          </w:p>
        </w:tc>
      </w:tr>
      <w:tr w:rsidR="00A2657B" w:rsidRPr="00FD20D5" w14:paraId="0DAA84E2" w14:textId="77777777" w:rsidTr="00182493">
        <w:tc>
          <w:tcPr>
            <w:tcW w:w="2093" w:type="dxa"/>
          </w:tcPr>
          <w:p w14:paraId="79DEAEBF" w14:textId="77777777" w:rsidR="00A2657B" w:rsidRPr="00FD20D5" w:rsidRDefault="00A2657B" w:rsidP="00182493">
            <w:pPr>
              <w:rPr>
                <w:rFonts w:asciiTheme="minorHAnsi" w:hAnsiTheme="minorHAnsi" w:cstheme="minorHAnsi"/>
                <w:sz w:val="22"/>
                <w:szCs w:val="22"/>
              </w:rPr>
            </w:pPr>
            <w:r>
              <w:rPr>
                <w:rFonts w:asciiTheme="minorHAnsi" w:hAnsiTheme="minorHAnsi" w:cstheme="minorHAnsi"/>
                <w:sz w:val="22"/>
                <w:szCs w:val="22"/>
              </w:rPr>
              <w:lastRenderedPageBreak/>
              <w:t>ISA</w:t>
            </w:r>
          </w:p>
        </w:tc>
        <w:tc>
          <w:tcPr>
            <w:tcW w:w="6662" w:type="dxa"/>
          </w:tcPr>
          <w:p w14:paraId="6EE2CB9F" w14:textId="77777777" w:rsidR="00A2657B" w:rsidRPr="00FD20D5" w:rsidRDefault="00A2657B" w:rsidP="00182493">
            <w:pPr>
              <w:rPr>
                <w:rFonts w:asciiTheme="minorHAnsi" w:hAnsiTheme="minorHAnsi" w:cstheme="minorHAnsi"/>
                <w:sz w:val="22"/>
                <w:szCs w:val="22"/>
                <w:lang w:val="en-GB"/>
              </w:rPr>
            </w:pPr>
            <w:r>
              <w:rPr>
                <w:rFonts w:asciiTheme="minorHAnsi" w:hAnsiTheme="minorHAnsi" w:cstheme="minorHAnsi"/>
                <w:sz w:val="22"/>
                <w:szCs w:val="22"/>
                <w:lang w:val="en-GB"/>
              </w:rPr>
              <w:t>International Standards on Auditing</w:t>
            </w:r>
          </w:p>
        </w:tc>
      </w:tr>
      <w:tr w:rsidR="00A2657B" w:rsidRPr="00FD20D5" w14:paraId="15239633" w14:textId="77777777" w:rsidTr="00182493">
        <w:tc>
          <w:tcPr>
            <w:tcW w:w="2093" w:type="dxa"/>
          </w:tcPr>
          <w:p w14:paraId="61B877CA" w14:textId="77777777" w:rsidR="00A2657B" w:rsidRPr="00FD20D5" w:rsidRDefault="00A2657B" w:rsidP="00182493">
            <w:pPr>
              <w:rPr>
                <w:rFonts w:asciiTheme="minorHAnsi" w:hAnsiTheme="minorHAnsi" w:cstheme="minorHAnsi"/>
                <w:sz w:val="22"/>
                <w:szCs w:val="22"/>
              </w:rPr>
            </w:pPr>
            <w:r>
              <w:rPr>
                <w:rFonts w:asciiTheme="minorHAnsi" w:hAnsiTheme="minorHAnsi" w:cstheme="minorHAnsi"/>
                <w:sz w:val="22"/>
                <w:szCs w:val="22"/>
              </w:rPr>
              <w:t>ISDB</w:t>
            </w:r>
          </w:p>
        </w:tc>
        <w:tc>
          <w:tcPr>
            <w:tcW w:w="6662" w:type="dxa"/>
          </w:tcPr>
          <w:p w14:paraId="7CD8683B" w14:textId="77777777" w:rsidR="00A2657B" w:rsidRPr="00FD20D5" w:rsidRDefault="00A2657B" w:rsidP="00182493">
            <w:pPr>
              <w:rPr>
                <w:rFonts w:asciiTheme="minorHAnsi" w:hAnsiTheme="minorHAnsi" w:cstheme="minorHAnsi"/>
                <w:sz w:val="22"/>
                <w:szCs w:val="22"/>
                <w:lang w:val="en-GB"/>
              </w:rPr>
            </w:pPr>
            <w:r>
              <w:rPr>
                <w:rFonts w:asciiTheme="minorHAnsi" w:hAnsiTheme="minorHAnsi" w:cstheme="minorHAnsi"/>
                <w:sz w:val="22"/>
                <w:szCs w:val="22"/>
                <w:lang w:val="en-GB"/>
              </w:rPr>
              <w:t>Islamic Development Bank</w:t>
            </w:r>
          </w:p>
        </w:tc>
      </w:tr>
      <w:tr w:rsidR="00A2657B" w14:paraId="1AA6A221" w14:textId="77777777" w:rsidTr="00182493">
        <w:tc>
          <w:tcPr>
            <w:tcW w:w="2093" w:type="dxa"/>
          </w:tcPr>
          <w:p w14:paraId="1145D243" w14:textId="77777777" w:rsidR="00A2657B" w:rsidRDefault="00A2657B" w:rsidP="00182493">
            <w:pPr>
              <w:rPr>
                <w:rFonts w:asciiTheme="minorHAnsi" w:hAnsiTheme="minorHAnsi" w:cstheme="minorHAnsi"/>
                <w:sz w:val="22"/>
                <w:szCs w:val="22"/>
              </w:rPr>
            </w:pPr>
            <w:r>
              <w:rPr>
                <w:rFonts w:asciiTheme="minorHAnsi" w:hAnsiTheme="minorHAnsi" w:cstheme="minorHAnsi"/>
                <w:sz w:val="22"/>
                <w:szCs w:val="22"/>
              </w:rPr>
              <w:t>IVA</w:t>
            </w:r>
          </w:p>
        </w:tc>
        <w:tc>
          <w:tcPr>
            <w:tcW w:w="6662" w:type="dxa"/>
          </w:tcPr>
          <w:p w14:paraId="3E9FFC80" w14:textId="77777777" w:rsidR="00A2657B" w:rsidRDefault="00A2657B" w:rsidP="00182493">
            <w:pPr>
              <w:rPr>
                <w:rFonts w:asciiTheme="minorHAnsi" w:hAnsiTheme="minorHAnsi" w:cstheme="minorHAnsi"/>
                <w:sz w:val="22"/>
                <w:szCs w:val="22"/>
                <w:lang w:val="en-GB"/>
              </w:rPr>
            </w:pPr>
            <w:r>
              <w:rPr>
                <w:rFonts w:asciiTheme="minorHAnsi" w:hAnsiTheme="minorHAnsi" w:cstheme="minorHAnsi"/>
                <w:sz w:val="22"/>
                <w:szCs w:val="22"/>
                <w:lang w:val="en-GB"/>
              </w:rPr>
              <w:t>Independent Verification Agent</w:t>
            </w:r>
          </w:p>
        </w:tc>
      </w:tr>
      <w:tr w:rsidR="00A2657B" w14:paraId="7ABB5129" w14:textId="77777777" w:rsidTr="00182493">
        <w:tc>
          <w:tcPr>
            <w:tcW w:w="2093" w:type="dxa"/>
          </w:tcPr>
          <w:p w14:paraId="09FD36A0" w14:textId="77777777" w:rsidR="00A2657B" w:rsidRDefault="00A2657B" w:rsidP="00182493">
            <w:pPr>
              <w:rPr>
                <w:rFonts w:asciiTheme="minorHAnsi" w:hAnsiTheme="minorHAnsi" w:cstheme="minorHAnsi"/>
                <w:sz w:val="22"/>
                <w:szCs w:val="22"/>
              </w:rPr>
            </w:pPr>
            <w:proofErr w:type="spellStart"/>
            <w:r>
              <w:rPr>
                <w:rFonts w:asciiTheme="minorHAnsi" w:hAnsiTheme="minorHAnsi" w:cstheme="minorHAnsi"/>
                <w:sz w:val="22"/>
                <w:szCs w:val="22"/>
              </w:rPr>
              <w:t>KfW</w:t>
            </w:r>
            <w:proofErr w:type="spellEnd"/>
          </w:p>
        </w:tc>
        <w:tc>
          <w:tcPr>
            <w:tcW w:w="6662" w:type="dxa"/>
          </w:tcPr>
          <w:p w14:paraId="52254455" w14:textId="77777777" w:rsidR="00A2657B" w:rsidRDefault="00A2657B" w:rsidP="00182493">
            <w:pPr>
              <w:rPr>
                <w:rFonts w:asciiTheme="minorHAnsi" w:hAnsiTheme="minorHAnsi" w:cstheme="minorHAnsi"/>
                <w:sz w:val="22"/>
                <w:szCs w:val="22"/>
                <w:lang w:val="en-GB"/>
              </w:rPr>
            </w:pPr>
            <w:proofErr w:type="spellStart"/>
            <w:r w:rsidRPr="004849ED">
              <w:rPr>
                <w:rFonts w:asciiTheme="minorHAnsi" w:hAnsiTheme="minorHAnsi" w:cstheme="minorHAnsi"/>
                <w:bCs/>
                <w:color w:val="222222"/>
                <w:sz w:val="22"/>
                <w:shd w:val="clear" w:color="auto" w:fill="FFFFFF"/>
              </w:rPr>
              <w:t>Kreditanstalt</w:t>
            </w:r>
            <w:proofErr w:type="spellEnd"/>
            <w:r w:rsidRPr="004849ED">
              <w:rPr>
                <w:rFonts w:asciiTheme="minorHAnsi" w:hAnsiTheme="minorHAnsi" w:cstheme="minorHAnsi"/>
                <w:bCs/>
                <w:color w:val="222222"/>
                <w:sz w:val="22"/>
                <w:shd w:val="clear" w:color="auto" w:fill="FFFFFF"/>
              </w:rPr>
              <w:t xml:space="preserve"> für </w:t>
            </w:r>
            <w:proofErr w:type="spellStart"/>
            <w:r w:rsidRPr="004849ED">
              <w:rPr>
                <w:rFonts w:asciiTheme="minorHAnsi" w:hAnsiTheme="minorHAnsi" w:cstheme="minorHAnsi"/>
                <w:bCs/>
                <w:color w:val="222222"/>
                <w:sz w:val="22"/>
                <w:shd w:val="clear" w:color="auto" w:fill="FFFFFF"/>
              </w:rPr>
              <w:t>Wiederaufbau</w:t>
            </w:r>
            <w:proofErr w:type="spellEnd"/>
          </w:p>
        </w:tc>
      </w:tr>
      <w:tr w:rsidR="00A2657B" w:rsidRPr="00FD20D5" w14:paraId="5F8062B5" w14:textId="77777777" w:rsidTr="00182493">
        <w:tc>
          <w:tcPr>
            <w:tcW w:w="2093" w:type="dxa"/>
          </w:tcPr>
          <w:p w14:paraId="7F257B64" w14:textId="77777777" w:rsidR="00A2657B" w:rsidRPr="00FD20D5" w:rsidRDefault="00A2657B" w:rsidP="00182493">
            <w:pPr>
              <w:rPr>
                <w:rFonts w:asciiTheme="minorHAnsi" w:hAnsiTheme="minorHAnsi" w:cstheme="minorHAnsi"/>
                <w:sz w:val="22"/>
                <w:szCs w:val="22"/>
              </w:rPr>
            </w:pPr>
            <w:r w:rsidRPr="00FD20D5">
              <w:rPr>
                <w:rFonts w:asciiTheme="minorHAnsi" w:hAnsiTheme="minorHAnsi" w:cstheme="minorHAnsi"/>
                <w:sz w:val="22"/>
                <w:szCs w:val="22"/>
              </w:rPr>
              <w:t>kWh</w:t>
            </w:r>
          </w:p>
        </w:tc>
        <w:tc>
          <w:tcPr>
            <w:tcW w:w="6662" w:type="dxa"/>
          </w:tcPr>
          <w:p w14:paraId="5BFBA1F0" w14:textId="77777777" w:rsidR="00A2657B" w:rsidRPr="00FD20D5" w:rsidRDefault="00A2657B" w:rsidP="00182493">
            <w:pPr>
              <w:rPr>
                <w:rFonts w:asciiTheme="minorHAnsi" w:hAnsiTheme="minorHAnsi" w:cstheme="minorHAnsi"/>
                <w:sz w:val="22"/>
                <w:szCs w:val="22"/>
                <w:lang w:val="en-GB"/>
              </w:rPr>
            </w:pPr>
            <w:r w:rsidRPr="00FD20D5">
              <w:rPr>
                <w:rFonts w:asciiTheme="minorHAnsi" w:hAnsiTheme="minorHAnsi" w:cstheme="minorHAnsi"/>
                <w:sz w:val="22"/>
                <w:szCs w:val="22"/>
                <w:lang w:val="en-GB"/>
              </w:rPr>
              <w:t>Kilowatt-hour</w:t>
            </w:r>
          </w:p>
        </w:tc>
      </w:tr>
      <w:tr w:rsidR="00A2657B" w:rsidRPr="00FD20D5" w14:paraId="159E094F" w14:textId="77777777" w:rsidTr="00182493">
        <w:tc>
          <w:tcPr>
            <w:tcW w:w="2093" w:type="dxa"/>
          </w:tcPr>
          <w:p w14:paraId="56F12BC1" w14:textId="77777777" w:rsidR="00A2657B" w:rsidRPr="00FD20D5" w:rsidRDefault="00A2657B" w:rsidP="00182493">
            <w:pPr>
              <w:rPr>
                <w:rStyle w:val="1"/>
                <w:rFonts w:asciiTheme="minorHAnsi" w:eastAsiaTheme="minorHAnsi" w:hAnsiTheme="minorHAnsi" w:cstheme="minorHAnsi"/>
                <w:sz w:val="22"/>
                <w:szCs w:val="22"/>
              </w:rPr>
            </w:pPr>
            <w:r w:rsidRPr="00FD20D5">
              <w:rPr>
                <w:rFonts w:asciiTheme="minorHAnsi" w:hAnsiTheme="minorHAnsi" w:cstheme="minorHAnsi"/>
                <w:sz w:val="22"/>
                <w:szCs w:val="22"/>
              </w:rPr>
              <w:t>MEWR</w:t>
            </w:r>
          </w:p>
        </w:tc>
        <w:tc>
          <w:tcPr>
            <w:tcW w:w="6662" w:type="dxa"/>
          </w:tcPr>
          <w:p w14:paraId="7D287F06" w14:textId="77777777" w:rsidR="00A2657B" w:rsidRPr="00FD20D5" w:rsidRDefault="00A2657B" w:rsidP="00182493">
            <w:pPr>
              <w:rPr>
                <w:rStyle w:val="61"/>
                <w:rFonts w:asciiTheme="minorHAnsi" w:eastAsiaTheme="minorHAnsi" w:hAnsiTheme="minorHAnsi" w:cstheme="minorHAnsi"/>
                <w:sz w:val="22"/>
                <w:szCs w:val="22"/>
              </w:rPr>
            </w:pPr>
            <w:r w:rsidRPr="00FD20D5">
              <w:rPr>
                <w:rStyle w:val="65"/>
                <w:rFonts w:asciiTheme="minorHAnsi" w:eastAsiaTheme="minorHAnsi" w:hAnsiTheme="minorHAnsi" w:cstheme="minorHAnsi"/>
                <w:sz w:val="22"/>
                <w:szCs w:val="22"/>
              </w:rPr>
              <w:t>Ministry of Energy and Water Resources</w:t>
            </w:r>
          </w:p>
        </w:tc>
      </w:tr>
      <w:tr w:rsidR="00A2657B" w:rsidRPr="00FD20D5" w14:paraId="669E7E3E" w14:textId="77777777" w:rsidTr="00182493">
        <w:tc>
          <w:tcPr>
            <w:tcW w:w="2093" w:type="dxa"/>
          </w:tcPr>
          <w:p w14:paraId="6AD7E68D" w14:textId="77777777" w:rsidR="00A2657B" w:rsidRPr="00FD20D5" w:rsidRDefault="00A2657B" w:rsidP="00182493">
            <w:pPr>
              <w:rPr>
                <w:rFonts w:asciiTheme="minorHAnsi" w:hAnsiTheme="minorHAnsi" w:cstheme="minorHAnsi"/>
                <w:sz w:val="22"/>
                <w:szCs w:val="22"/>
              </w:rPr>
            </w:pPr>
            <w:r>
              <w:rPr>
                <w:rFonts w:asciiTheme="minorHAnsi" w:hAnsiTheme="minorHAnsi" w:cstheme="minorHAnsi"/>
                <w:sz w:val="22"/>
                <w:szCs w:val="22"/>
              </w:rPr>
              <w:t>MOHSP</w:t>
            </w:r>
          </w:p>
        </w:tc>
        <w:tc>
          <w:tcPr>
            <w:tcW w:w="6662" w:type="dxa"/>
          </w:tcPr>
          <w:p w14:paraId="77B49AAB" w14:textId="77777777" w:rsidR="00A2657B" w:rsidRPr="00FD20D5" w:rsidRDefault="00A2657B" w:rsidP="00182493">
            <w:pPr>
              <w:rPr>
                <w:rStyle w:val="65"/>
                <w:rFonts w:asciiTheme="minorHAnsi" w:eastAsiaTheme="minorHAnsi" w:hAnsiTheme="minorHAnsi" w:cstheme="minorHAnsi"/>
                <w:sz w:val="22"/>
                <w:szCs w:val="22"/>
              </w:rPr>
            </w:pPr>
            <w:r>
              <w:rPr>
                <w:rStyle w:val="65"/>
                <w:rFonts w:asciiTheme="minorHAnsi" w:eastAsiaTheme="minorHAnsi" w:hAnsiTheme="minorHAnsi" w:cstheme="minorHAnsi"/>
                <w:sz w:val="22"/>
                <w:szCs w:val="22"/>
              </w:rPr>
              <w:t>Ministry of Health and Social Protection</w:t>
            </w:r>
          </w:p>
        </w:tc>
      </w:tr>
      <w:tr w:rsidR="00A2657B" w:rsidRPr="00FD20D5" w14:paraId="326262C6" w14:textId="77777777" w:rsidTr="00182493">
        <w:tc>
          <w:tcPr>
            <w:tcW w:w="2093" w:type="dxa"/>
          </w:tcPr>
          <w:p w14:paraId="695DEE8E" w14:textId="77777777" w:rsidR="00A2657B" w:rsidRPr="00FD20D5" w:rsidRDefault="00A2657B" w:rsidP="00182493">
            <w:pPr>
              <w:rPr>
                <w:rFonts w:asciiTheme="minorHAnsi" w:hAnsiTheme="minorHAnsi" w:cstheme="minorHAnsi"/>
                <w:sz w:val="22"/>
                <w:szCs w:val="22"/>
              </w:rPr>
            </w:pPr>
            <w:r>
              <w:rPr>
                <w:rFonts w:asciiTheme="minorHAnsi" w:hAnsiTheme="minorHAnsi" w:cstheme="minorHAnsi"/>
                <w:sz w:val="22"/>
                <w:szCs w:val="22"/>
              </w:rPr>
              <w:t>MIGA</w:t>
            </w:r>
          </w:p>
        </w:tc>
        <w:tc>
          <w:tcPr>
            <w:tcW w:w="6662" w:type="dxa"/>
          </w:tcPr>
          <w:p w14:paraId="5395BC37" w14:textId="77777777" w:rsidR="00A2657B" w:rsidRPr="00FD20D5" w:rsidRDefault="00A2657B" w:rsidP="00182493">
            <w:pPr>
              <w:rPr>
                <w:rStyle w:val="65"/>
                <w:rFonts w:asciiTheme="minorHAnsi" w:eastAsiaTheme="minorHAnsi" w:hAnsiTheme="minorHAnsi" w:cstheme="minorHAnsi"/>
                <w:sz w:val="22"/>
                <w:szCs w:val="22"/>
              </w:rPr>
            </w:pPr>
            <w:r>
              <w:rPr>
                <w:rStyle w:val="65"/>
                <w:rFonts w:asciiTheme="minorHAnsi" w:eastAsiaTheme="minorHAnsi" w:hAnsiTheme="minorHAnsi" w:cstheme="minorHAnsi"/>
                <w:sz w:val="22"/>
                <w:szCs w:val="22"/>
              </w:rPr>
              <w:t>Multilateral Investment Guarantee Agency</w:t>
            </w:r>
          </w:p>
        </w:tc>
      </w:tr>
      <w:tr w:rsidR="00A2657B" w:rsidRPr="00FD20D5" w14:paraId="1FFEDBDE" w14:textId="77777777" w:rsidTr="00182493">
        <w:tc>
          <w:tcPr>
            <w:tcW w:w="2093" w:type="dxa"/>
          </w:tcPr>
          <w:p w14:paraId="037402C7" w14:textId="77777777" w:rsidR="00A2657B" w:rsidRPr="00FD20D5" w:rsidRDefault="00A2657B" w:rsidP="00182493">
            <w:pPr>
              <w:rPr>
                <w:rFonts w:asciiTheme="minorHAnsi" w:hAnsiTheme="minorHAnsi" w:cstheme="minorHAnsi"/>
                <w:sz w:val="22"/>
                <w:szCs w:val="22"/>
              </w:rPr>
            </w:pPr>
            <w:r>
              <w:rPr>
                <w:rFonts w:asciiTheme="minorHAnsi" w:hAnsiTheme="minorHAnsi" w:cstheme="minorHAnsi"/>
                <w:sz w:val="22"/>
                <w:szCs w:val="22"/>
              </w:rPr>
              <w:t>MOF</w:t>
            </w:r>
          </w:p>
        </w:tc>
        <w:tc>
          <w:tcPr>
            <w:tcW w:w="6662" w:type="dxa"/>
          </w:tcPr>
          <w:p w14:paraId="149B2C4A" w14:textId="77777777" w:rsidR="00A2657B" w:rsidRPr="00FD20D5" w:rsidRDefault="00A2657B" w:rsidP="00182493">
            <w:pPr>
              <w:rPr>
                <w:rFonts w:asciiTheme="minorHAnsi" w:hAnsiTheme="minorHAnsi" w:cstheme="minorHAnsi"/>
                <w:sz w:val="22"/>
                <w:szCs w:val="22"/>
              </w:rPr>
            </w:pPr>
            <w:r w:rsidRPr="00FD20D5">
              <w:rPr>
                <w:rFonts w:asciiTheme="minorHAnsi" w:hAnsiTheme="minorHAnsi" w:cstheme="minorHAnsi"/>
                <w:sz w:val="22"/>
                <w:szCs w:val="22"/>
              </w:rPr>
              <w:t>Ministry of Finance of the Republic of Tajikistan</w:t>
            </w:r>
          </w:p>
        </w:tc>
      </w:tr>
      <w:tr w:rsidR="00A2657B" w:rsidRPr="00FD20D5" w14:paraId="0180E598" w14:textId="77777777" w:rsidTr="00182493">
        <w:tc>
          <w:tcPr>
            <w:tcW w:w="2093" w:type="dxa"/>
          </w:tcPr>
          <w:p w14:paraId="0F4583FB" w14:textId="77777777" w:rsidR="00A2657B" w:rsidRPr="00FD20D5" w:rsidRDefault="00A2657B" w:rsidP="00182493">
            <w:pPr>
              <w:rPr>
                <w:rFonts w:asciiTheme="minorHAnsi" w:hAnsiTheme="minorHAnsi" w:cstheme="minorHAnsi"/>
                <w:sz w:val="22"/>
                <w:szCs w:val="22"/>
              </w:rPr>
            </w:pPr>
            <w:r w:rsidRPr="00FD20D5">
              <w:rPr>
                <w:rFonts w:asciiTheme="minorHAnsi" w:hAnsiTheme="minorHAnsi" w:cstheme="minorHAnsi"/>
                <w:sz w:val="22"/>
                <w:szCs w:val="22"/>
              </w:rPr>
              <w:t>MW</w:t>
            </w:r>
          </w:p>
        </w:tc>
        <w:tc>
          <w:tcPr>
            <w:tcW w:w="6662" w:type="dxa"/>
          </w:tcPr>
          <w:p w14:paraId="78E4EDBA" w14:textId="77777777" w:rsidR="00A2657B" w:rsidRPr="00FD20D5" w:rsidRDefault="00A2657B" w:rsidP="00182493">
            <w:pPr>
              <w:rPr>
                <w:rFonts w:asciiTheme="minorHAnsi" w:hAnsiTheme="minorHAnsi" w:cstheme="minorHAnsi"/>
                <w:sz w:val="22"/>
                <w:szCs w:val="22"/>
              </w:rPr>
            </w:pPr>
            <w:r w:rsidRPr="00FD20D5">
              <w:rPr>
                <w:rFonts w:asciiTheme="minorHAnsi" w:hAnsiTheme="minorHAnsi" w:cstheme="minorHAnsi"/>
                <w:sz w:val="22"/>
                <w:szCs w:val="22"/>
              </w:rPr>
              <w:t>Megawatt</w:t>
            </w:r>
          </w:p>
        </w:tc>
      </w:tr>
      <w:tr w:rsidR="008C6759" w:rsidRPr="00FD20D5" w14:paraId="1A137DD3" w14:textId="77777777" w:rsidTr="00A8061C">
        <w:tc>
          <w:tcPr>
            <w:tcW w:w="2093" w:type="dxa"/>
          </w:tcPr>
          <w:p w14:paraId="4D9D19E7" w14:textId="347C99B1" w:rsidR="008C6759" w:rsidRPr="00FD20D5" w:rsidRDefault="008C6759" w:rsidP="00A8061C">
            <w:pPr>
              <w:rPr>
                <w:rFonts w:asciiTheme="minorHAnsi" w:hAnsiTheme="minorHAnsi" w:cstheme="minorHAnsi"/>
                <w:sz w:val="22"/>
                <w:szCs w:val="22"/>
              </w:rPr>
            </w:pPr>
            <w:r w:rsidRPr="00FD20D5">
              <w:rPr>
                <w:rFonts w:asciiTheme="minorHAnsi" w:hAnsiTheme="minorHAnsi" w:cstheme="minorHAnsi"/>
                <w:sz w:val="22"/>
                <w:szCs w:val="22"/>
              </w:rPr>
              <w:t>NDC</w:t>
            </w:r>
          </w:p>
        </w:tc>
        <w:tc>
          <w:tcPr>
            <w:tcW w:w="6662" w:type="dxa"/>
          </w:tcPr>
          <w:p w14:paraId="1EF78E1C" w14:textId="6E15DB02" w:rsidR="008C6759" w:rsidRPr="00FD20D5" w:rsidRDefault="008C6759" w:rsidP="00A8061C">
            <w:pPr>
              <w:rPr>
                <w:rStyle w:val="61"/>
                <w:rFonts w:asciiTheme="minorHAnsi" w:eastAsiaTheme="minorHAnsi" w:hAnsiTheme="minorHAnsi" w:cstheme="minorHAnsi"/>
                <w:sz w:val="22"/>
                <w:szCs w:val="22"/>
              </w:rPr>
            </w:pPr>
            <w:r w:rsidRPr="00FD20D5">
              <w:rPr>
                <w:rStyle w:val="61"/>
                <w:rFonts w:asciiTheme="minorHAnsi" w:eastAsiaTheme="minorHAnsi" w:hAnsiTheme="minorHAnsi" w:cstheme="minorHAnsi"/>
                <w:sz w:val="22"/>
                <w:szCs w:val="22"/>
              </w:rPr>
              <w:t>Nationally Determined Contribution</w:t>
            </w:r>
          </w:p>
        </w:tc>
      </w:tr>
      <w:tr w:rsidR="00A2657B" w:rsidRPr="00FD20D5" w14:paraId="359326E5" w14:textId="77777777" w:rsidTr="00182493">
        <w:tc>
          <w:tcPr>
            <w:tcW w:w="2093" w:type="dxa"/>
          </w:tcPr>
          <w:p w14:paraId="476ADB5A" w14:textId="77777777" w:rsidR="00A2657B" w:rsidRPr="00FD20D5" w:rsidRDefault="00A2657B" w:rsidP="00182493">
            <w:pPr>
              <w:rPr>
                <w:rFonts w:asciiTheme="minorHAnsi" w:hAnsiTheme="minorHAnsi" w:cstheme="minorHAnsi"/>
                <w:sz w:val="22"/>
                <w:szCs w:val="22"/>
              </w:rPr>
            </w:pPr>
            <w:r w:rsidRPr="00FD20D5">
              <w:rPr>
                <w:rFonts w:asciiTheme="minorHAnsi" w:hAnsiTheme="minorHAnsi" w:cstheme="minorHAnsi"/>
                <w:sz w:val="22"/>
                <w:szCs w:val="22"/>
              </w:rPr>
              <w:t>OJSC</w:t>
            </w:r>
          </w:p>
        </w:tc>
        <w:tc>
          <w:tcPr>
            <w:tcW w:w="6662" w:type="dxa"/>
          </w:tcPr>
          <w:p w14:paraId="696DD50C" w14:textId="77777777" w:rsidR="00A2657B" w:rsidRPr="00FD20D5" w:rsidRDefault="00A2657B" w:rsidP="00182493">
            <w:pPr>
              <w:rPr>
                <w:rFonts w:asciiTheme="minorHAnsi" w:hAnsiTheme="minorHAnsi" w:cstheme="minorHAnsi"/>
                <w:iCs/>
                <w:sz w:val="22"/>
                <w:szCs w:val="22"/>
              </w:rPr>
            </w:pPr>
            <w:r w:rsidRPr="00FD20D5">
              <w:rPr>
                <w:rFonts w:asciiTheme="minorHAnsi" w:hAnsiTheme="minorHAnsi" w:cstheme="minorHAnsi"/>
                <w:iCs/>
                <w:sz w:val="22"/>
                <w:szCs w:val="22"/>
              </w:rPr>
              <w:t>Open Joint Stock Company</w:t>
            </w:r>
          </w:p>
        </w:tc>
      </w:tr>
      <w:tr w:rsidR="00A2657B" w:rsidRPr="00FD20D5" w14:paraId="05CDBD5F" w14:textId="77777777" w:rsidTr="00182493">
        <w:tc>
          <w:tcPr>
            <w:tcW w:w="2093" w:type="dxa"/>
          </w:tcPr>
          <w:p w14:paraId="6947EA7E" w14:textId="77777777" w:rsidR="00A2657B" w:rsidRPr="00FD20D5" w:rsidRDefault="00A2657B" w:rsidP="00182493">
            <w:pPr>
              <w:rPr>
                <w:rFonts w:asciiTheme="minorHAnsi" w:hAnsiTheme="minorHAnsi" w:cstheme="minorHAnsi"/>
                <w:sz w:val="22"/>
                <w:szCs w:val="22"/>
              </w:rPr>
            </w:pPr>
            <w:r>
              <w:rPr>
                <w:rFonts w:asciiTheme="minorHAnsi" w:hAnsiTheme="minorHAnsi" w:cstheme="minorHAnsi"/>
                <w:sz w:val="22"/>
                <w:szCs w:val="22"/>
              </w:rPr>
              <w:t>O&amp;M</w:t>
            </w:r>
          </w:p>
        </w:tc>
        <w:tc>
          <w:tcPr>
            <w:tcW w:w="6662" w:type="dxa"/>
          </w:tcPr>
          <w:p w14:paraId="06FBD2AC" w14:textId="77777777" w:rsidR="00A2657B" w:rsidRPr="00FD20D5" w:rsidRDefault="00A2657B" w:rsidP="00182493">
            <w:pPr>
              <w:rPr>
                <w:rFonts w:asciiTheme="minorHAnsi" w:hAnsiTheme="minorHAnsi" w:cstheme="minorHAnsi"/>
                <w:iCs/>
                <w:sz w:val="22"/>
                <w:szCs w:val="22"/>
              </w:rPr>
            </w:pPr>
            <w:r>
              <w:rPr>
                <w:rFonts w:asciiTheme="minorHAnsi" w:hAnsiTheme="minorHAnsi" w:cstheme="minorHAnsi"/>
                <w:iCs/>
                <w:sz w:val="22"/>
                <w:szCs w:val="22"/>
              </w:rPr>
              <w:t>Operation and Maintenance</w:t>
            </w:r>
          </w:p>
        </w:tc>
      </w:tr>
      <w:tr w:rsidR="00A2657B" w:rsidRPr="00FD20D5" w14:paraId="1DD0AD90" w14:textId="77777777" w:rsidTr="00182493">
        <w:tc>
          <w:tcPr>
            <w:tcW w:w="2093" w:type="dxa"/>
          </w:tcPr>
          <w:p w14:paraId="40E6916C" w14:textId="77777777" w:rsidR="00A2657B" w:rsidRPr="00FD20D5" w:rsidRDefault="00A2657B" w:rsidP="00182493">
            <w:pPr>
              <w:rPr>
                <w:rFonts w:asciiTheme="minorHAnsi" w:hAnsiTheme="minorHAnsi" w:cstheme="minorHAnsi"/>
                <w:sz w:val="22"/>
                <w:szCs w:val="22"/>
                <w:lang w:val="en-GB"/>
              </w:rPr>
            </w:pPr>
            <w:proofErr w:type="spellStart"/>
            <w:r w:rsidRPr="00FD20D5">
              <w:rPr>
                <w:rFonts w:asciiTheme="minorHAnsi" w:hAnsiTheme="minorHAnsi" w:cstheme="minorHAnsi"/>
                <w:sz w:val="22"/>
                <w:szCs w:val="22"/>
              </w:rPr>
              <w:t>PforR</w:t>
            </w:r>
            <w:proofErr w:type="spellEnd"/>
          </w:p>
        </w:tc>
        <w:tc>
          <w:tcPr>
            <w:tcW w:w="6662" w:type="dxa"/>
          </w:tcPr>
          <w:p w14:paraId="6865A0A4" w14:textId="77777777" w:rsidR="00A2657B" w:rsidRPr="00FD20D5" w:rsidRDefault="00A2657B" w:rsidP="00182493">
            <w:pPr>
              <w:rPr>
                <w:rFonts w:asciiTheme="minorHAnsi" w:hAnsiTheme="minorHAnsi" w:cstheme="minorHAnsi"/>
                <w:sz w:val="22"/>
                <w:szCs w:val="22"/>
              </w:rPr>
            </w:pPr>
            <w:r w:rsidRPr="00FD20D5">
              <w:rPr>
                <w:rFonts w:asciiTheme="minorHAnsi" w:hAnsiTheme="minorHAnsi" w:cstheme="minorHAnsi"/>
                <w:sz w:val="22"/>
                <w:szCs w:val="22"/>
              </w:rPr>
              <w:t>Program-for-Results</w:t>
            </w:r>
          </w:p>
        </w:tc>
      </w:tr>
      <w:tr w:rsidR="00A2657B" w:rsidRPr="00FD20D5" w14:paraId="73CEFDAD" w14:textId="77777777" w:rsidTr="00182493">
        <w:tc>
          <w:tcPr>
            <w:tcW w:w="2093" w:type="dxa"/>
          </w:tcPr>
          <w:p w14:paraId="699F3C0F" w14:textId="77777777" w:rsidR="00A2657B" w:rsidRPr="00FD20D5" w:rsidRDefault="00A2657B" w:rsidP="00182493">
            <w:pPr>
              <w:rPr>
                <w:rStyle w:val="1"/>
                <w:rFonts w:asciiTheme="minorHAnsi" w:eastAsiaTheme="minorHAnsi" w:hAnsiTheme="minorHAnsi" w:cstheme="minorHAnsi"/>
                <w:sz w:val="22"/>
                <w:szCs w:val="22"/>
              </w:rPr>
            </w:pPr>
            <w:r w:rsidRPr="00FD20D5">
              <w:rPr>
                <w:rFonts w:asciiTheme="minorHAnsi" w:hAnsiTheme="minorHAnsi" w:cstheme="minorHAnsi"/>
                <w:sz w:val="22"/>
                <w:szCs w:val="22"/>
              </w:rPr>
              <w:t>PAP</w:t>
            </w:r>
          </w:p>
        </w:tc>
        <w:tc>
          <w:tcPr>
            <w:tcW w:w="6662" w:type="dxa"/>
          </w:tcPr>
          <w:p w14:paraId="1CD007FC" w14:textId="77777777" w:rsidR="00A2657B" w:rsidRPr="00FD20D5" w:rsidRDefault="00A2657B" w:rsidP="00182493">
            <w:pPr>
              <w:rPr>
                <w:rFonts w:asciiTheme="minorHAnsi" w:hAnsiTheme="minorHAnsi" w:cstheme="minorHAnsi"/>
                <w:sz w:val="22"/>
                <w:szCs w:val="22"/>
              </w:rPr>
            </w:pPr>
            <w:r w:rsidRPr="00FD20D5">
              <w:rPr>
                <w:rFonts w:asciiTheme="minorHAnsi" w:hAnsiTheme="minorHAnsi" w:cstheme="minorHAnsi"/>
                <w:sz w:val="22"/>
                <w:szCs w:val="22"/>
              </w:rPr>
              <w:t xml:space="preserve">Project </w:t>
            </w:r>
            <w:r>
              <w:rPr>
                <w:rFonts w:asciiTheme="minorHAnsi" w:hAnsiTheme="minorHAnsi" w:cstheme="minorHAnsi"/>
                <w:sz w:val="22"/>
                <w:szCs w:val="22"/>
              </w:rPr>
              <w:t>Action Plan</w:t>
            </w:r>
          </w:p>
        </w:tc>
      </w:tr>
      <w:tr w:rsidR="00A2657B" w:rsidRPr="00FD20D5" w14:paraId="1F1991E0" w14:textId="77777777" w:rsidTr="00182493">
        <w:tc>
          <w:tcPr>
            <w:tcW w:w="2093" w:type="dxa"/>
          </w:tcPr>
          <w:p w14:paraId="49749432" w14:textId="77777777" w:rsidR="00A2657B" w:rsidRPr="00FD20D5" w:rsidRDefault="00A2657B" w:rsidP="00182493">
            <w:pPr>
              <w:rPr>
                <w:rFonts w:asciiTheme="minorHAnsi" w:hAnsiTheme="minorHAnsi" w:cstheme="minorHAnsi"/>
                <w:sz w:val="22"/>
                <w:szCs w:val="22"/>
              </w:rPr>
            </w:pPr>
            <w:r w:rsidRPr="00FD20D5">
              <w:rPr>
                <w:rFonts w:asciiTheme="minorHAnsi" w:hAnsiTheme="minorHAnsi" w:cstheme="minorHAnsi"/>
                <w:sz w:val="22"/>
                <w:szCs w:val="22"/>
              </w:rPr>
              <w:t>PDO</w:t>
            </w:r>
          </w:p>
        </w:tc>
        <w:tc>
          <w:tcPr>
            <w:tcW w:w="6662" w:type="dxa"/>
          </w:tcPr>
          <w:p w14:paraId="186613FD" w14:textId="77777777" w:rsidR="00A2657B" w:rsidRPr="00FD20D5" w:rsidRDefault="00A2657B" w:rsidP="00182493">
            <w:pPr>
              <w:rPr>
                <w:rFonts w:asciiTheme="minorHAnsi" w:hAnsiTheme="minorHAnsi" w:cstheme="minorHAnsi"/>
                <w:sz w:val="22"/>
                <w:szCs w:val="22"/>
              </w:rPr>
            </w:pPr>
            <w:r w:rsidRPr="00FD20D5">
              <w:rPr>
                <w:rFonts w:asciiTheme="minorHAnsi" w:hAnsiTheme="minorHAnsi" w:cstheme="minorHAnsi"/>
                <w:sz w:val="22"/>
                <w:szCs w:val="22"/>
              </w:rPr>
              <w:t>Program Development Objectives</w:t>
            </w:r>
          </w:p>
        </w:tc>
      </w:tr>
      <w:tr w:rsidR="00A2657B" w:rsidRPr="00FD20D5" w14:paraId="745B8E07" w14:textId="77777777" w:rsidTr="00182493">
        <w:tc>
          <w:tcPr>
            <w:tcW w:w="2093" w:type="dxa"/>
          </w:tcPr>
          <w:p w14:paraId="32FE045C" w14:textId="77777777" w:rsidR="00A2657B" w:rsidRPr="00FD20D5" w:rsidRDefault="00A2657B" w:rsidP="00182493">
            <w:pPr>
              <w:rPr>
                <w:rFonts w:asciiTheme="minorHAnsi" w:hAnsiTheme="minorHAnsi" w:cstheme="minorHAnsi"/>
                <w:sz w:val="22"/>
                <w:szCs w:val="22"/>
              </w:rPr>
            </w:pPr>
            <w:r w:rsidRPr="00FD20D5">
              <w:rPr>
                <w:rFonts w:asciiTheme="minorHAnsi" w:hAnsiTheme="minorHAnsi" w:cstheme="minorHAnsi"/>
                <w:sz w:val="22"/>
                <w:szCs w:val="22"/>
              </w:rPr>
              <w:t>PEC</w:t>
            </w:r>
          </w:p>
        </w:tc>
        <w:tc>
          <w:tcPr>
            <w:tcW w:w="6662" w:type="dxa"/>
          </w:tcPr>
          <w:p w14:paraId="55FA09EC" w14:textId="77777777" w:rsidR="00A2657B" w:rsidRPr="00FD20D5" w:rsidRDefault="00A2657B" w:rsidP="00182493">
            <w:pPr>
              <w:rPr>
                <w:rFonts w:asciiTheme="minorHAnsi" w:hAnsiTheme="minorHAnsi" w:cstheme="minorHAnsi"/>
                <w:sz w:val="22"/>
                <w:szCs w:val="22"/>
              </w:rPr>
            </w:pPr>
            <w:r w:rsidRPr="00FD20D5">
              <w:rPr>
                <w:rFonts w:asciiTheme="minorHAnsi" w:hAnsiTheme="minorHAnsi" w:cstheme="minorHAnsi"/>
                <w:sz w:val="22"/>
                <w:szCs w:val="22"/>
              </w:rPr>
              <w:t>Pamir Energy Company</w:t>
            </w:r>
          </w:p>
        </w:tc>
      </w:tr>
      <w:tr w:rsidR="00A2657B" w:rsidRPr="00FD20D5" w14:paraId="1906FA0F" w14:textId="77777777" w:rsidTr="00182493">
        <w:tc>
          <w:tcPr>
            <w:tcW w:w="2093" w:type="dxa"/>
          </w:tcPr>
          <w:p w14:paraId="5635D1F0" w14:textId="77777777" w:rsidR="00A2657B" w:rsidRPr="00FD20D5" w:rsidRDefault="00A2657B" w:rsidP="00182493">
            <w:pPr>
              <w:rPr>
                <w:rFonts w:asciiTheme="minorHAnsi" w:hAnsiTheme="minorHAnsi" w:cstheme="minorHAnsi"/>
                <w:color w:val="000000" w:themeColor="text1"/>
                <w:sz w:val="22"/>
                <w:szCs w:val="22"/>
              </w:rPr>
            </w:pPr>
            <w:r w:rsidRPr="00FD20D5">
              <w:rPr>
                <w:rFonts w:asciiTheme="minorHAnsi" w:hAnsiTheme="minorHAnsi" w:cstheme="minorHAnsi"/>
                <w:color w:val="000000" w:themeColor="text1"/>
                <w:sz w:val="22"/>
                <w:szCs w:val="22"/>
              </w:rPr>
              <w:t>PMU</w:t>
            </w:r>
          </w:p>
        </w:tc>
        <w:tc>
          <w:tcPr>
            <w:tcW w:w="6662" w:type="dxa"/>
          </w:tcPr>
          <w:p w14:paraId="69C3D673" w14:textId="77777777" w:rsidR="00A2657B" w:rsidRPr="00FD20D5" w:rsidRDefault="00A2657B" w:rsidP="00182493">
            <w:pPr>
              <w:rPr>
                <w:rFonts w:asciiTheme="minorHAnsi" w:hAnsiTheme="minorHAnsi" w:cstheme="minorHAnsi"/>
                <w:color w:val="000000" w:themeColor="text1"/>
                <w:sz w:val="22"/>
                <w:szCs w:val="22"/>
              </w:rPr>
            </w:pPr>
            <w:r w:rsidRPr="00FD20D5">
              <w:rPr>
                <w:rFonts w:asciiTheme="minorHAnsi" w:hAnsiTheme="minorHAnsi" w:cstheme="minorHAnsi"/>
                <w:sz w:val="22"/>
                <w:szCs w:val="22"/>
              </w:rPr>
              <w:t>Project Management Unit</w:t>
            </w:r>
          </w:p>
        </w:tc>
      </w:tr>
      <w:tr w:rsidR="00A2657B" w:rsidRPr="00FD20D5" w14:paraId="17C985B5" w14:textId="77777777" w:rsidTr="00182493">
        <w:tc>
          <w:tcPr>
            <w:tcW w:w="2093" w:type="dxa"/>
          </w:tcPr>
          <w:p w14:paraId="3BB3C3BA" w14:textId="77777777" w:rsidR="00A2657B" w:rsidRPr="00FD20D5" w:rsidRDefault="00A2657B" w:rsidP="00182493">
            <w:pPr>
              <w:rPr>
                <w:rFonts w:asciiTheme="minorHAnsi" w:hAnsiTheme="minorHAnsi" w:cstheme="minorHAnsi"/>
                <w:color w:val="000000" w:themeColor="text1"/>
                <w:sz w:val="22"/>
                <w:szCs w:val="22"/>
              </w:rPr>
            </w:pPr>
            <w:r>
              <w:rPr>
                <w:rFonts w:asciiTheme="minorHAnsi" w:hAnsiTheme="minorHAnsi" w:cstheme="minorHAnsi"/>
                <w:sz w:val="22"/>
                <w:szCs w:val="22"/>
              </w:rPr>
              <w:t>ESPMU</w:t>
            </w:r>
          </w:p>
        </w:tc>
        <w:tc>
          <w:tcPr>
            <w:tcW w:w="6662" w:type="dxa"/>
          </w:tcPr>
          <w:p w14:paraId="7A688BD6" w14:textId="77777777" w:rsidR="00A2657B" w:rsidRPr="00FD20D5" w:rsidRDefault="00A2657B" w:rsidP="00182493">
            <w:pPr>
              <w:rPr>
                <w:rFonts w:asciiTheme="minorHAnsi" w:hAnsiTheme="minorHAnsi" w:cstheme="minorHAnsi"/>
                <w:sz w:val="22"/>
                <w:szCs w:val="22"/>
              </w:rPr>
            </w:pPr>
            <w:r>
              <w:rPr>
                <w:rFonts w:asciiTheme="minorHAnsi" w:hAnsiTheme="minorHAnsi" w:cstheme="minorHAnsi"/>
                <w:sz w:val="22"/>
                <w:szCs w:val="22"/>
              </w:rPr>
              <w:t>Energy Sector</w:t>
            </w:r>
            <w:r w:rsidRPr="00FD20D5">
              <w:rPr>
                <w:rFonts w:asciiTheme="minorHAnsi" w:hAnsiTheme="minorHAnsi" w:cstheme="minorHAnsi"/>
                <w:sz w:val="22"/>
                <w:szCs w:val="22"/>
              </w:rPr>
              <w:t xml:space="preserve"> Project Management Unit </w:t>
            </w:r>
          </w:p>
        </w:tc>
      </w:tr>
      <w:tr w:rsidR="00A2657B" w:rsidRPr="00FD20D5" w14:paraId="143E7B9F" w14:textId="77777777" w:rsidTr="00182493">
        <w:tc>
          <w:tcPr>
            <w:tcW w:w="2093" w:type="dxa"/>
          </w:tcPr>
          <w:p w14:paraId="0D832120" w14:textId="77777777" w:rsidR="00A2657B" w:rsidRPr="00FD20D5" w:rsidRDefault="00A2657B" w:rsidP="00182493">
            <w:pPr>
              <w:rPr>
                <w:rFonts w:asciiTheme="minorHAnsi" w:hAnsiTheme="minorHAnsi" w:cstheme="minorHAnsi"/>
                <w:sz w:val="22"/>
                <w:szCs w:val="22"/>
              </w:rPr>
            </w:pPr>
            <w:r w:rsidRPr="00FD20D5">
              <w:rPr>
                <w:rFonts w:asciiTheme="minorHAnsi" w:hAnsiTheme="minorHAnsi" w:cstheme="minorHAnsi"/>
                <w:sz w:val="22"/>
                <w:szCs w:val="22"/>
              </w:rPr>
              <w:t>PPA</w:t>
            </w:r>
          </w:p>
        </w:tc>
        <w:tc>
          <w:tcPr>
            <w:tcW w:w="6662" w:type="dxa"/>
          </w:tcPr>
          <w:p w14:paraId="7A9A8071" w14:textId="77777777" w:rsidR="00A2657B" w:rsidRPr="00FD20D5" w:rsidRDefault="00A2657B" w:rsidP="00182493">
            <w:pPr>
              <w:rPr>
                <w:rFonts w:asciiTheme="minorHAnsi" w:hAnsiTheme="minorHAnsi" w:cstheme="minorHAnsi"/>
                <w:sz w:val="22"/>
                <w:szCs w:val="22"/>
              </w:rPr>
            </w:pPr>
            <w:r w:rsidRPr="00FD20D5">
              <w:rPr>
                <w:rFonts w:asciiTheme="minorHAnsi" w:hAnsiTheme="minorHAnsi" w:cstheme="minorHAnsi"/>
                <w:sz w:val="22"/>
                <w:szCs w:val="22"/>
              </w:rPr>
              <w:t>Power Purchase Agreement</w:t>
            </w:r>
          </w:p>
        </w:tc>
      </w:tr>
      <w:tr w:rsidR="00A2657B" w:rsidRPr="00FD20D5" w14:paraId="6112E153" w14:textId="77777777" w:rsidTr="00182493">
        <w:tc>
          <w:tcPr>
            <w:tcW w:w="2093" w:type="dxa"/>
          </w:tcPr>
          <w:p w14:paraId="3C192CF2" w14:textId="77777777" w:rsidR="00A2657B" w:rsidRPr="00FD20D5" w:rsidRDefault="00A2657B" w:rsidP="00182493">
            <w:pPr>
              <w:rPr>
                <w:rFonts w:asciiTheme="minorHAnsi" w:hAnsiTheme="minorHAnsi" w:cstheme="minorHAnsi"/>
                <w:sz w:val="22"/>
                <w:szCs w:val="22"/>
              </w:rPr>
            </w:pPr>
            <w:r>
              <w:rPr>
                <w:rFonts w:asciiTheme="minorHAnsi" w:hAnsiTheme="minorHAnsi" w:cstheme="minorHAnsi"/>
                <w:sz w:val="22"/>
                <w:szCs w:val="22"/>
              </w:rPr>
              <w:t>PPL</w:t>
            </w:r>
          </w:p>
        </w:tc>
        <w:tc>
          <w:tcPr>
            <w:tcW w:w="6662" w:type="dxa"/>
          </w:tcPr>
          <w:p w14:paraId="2CDE23DF" w14:textId="77777777" w:rsidR="00A2657B" w:rsidRPr="00FD20D5" w:rsidRDefault="00A2657B" w:rsidP="00182493">
            <w:pPr>
              <w:rPr>
                <w:rFonts w:asciiTheme="minorHAnsi" w:hAnsiTheme="minorHAnsi" w:cstheme="minorHAnsi"/>
                <w:sz w:val="22"/>
                <w:szCs w:val="22"/>
              </w:rPr>
            </w:pPr>
            <w:r>
              <w:rPr>
                <w:rFonts w:asciiTheme="minorHAnsi" w:hAnsiTheme="minorHAnsi" w:cstheme="minorHAnsi"/>
                <w:sz w:val="22"/>
                <w:szCs w:val="22"/>
              </w:rPr>
              <w:t>Public Procurement Law</w:t>
            </w:r>
          </w:p>
        </w:tc>
      </w:tr>
      <w:tr w:rsidR="00A2657B" w:rsidRPr="00FD20D5" w14:paraId="6B17D6CC" w14:textId="77777777" w:rsidTr="00182493">
        <w:tc>
          <w:tcPr>
            <w:tcW w:w="2093" w:type="dxa"/>
          </w:tcPr>
          <w:p w14:paraId="397844DC" w14:textId="77777777" w:rsidR="00A2657B" w:rsidRPr="00FD20D5" w:rsidRDefault="00A2657B" w:rsidP="00182493">
            <w:pPr>
              <w:rPr>
                <w:rFonts w:asciiTheme="minorHAnsi" w:hAnsiTheme="minorHAnsi" w:cstheme="minorHAnsi"/>
                <w:sz w:val="22"/>
                <w:szCs w:val="22"/>
              </w:rPr>
            </w:pPr>
            <w:r>
              <w:rPr>
                <w:rFonts w:asciiTheme="minorHAnsi" w:hAnsiTheme="minorHAnsi" w:cstheme="minorHAnsi"/>
                <w:sz w:val="22"/>
                <w:szCs w:val="22"/>
              </w:rPr>
              <w:t>QCBS</w:t>
            </w:r>
          </w:p>
        </w:tc>
        <w:tc>
          <w:tcPr>
            <w:tcW w:w="6662" w:type="dxa"/>
          </w:tcPr>
          <w:p w14:paraId="55F675F3" w14:textId="77777777" w:rsidR="00A2657B" w:rsidRPr="00FD20D5" w:rsidRDefault="00A2657B" w:rsidP="00182493">
            <w:pPr>
              <w:rPr>
                <w:rFonts w:asciiTheme="minorHAnsi" w:hAnsiTheme="minorHAnsi" w:cstheme="minorHAnsi"/>
                <w:sz w:val="22"/>
                <w:szCs w:val="22"/>
              </w:rPr>
            </w:pPr>
            <w:r>
              <w:rPr>
                <w:rFonts w:asciiTheme="minorHAnsi" w:hAnsiTheme="minorHAnsi" w:cstheme="minorHAnsi"/>
                <w:sz w:val="22"/>
                <w:szCs w:val="22"/>
              </w:rPr>
              <w:t>Quality and Cost Based Selection</w:t>
            </w:r>
          </w:p>
        </w:tc>
      </w:tr>
      <w:tr w:rsidR="00A2657B" w14:paraId="69BD34C7" w14:textId="77777777" w:rsidTr="00182493">
        <w:tc>
          <w:tcPr>
            <w:tcW w:w="2093" w:type="dxa"/>
          </w:tcPr>
          <w:p w14:paraId="0C98430E" w14:textId="77777777" w:rsidR="00A2657B" w:rsidRDefault="00A2657B" w:rsidP="00182493">
            <w:pPr>
              <w:rPr>
                <w:rFonts w:asciiTheme="minorHAnsi" w:hAnsiTheme="minorHAnsi" w:cstheme="minorHAnsi"/>
                <w:sz w:val="22"/>
                <w:szCs w:val="22"/>
              </w:rPr>
            </w:pPr>
            <w:r>
              <w:rPr>
                <w:rFonts w:asciiTheme="minorHAnsi" w:hAnsiTheme="minorHAnsi" w:cstheme="minorHAnsi"/>
                <w:sz w:val="22"/>
                <w:szCs w:val="22"/>
              </w:rPr>
              <w:t>RE</w:t>
            </w:r>
          </w:p>
        </w:tc>
        <w:tc>
          <w:tcPr>
            <w:tcW w:w="6662" w:type="dxa"/>
          </w:tcPr>
          <w:p w14:paraId="485115C6" w14:textId="77777777" w:rsidR="00A2657B" w:rsidRDefault="00A2657B" w:rsidP="00182493">
            <w:pPr>
              <w:rPr>
                <w:rFonts w:asciiTheme="minorHAnsi" w:hAnsiTheme="minorHAnsi" w:cstheme="minorHAnsi"/>
                <w:sz w:val="22"/>
                <w:szCs w:val="22"/>
              </w:rPr>
            </w:pPr>
            <w:r>
              <w:rPr>
                <w:rFonts w:asciiTheme="minorHAnsi" w:hAnsiTheme="minorHAnsi" w:cstheme="minorHAnsi"/>
                <w:sz w:val="22"/>
                <w:szCs w:val="22"/>
              </w:rPr>
              <w:t>Renewable Energy</w:t>
            </w:r>
          </w:p>
        </w:tc>
      </w:tr>
      <w:tr w:rsidR="00A2657B" w:rsidRPr="00916860" w14:paraId="53C6AD2C" w14:textId="77777777" w:rsidTr="00182493">
        <w:tc>
          <w:tcPr>
            <w:tcW w:w="2093" w:type="dxa"/>
          </w:tcPr>
          <w:p w14:paraId="0FA7206D" w14:textId="77777777" w:rsidR="00A2657B" w:rsidRPr="00916860" w:rsidRDefault="00A2657B" w:rsidP="00182493">
            <w:pPr>
              <w:rPr>
                <w:rFonts w:asciiTheme="minorHAnsi" w:hAnsiTheme="minorHAnsi" w:cstheme="minorHAnsi"/>
                <w:sz w:val="22"/>
                <w:szCs w:val="22"/>
              </w:rPr>
            </w:pPr>
            <w:r w:rsidRPr="00916860">
              <w:rPr>
                <w:rFonts w:asciiTheme="minorHAnsi" w:hAnsiTheme="minorHAnsi" w:cstheme="minorHAnsi"/>
                <w:sz w:val="22"/>
                <w:szCs w:val="22"/>
              </w:rPr>
              <w:t>SB</w:t>
            </w:r>
          </w:p>
        </w:tc>
        <w:tc>
          <w:tcPr>
            <w:tcW w:w="6662" w:type="dxa"/>
          </w:tcPr>
          <w:p w14:paraId="1993BD02" w14:textId="77777777" w:rsidR="00A2657B" w:rsidRPr="00916860" w:rsidRDefault="00A2657B" w:rsidP="00182493">
            <w:pPr>
              <w:rPr>
                <w:rStyle w:val="61"/>
                <w:rFonts w:asciiTheme="minorHAnsi" w:eastAsiaTheme="minorHAnsi" w:hAnsiTheme="minorHAnsi" w:cstheme="minorHAnsi"/>
                <w:sz w:val="22"/>
                <w:szCs w:val="22"/>
              </w:rPr>
            </w:pPr>
            <w:r w:rsidRPr="00916860">
              <w:rPr>
                <w:rStyle w:val="61"/>
                <w:rFonts w:asciiTheme="minorHAnsi" w:eastAsiaTheme="minorHAnsi" w:hAnsiTheme="minorHAnsi" w:cstheme="minorHAnsi"/>
                <w:sz w:val="22"/>
                <w:szCs w:val="22"/>
              </w:rPr>
              <w:t>Supervisory Board</w:t>
            </w:r>
          </w:p>
        </w:tc>
      </w:tr>
      <w:tr w:rsidR="00A2657B" w:rsidRPr="0059268B" w14:paraId="41E7C45D" w14:textId="77777777" w:rsidTr="00182493">
        <w:tc>
          <w:tcPr>
            <w:tcW w:w="2093" w:type="dxa"/>
          </w:tcPr>
          <w:p w14:paraId="07EE5AB6" w14:textId="77777777" w:rsidR="00A2657B" w:rsidRPr="00916860" w:rsidRDefault="00A2657B" w:rsidP="00182493">
            <w:pPr>
              <w:rPr>
                <w:rFonts w:asciiTheme="minorHAnsi" w:hAnsiTheme="minorHAnsi" w:cstheme="minorHAnsi"/>
                <w:sz w:val="22"/>
                <w:szCs w:val="22"/>
              </w:rPr>
            </w:pPr>
            <w:r>
              <w:rPr>
                <w:rFonts w:asciiTheme="minorHAnsi" w:hAnsiTheme="minorHAnsi" w:cstheme="minorHAnsi"/>
                <w:sz w:val="22"/>
                <w:szCs w:val="22"/>
              </w:rPr>
              <w:t>SECO</w:t>
            </w:r>
          </w:p>
        </w:tc>
        <w:tc>
          <w:tcPr>
            <w:tcW w:w="6662" w:type="dxa"/>
          </w:tcPr>
          <w:p w14:paraId="5E1AB6E8" w14:textId="77777777" w:rsidR="00A2657B" w:rsidRPr="0059268B" w:rsidRDefault="00A2657B" w:rsidP="00182493">
            <w:pPr>
              <w:rPr>
                <w:rStyle w:val="61"/>
                <w:rFonts w:asciiTheme="minorHAnsi" w:eastAsiaTheme="minorHAnsi" w:hAnsiTheme="minorHAnsi" w:cstheme="minorHAnsi"/>
                <w:sz w:val="22"/>
                <w:szCs w:val="22"/>
              </w:rPr>
            </w:pPr>
            <w:r w:rsidRPr="0059268B">
              <w:rPr>
                <w:rStyle w:val="61"/>
                <w:rFonts w:asciiTheme="minorHAnsi" w:eastAsiaTheme="minorHAnsi" w:hAnsiTheme="minorHAnsi" w:cstheme="minorHAnsi"/>
                <w:sz w:val="22"/>
                <w:szCs w:val="22"/>
              </w:rPr>
              <w:t>Swiss Secretariat for Economic Affairs</w:t>
            </w:r>
          </w:p>
        </w:tc>
      </w:tr>
      <w:tr w:rsidR="00A2657B" w:rsidRPr="00FD20D5" w14:paraId="3E11F0C3" w14:textId="77777777" w:rsidTr="00182493">
        <w:tc>
          <w:tcPr>
            <w:tcW w:w="2093" w:type="dxa"/>
          </w:tcPr>
          <w:p w14:paraId="7FB4C777" w14:textId="77777777" w:rsidR="00A2657B" w:rsidRPr="00FD20D5" w:rsidRDefault="00A2657B" w:rsidP="00182493">
            <w:pPr>
              <w:rPr>
                <w:rFonts w:asciiTheme="minorHAnsi" w:hAnsiTheme="minorHAnsi" w:cstheme="minorHAnsi"/>
                <w:sz w:val="22"/>
                <w:szCs w:val="22"/>
              </w:rPr>
            </w:pPr>
            <w:r>
              <w:rPr>
                <w:rFonts w:asciiTheme="minorHAnsi" w:hAnsiTheme="minorHAnsi" w:cstheme="minorHAnsi"/>
                <w:sz w:val="22"/>
                <w:szCs w:val="22"/>
              </w:rPr>
              <w:t>SIB</w:t>
            </w:r>
          </w:p>
        </w:tc>
        <w:tc>
          <w:tcPr>
            <w:tcW w:w="6662" w:type="dxa"/>
          </w:tcPr>
          <w:p w14:paraId="5555224E" w14:textId="4CC6E9DE" w:rsidR="00A2657B" w:rsidRPr="008C6759" w:rsidRDefault="00A2657B" w:rsidP="00182493">
            <w:pPr>
              <w:rPr>
                <w:rStyle w:val="61"/>
                <w:rFonts w:asciiTheme="minorHAnsi" w:eastAsiaTheme="minorHAnsi" w:hAnsiTheme="minorHAnsi" w:cstheme="minorHAnsi"/>
                <w:sz w:val="22"/>
                <w:szCs w:val="22"/>
              </w:rPr>
            </w:pPr>
            <w:proofErr w:type="spellStart"/>
            <w:r w:rsidRPr="008C6759">
              <w:rPr>
                <w:rFonts w:asciiTheme="minorHAnsi" w:eastAsia="Times New Roman" w:hAnsiTheme="minorHAnsi" w:cstheme="minorHAnsi"/>
                <w:sz w:val="22"/>
                <w:szCs w:val="22"/>
              </w:rPr>
              <w:t>Shabakahoi</w:t>
            </w:r>
            <w:proofErr w:type="spellEnd"/>
            <w:r w:rsidRPr="008C6759">
              <w:rPr>
                <w:rFonts w:asciiTheme="minorHAnsi" w:eastAsia="Times New Roman" w:hAnsiTheme="minorHAnsi" w:cstheme="minorHAnsi"/>
                <w:sz w:val="22"/>
                <w:szCs w:val="22"/>
              </w:rPr>
              <w:t xml:space="preserve"> </w:t>
            </w:r>
            <w:proofErr w:type="spellStart"/>
            <w:r w:rsidRPr="008C6759">
              <w:rPr>
                <w:rFonts w:asciiTheme="minorHAnsi" w:eastAsia="Times New Roman" w:hAnsiTheme="minorHAnsi" w:cstheme="minorHAnsi"/>
                <w:sz w:val="22"/>
                <w:szCs w:val="22"/>
              </w:rPr>
              <w:t>Intiqoli</w:t>
            </w:r>
            <w:proofErr w:type="spellEnd"/>
            <w:r w:rsidRPr="008C6759">
              <w:rPr>
                <w:rFonts w:asciiTheme="minorHAnsi" w:eastAsia="Times New Roman" w:hAnsiTheme="minorHAnsi" w:cstheme="minorHAnsi"/>
                <w:sz w:val="22"/>
                <w:szCs w:val="22"/>
              </w:rPr>
              <w:t xml:space="preserve"> </w:t>
            </w:r>
            <w:proofErr w:type="spellStart"/>
            <w:r w:rsidRPr="008C6759">
              <w:rPr>
                <w:rFonts w:asciiTheme="minorHAnsi" w:eastAsia="Times New Roman" w:hAnsiTheme="minorHAnsi" w:cstheme="minorHAnsi"/>
                <w:sz w:val="22"/>
                <w:szCs w:val="22"/>
              </w:rPr>
              <w:t>Barq</w:t>
            </w:r>
            <w:proofErr w:type="spellEnd"/>
            <w:r w:rsidR="008C6759" w:rsidRPr="008C6759">
              <w:rPr>
                <w:rFonts w:asciiTheme="minorHAnsi" w:eastAsia="Times New Roman" w:hAnsiTheme="minorHAnsi" w:cstheme="minorHAnsi"/>
                <w:sz w:val="22"/>
                <w:szCs w:val="22"/>
              </w:rPr>
              <w:t xml:space="preserve"> JSC</w:t>
            </w:r>
          </w:p>
        </w:tc>
      </w:tr>
      <w:tr w:rsidR="00A2657B" w:rsidRPr="00FD20D5" w14:paraId="5DF57A8B" w14:textId="77777777" w:rsidTr="00182493">
        <w:tc>
          <w:tcPr>
            <w:tcW w:w="2093" w:type="dxa"/>
          </w:tcPr>
          <w:p w14:paraId="514E4E4B" w14:textId="77777777" w:rsidR="00A2657B" w:rsidRPr="00FD20D5" w:rsidRDefault="00A2657B" w:rsidP="00182493">
            <w:pPr>
              <w:rPr>
                <w:rFonts w:asciiTheme="minorHAnsi" w:hAnsiTheme="minorHAnsi" w:cstheme="minorHAnsi"/>
                <w:sz w:val="22"/>
                <w:szCs w:val="22"/>
              </w:rPr>
            </w:pPr>
            <w:r>
              <w:rPr>
                <w:rFonts w:asciiTheme="minorHAnsi" w:hAnsiTheme="minorHAnsi" w:cstheme="minorHAnsi"/>
                <w:sz w:val="22"/>
                <w:szCs w:val="22"/>
              </w:rPr>
              <w:t>SOE</w:t>
            </w:r>
          </w:p>
        </w:tc>
        <w:tc>
          <w:tcPr>
            <w:tcW w:w="6662" w:type="dxa"/>
          </w:tcPr>
          <w:p w14:paraId="441E6AD6" w14:textId="72FE8C4C" w:rsidR="00A2657B" w:rsidRPr="008C6759" w:rsidRDefault="00A2657B" w:rsidP="00182493">
            <w:pPr>
              <w:rPr>
                <w:rFonts w:asciiTheme="minorHAnsi" w:hAnsiTheme="minorHAnsi" w:cstheme="minorHAnsi"/>
                <w:sz w:val="22"/>
                <w:szCs w:val="22"/>
              </w:rPr>
            </w:pPr>
            <w:r w:rsidRPr="008C6759">
              <w:rPr>
                <w:rFonts w:asciiTheme="minorHAnsi" w:hAnsiTheme="minorHAnsi" w:cstheme="minorHAnsi"/>
                <w:sz w:val="22"/>
                <w:szCs w:val="22"/>
              </w:rPr>
              <w:t>State Owned Enterprise</w:t>
            </w:r>
            <w:r w:rsidR="008C6759" w:rsidRPr="008C6759">
              <w:rPr>
                <w:rFonts w:asciiTheme="minorHAnsi" w:hAnsiTheme="minorHAnsi" w:cstheme="minorHAnsi"/>
                <w:sz w:val="22"/>
                <w:szCs w:val="22"/>
              </w:rPr>
              <w:t xml:space="preserve"> </w:t>
            </w:r>
          </w:p>
        </w:tc>
      </w:tr>
      <w:tr w:rsidR="00A2657B" w14:paraId="71F5FA96" w14:textId="77777777" w:rsidTr="00182493">
        <w:tc>
          <w:tcPr>
            <w:tcW w:w="2093" w:type="dxa"/>
          </w:tcPr>
          <w:p w14:paraId="2D6B086E" w14:textId="77777777" w:rsidR="00A2657B" w:rsidRDefault="00A2657B" w:rsidP="00182493">
            <w:pPr>
              <w:rPr>
                <w:rFonts w:asciiTheme="minorHAnsi" w:hAnsiTheme="minorHAnsi" w:cstheme="minorHAnsi"/>
                <w:sz w:val="22"/>
                <w:szCs w:val="22"/>
              </w:rPr>
            </w:pPr>
            <w:r>
              <w:rPr>
                <w:rFonts w:asciiTheme="minorHAnsi" w:hAnsiTheme="minorHAnsi" w:cstheme="minorHAnsi"/>
                <w:sz w:val="22"/>
                <w:szCs w:val="22"/>
              </w:rPr>
              <w:t>STB</w:t>
            </w:r>
          </w:p>
        </w:tc>
        <w:tc>
          <w:tcPr>
            <w:tcW w:w="6662" w:type="dxa"/>
          </w:tcPr>
          <w:p w14:paraId="7E2F26F2" w14:textId="7AC34207" w:rsidR="00A2657B" w:rsidRPr="008C6759" w:rsidRDefault="00A2657B" w:rsidP="00182493">
            <w:pPr>
              <w:rPr>
                <w:rFonts w:asciiTheme="minorHAnsi" w:hAnsiTheme="minorHAnsi" w:cstheme="minorHAnsi"/>
                <w:sz w:val="22"/>
                <w:szCs w:val="22"/>
              </w:rPr>
            </w:pPr>
            <w:proofErr w:type="spellStart"/>
            <w:r w:rsidRPr="008C6759">
              <w:rPr>
                <w:rFonts w:asciiTheme="minorHAnsi" w:eastAsia="Times New Roman" w:hAnsiTheme="minorHAnsi" w:cstheme="minorHAnsi"/>
                <w:sz w:val="22"/>
                <w:szCs w:val="22"/>
              </w:rPr>
              <w:t>Shabakahoi</w:t>
            </w:r>
            <w:proofErr w:type="spellEnd"/>
            <w:r w:rsidRPr="008C6759">
              <w:rPr>
                <w:rFonts w:asciiTheme="minorHAnsi" w:eastAsia="Times New Roman" w:hAnsiTheme="minorHAnsi" w:cstheme="minorHAnsi"/>
                <w:sz w:val="22"/>
                <w:szCs w:val="22"/>
              </w:rPr>
              <w:t xml:space="preserve"> </w:t>
            </w:r>
            <w:proofErr w:type="spellStart"/>
            <w:r w:rsidRPr="008C6759">
              <w:rPr>
                <w:rFonts w:asciiTheme="minorHAnsi" w:eastAsia="Times New Roman" w:hAnsiTheme="minorHAnsi" w:cstheme="minorHAnsi"/>
                <w:sz w:val="22"/>
                <w:szCs w:val="22"/>
              </w:rPr>
              <w:t>Taqsimoti</w:t>
            </w:r>
            <w:proofErr w:type="spellEnd"/>
            <w:r w:rsidRPr="008C6759">
              <w:rPr>
                <w:rFonts w:asciiTheme="minorHAnsi" w:eastAsia="Times New Roman" w:hAnsiTheme="minorHAnsi" w:cstheme="minorHAnsi"/>
                <w:sz w:val="22"/>
                <w:szCs w:val="22"/>
              </w:rPr>
              <w:t xml:space="preserve"> </w:t>
            </w:r>
            <w:proofErr w:type="spellStart"/>
            <w:r w:rsidRPr="008C6759">
              <w:rPr>
                <w:rFonts w:asciiTheme="minorHAnsi" w:eastAsia="Times New Roman" w:hAnsiTheme="minorHAnsi" w:cstheme="minorHAnsi"/>
                <w:sz w:val="22"/>
                <w:szCs w:val="22"/>
              </w:rPr>
              <w:t>Barq</w:t>
            </w:r>
            <w:proofErr w:type="spellEnd"/>
            <w:r w:rsidR="008C6759" w:rsidRPr="008C6759">
              <w:rPr>
                <w:rFonts w:asciiTheme="minorHAnsi" w:eastAsia="Times New Roman" w:hAnsiTheme="minorHAnsi" w:cstheme="minorHAnsi"/>
                <w:sz w:val="22"/>
                <w:szCs w:val="22"/>
              </w:rPr>
              <w:t xml:space="preserve"> JSC</w:t>
            </w:r>
          </w:p>
        </w:tc>
      </w:tr>
      <w:tr w:rsidR="00A2657B" w:rsidRPr="00FD20D5" w14:paraId="078BF048" w14:textId="77777777" w:rsidTr="00182493">
        <w:tc>
          <w:tcPr>
            <w:tcW w:w="2093" w:type="dxa"/>
          </w:tcPr>
          <w:p w14:paraId="049B4342" w14:textId="77777777" w:rsidR="00A2657B" w:rsidRPr="00FD20D5" w:rsidRDefault="00A2657B" w:rsidP="00182493">
            <w:pPr>
              <w:rPr>
                <w:rFonts w:asciiTheme="minorHAnsi" w:hAnsiTheme="minorHAnsi" w:cstheme="minorHAnsi"/>
                <w:sz w:val="22"/>
                <w:szCs w:val="22"/>
              </w:rPr>
            </w:pPr>
            <w:r w:rsidRPr="00FD20D5">
              <w:rPr>
                <w:rFonts w:asciiTheme="minorHAnsi" w:hAnsiTheme="minorHAnsi" w:cstheme="minorHAnsi"/>
                <w:sz w:val="22"/>
                <w:szCs w:val="22"/>
              </w:rPr>
              <w:t>TALCO</w:t>
            </w:r>
          </w:p>
        </w:tc>
        <w:tc>
          <w:tcPr>
            <w:tcW w:w="6662" w:type="dxa"/>
          </w:tcPr>
          <w:p w14:paraId="536FEAB4" w14:textId="77777777" w:rsidR="00A2657B" w:rsidRPr="00FD20D5" w:rsidRDefault="00A2657B" w:rsidP="00182493">
            <w:pPr>
              <w:rPr>
                <w:rFonts w:asciiTheme="minorHAnsi" w:hAnsiTheme="minorHAnsi" w:cstheme="minorHAnsi"/>
                <w:sz w:val="22"/>
                <w:szCs w:val="22"/>
              </w:rPr>
            </w:pPr>
            <w:r w:rsidRPr="00FD20D5">
              <w:rPr>
                <w:rFonts w:asciiTheme="minorHAnsi" w:hAnsiTheme="minorHAnsi" w:cstheme="minorHAnsi"/>
                <w:sz w:val="22"/>
                <w:szCs w:val="22"/>
              </w:rPr>
              <w:t>Tajikistan Aluminum Company</w:t>
            </w:r>
          </w:p>
        </w:tc>
      </w:tr>
      <w:tr w:rsidR="00A2657B" w:rsidRPr="00FD20D5" w14:paraId="64BC96F3" w14:textId="77777777" w:rsidTr="00182493">
        <w:tc>
          <w:tcPr>
            <w:tcW w:w="2093" w:type="dxa"/>
          </w:tcPr>
          <w:p w14:paraId="1E8DBB6C" w14:textId="77777777" w:rsidR="00A2657B" w:rsidRPr="00FD20D5" w:rsidRDefault="00A2657B" w:rsidP="00182493">
            <w:pPr>
              <w:rPr>
                <w:rFonts w:asciiTheme="minorHAnsi" w:hAnsiTheme="minorHAnsi" w:cstheme="minorHAnsi"/>
                <w:sz w:val="22"/>
                <w:szCs w:val="22"/>
              </w:rPr>
            </w:pPr>
            <w:r>
              <w:rPr>
                <w:rFonts w:asciiTheme="minorHAnsi" w:hAnsiTheme="minorHAnsi" w:cstheme="minorHAnsi"/>
                <w:sz w:val="22"/>
                <w:szCs w:val="22"/>
              </w:rPr>
              <w:t>TJS</w:t>
            </w:r>
          </w:p>
        </w:tc>
        <w:tc>
          <w:tcPr>
            <w:tcW w:w="6662" w:type="dxa"/>
          </w:tcPr>
          <w:p w14:paraId="3E5BD9BA" w14:textId="77777777" w:rsidR="00A2657B" w:rsidRPr="00FD20D5" w:rsidRDefault="00A2657B" w:rsidP="00182493">
            <w:pPr>
              <w:rPr>
                <w:rFonts w:asciiTheme="minorHAnsi" w:hAnsiTheme="minorHAnsi" w:cstheme="minorHAnsi"/>
                <w:sz w:val="22"/>
                <w:szCs w:val="22"/>
              </w:rPr>
            </w:pPr>
            <w:r>
              <w:rPr>
                <w:rFonts w:asciiTheme="minorHAnsi" w:hAnsiTheme="minorHAnsi" w:cstheme="minorHAnsi"/>
                <w:sz w:val="22"/>
                <w:szCs w:val="22"/>
              </w:rPr>
              <w:t>Tajik Somoni</w:t>
            </w:r>
          </w:p>
        </w:tc>
      </w:tr>
      <w:tr w:rsidR="00A2657B" w:rsidRPr="00FD20D5" w14:paraId="61A4C2C4" w14:textId="77777777" w:rsidTr="00182493">
        <w:tc>
          <w:tcPr>
            <w:tcW w:w="2093" w:type="dxa"/>
          </w:tcPr>
          <w:p w14:paraId="31F7D513" w14:textId="77777777" w:rsidR="00A2657B" w:rsidRPr="00FD20D5" w:rsidRDefault="00A2657B" w:rsidP="00182493">
            <w:pPr>
              <w:rPr>
                <w:rFonts w:asciiTheme="minorHAnsi" w:hAnsiTheme="minorHAnsi" w:cstheme="minorHAnsi"/>
                <w:sz w:val="22"/>
                <w:szCs w:val="22"/>
              </w:rPr>
            </w:pPr>
            <w:r w:rsidRPr="00FD20D5">
              <w:rPr>
                <w:rFonts w:asciiTheme="minorHAnsi" w:hAnsiTheme="minorHAnsi" w:cstheme="minorHAnsi"/>
                <w:sz w:val="22"/>
                <w:szCs w:val="22"/>
              </w:rPr>
              <w:t>T&amp;D</w:t>
            </w:r>
          </w:p>
        </w:tc>
        <w:tc>
          <w:tcPr>
            <w:tcW w:w="6662" w:type="dxa"/>
          </w:tcPr>
          <w:p w14:paraId="0BB609DB" w14:textId="77777777" w:rsidR="00A2657B" w:rsidRPr="00FD20D5" w:rsidRDefault="00A2657B" w:rsidP="00182493">
            <w:pPr>
              <w:rPr>
                <w:rFonts w:asciiTheme="minorHAnsi" w:hAnsiTheme="minorHAnsi" w:cstheme="minorHAnsi"/>
                <w:sz w:val="22"/>
                <w:szCs w:val="22"/>
              </w:rPr>
            </w:pPr>
            <w:r w:rsidRPr="00FD20D5">
              <w:rPr>
                <w:rFonts w:asciiTheme="minorHAnsi" w:hAnsiTheme="minorHAnsi" w:cstheme="minorHAnsi"/>
                <w:sz w:val="22"/>
                <w:szCs w:val="22"/>
              </w:rPr>
              <w:t>Transmission and Distribution</w:t>
            </w:r>
          </w:p>
        </w:tc>
      </w:tr>
      <w:tr w:rsidR="00A2657B" w:rsidRPr="00FD20D5" w14:paraId="5364D8F4" w14:textId="77777777" w:rsidTr="00182493">
        <w:tc>
          <w:tcPr>
            <w:tcW w:w="2093" w:type="dxa"/>
          </w:tcPr>
          <w:p w14:paraId="3B5D019B" w14:textId="77777777" w:rsidR="00A2657B" w:rsidRPr="00FD20D5" w:rsidRDefault="00A2657B" w:rsidP="00182493">
            <w:pPr>
              <w:rPr>
                <w:rStyle w:val="1"/>
                <w:rFonts w:asciiTheme="minorHAnsi" w:eastAsiaTheme="minorHAnsi" w:hAnsiTheme="minorHAnsi" w:cstheme="minorHAnsi"/>
                <w:sz w:val="22"/>
                <w:szCs w:val="22"/>
              </w:rPr>
            </w:pPr>
            <w:r w:rsidRPr="00FD20D5">
              <w:rPr>
                <w:rFonts w:asciiTheme="minorHAnsi" w:hAnsiTheme="minorHAnsi" w:cstheme="minorHAnsi"/>
                <w:sz w:val="22"/>
                <w:szCs w:val="22"/>
              </w:rPr>
              <w:t>TSA</w:t>
            </w:r>
          </w:p>
        </w:tc>
        <w:tc>
          <w:tcPr>
            <w:tcW w:w="6662" w:type="dxa"/>
          </w:tcPr>
          <w:p w14:paraId="7A1359B1" w14:textId="77777777" w:rsidR="00A2657B" w:rsidRPr="00FD20D5" w:rsidRDefault="00A2657B" w:rsidP="00182493">
            <w:pPr>
              <w:rPr>
                <w:rStyle w:val="61"/>
                <w:rFonts w:asciiTheme="minorHAnsi" w:eastAsiaTheme="minorHAnsi" w:hAnsiTheme="minorHAnsi" w:cstheme="minorHAnsi"/>
                <w:sz w:val="22"/>
                <w:szCs w:val="22"/>
              </w:rPr>
            </w:pPr>
            <w:r w:rsidRPr="00FD20D5">
              <w:rPr>
                <w:rFonts w:asciiTheme="minorHAnsi" w:hAnsiTheme="minorHAnsi" w:cstheme="minorHAnsi"/>
                <w:sz w:val="22"/>
                <w:szCs w:val="22"/>
              </w:rPr>
              <w:t xml:space="preserve">Targeted Social Assistance </w:t>
            </w:r>
          </w:p>
        </w:tc>
      </w:tr>
      <w:tr w:rsidR="00A2657B" w:rsidRPr="00FD20D5" w14:paraId="3819101E" w14:textId="77777777" w:rsidTr="00182493">
        <w:tc>
          <w:tcPr>
            <w:tcW w:w="2093" w:type="dxa"/>
          </w:tcPr>
          <w:p w14:paraId="5EE3FA01" w14:textId="77777777" w:rsidR="00A2657B" w:rsidRPr="00FD20D5" w:rsidRDefault="00A2657B" w:rsidP="00182493">
            <w:pPr>
              <w:rPr>
                <w:rFonts w:asciiTheme="minorHAnsi" w:hAnsiTheme="minorHAnsi" w:cstheme="minorHAnsi"/>
                <w:color w:val="000000" w:themeColor="text1"/>
                <w:sz w:val="22"/>
                <w:szCs w:val="22"/>
              </w:rPr>
            </w:pPr>
            <w:r w:rsidRPr="00FD20D5">
              <w:rPr>
                <w:rFonts w:asciiTheme="minorHAnsi" w:hAnsiTheme="minorHAnsi" w:cstheme="minorHAnsi"/>
                <w:color w:val="000000" w:themeColor="text1"/>
                <w:sz w:val="22"/>
                <w:szCs w:val="22"/>
              </w:rPr>
              <w:t>USAID</w:t>
            </w:r>
          </w:p>
        </w:tc>
        <w:tc>
          <w:tcPr>
            <w:tcW w:w="6662" w:type="dxa"/>
          </w:tcPr>
          <w:p w14:paraId="6AFAF1BF" w14:textId="77777777" w:rsidR="00A2657B" w:rsidRPr="00FD20D5" w:rsidRDefault="00A2657B" w:rsidP="00182493">
            <w:pPr>
              <w:rPr>
                <w:rFonts w:asciiTheme="minorHAnsi" w:hAnsiTheme="minorHAnsi" w:cstheme="minorHAnsi"/>
                <w:color w:val="000000" w:themeColor="text1"/>
                <w:sz w:val="22"/>
                <w:szCs w:val="22"/>
              </w:rPr>
            </w:pPr>
            <w:r w:rsidRPr="00FD20D5">
              <w:rPr>
                <w:rFonts w:asciiTheme="minorHAnsi" w:hAnsiTheme="minorHAnsi" w:cstheme="minorHAnsi"/>
                <w:color w:val="000000" w:themeColor="text1"/>
                <w:sz w:val="22"/>
                <w:szCs w:val="22"/>
              </w:rPr>
              <w:t>United States Agency for International Development</w:t>
            </w:r>
          </w:p>
        </w:tc>
      </w:tr>
      <w:tr w:rsidR="00A2657B" w:rsidRPr="00FD20D5" w14:paraId="76F56F63" w14:textId="77777777" w:rsidTr="00182493">
        <w:tc>
          <w:tcPr>
            <w:tcW w:w="2093" w:type="dxa"/>
          </w:tcPr>
          <w:p w14:paraId="348C1FBF" w14:textId="77777777" w:rsidR="00A2657B" w:rsidRPr="00FD20D5" w:rsidRDefault="00A2657B" w:rsidP="00182493">
            <w:pPr>
              <w:rPr>
                <w:rFonts w:asciiTheme="minorHAnsi" w:eastAsia="MyriadPro-Light" w:hAnsiTheme="minorHAnsi" w:cstheme="minorHAnsi"/>
                <w:sz w:val="22"/>
                <w:szCs w:val="22"/>
              </w:rPr>
            </w:pPr>
            <w:r w:rsidRPr="00FD20D5">
              <w:rPr>
                <w:rFonts w:asciiTheme="minorHAnsi" w:eastAsia="MyriadPro-Light" w:hAnsiTheme="minorHAnsi" w:cstheme="minorHAnsi"/>
                <w:sz w:val="22"/>
                <w:szCs w:val="22"/>
              </w:rPr>
              <w:t>VAT</w:t>
            </w:r>
          </w:p>
        </w:tc>
        <w:tc>
          <w:tcPr>
            <w:tcW w:w="6662" w:type="dxa"/>
          </w:tcPr>
          <w:p w14:paraId="7EAABBD9" w14:textId="77777777" w:rsidR="00A2657B" w:rsidRPr="00FD20D5" w:rsidRDefault="00A2657B" w:rsidP="00182493">
            <w:pPr>
              <w:rPr>
                <w:rFonts w:asciiTheme="minorHAnsi" w:hAnsiTheme="minorHAnsi" w:cstheme="minorHAnsi"/>
                <w:sz w:val="22"/>
                <w:szCs w:val="22"/>
              </w:rPr>
            </w:pPr>
            <w:r w:rsidRPr="00FD20D5">
              <w:rPr>
                <w:rFonts w:asciiTheme="minorHAnsi" w:hAnsiTheme="minorHAnsi" w:cstheme="minorHAnsi"/>
                <w:sz w:val="22"/>
                <w:szCs w:val="22"/>
              </w:rPr>
              <w:t>Value Added Tax</w:t>
            </w:r>
          </w:p>
        </w:tc>
      </w:tr>
      <w:tr w:rsidR="00A2657B" w:rsidRPr="00FD20D5" w14:paraId="1CD864F8" w14:textId="77777777" w:rsidTr="00182493">
        <w:tc>
          <w:tcPr>
            <w:tcW w:w="2093" w:type="dxa"/>
          </w:tcPr>
          <w:p w14:paraId="40BF1709" w14:textId="77777777" w:rsidR="00A2657B" w:rsidRPr="00FD20D5" w:rsidRDefault="00A2657B" w:rsidP="00182493">
            <w:pPr>
              <w:rPr>
                <w:rFonts w:asciiTheme="minorHAnsi" w:eastAsia="MyriadPro-Light" w:hAnsiTheme="minorHAnsi" w:cstheme="minorHAnsi"/>
                <w:sz w:val="22"/>
                <w:szCs w:val="22"/>
              </w:rPr>
            </w:pPr>
            <w:r>
              <w:rPr>
                <w:rFonts w:asciiTheme="minorHAnsi" w:eastAsia="MyriadPro-Light" w:hAnsiTheme="minorHAnsi" w:cstheme="minorHAnsi"/>
                <w:sz w:val="22"/>
                <w:szCs w:val="22"/>
              </w:rPr>
              <w:t>WA</w:t>
            </w:r>
          </w:p>
        </w:tc>
        <w:tc>
          <w:tcPr>
            <w:tcW w:w="6662" w:type="dxa"/>
          </w:tcPr>
          <w:p w14:paraId="7DE387A9" w14:textId="77777777" w:rsidR="00A2657B" w:rsidRPr="00FD20D5" w:rsidRDefault="00A2657B" w:rsidP="00182493">
            <w:pPr>
              <w:rPr>
                <w:rFonts w:asciiTheme="minorHAnsi" w:hAnsiTheme="minorHAnsi" w:cstheme="minorHAnsi"/>
                <w:sz w:val="22"/>
                <w:szCs w:val="22"/>
              </w:rPr>
            </w:pPr>
            <w:r>
              <w:rPr>
                <w:rFonts w:asciiTheme="minorHAnsi" w:hAnsiTheme="minorHAnsi" w:cstheme="minorHAnsi"/>
                <w:sz w:val="22"/>
                <w:szCs w:val="22"/>
              </w:rPr>
              <w:t>Withdrawal Application</w:t>
            </w:r>
          </w:p>
        </w:tc>
      </w:tr>
    </w:tbl>
    <w:p w14:paraId="5734A42F" w14:textId="77777777" w:rsidR="003D03F1" w:rsidRPr="00406E20" w:rsidRDefault="003D03F1" w:rsidP="003D03F1">
      <w:pPr>
        <w:ind w:left="-907"/>
        <w:rPr>
          <w:rFonts w:asciiTheme="minorHAnsi" w:hAnsiTheme="minorHAnsi"/>
        </w:rPr>
      </w:pPr>
    </w:p>
    <w:p w14:paraId="198B91CB" w14:textId="77777777" w:rsidR="00442B24" w:rsidRDefault="00442B24" w:rsidP="003D03F1">
      <w:pPr>
        <w:pStyle w:val="Normal5"/>
        <w:spacing w:after="0" w:line="240" w:lineRule="auto"/>
        <w:ind w:left="-900"/>
        <w:sectPr w:rsidR="00442B24" w:rsidSect="001F57C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Borders w:display="firstPage" w:offsetFrom="page">
            <w:top w:val="single" w:sz="36" w:space="24" w:color="2F5496"/>
            <w:left w:val="single" w:sz="36" w:space="24" w:color="2F5496"/>
            <w:bottom w:val="single" w:sz="36" w:space="24" w:color="2F5496"/>
            <w:right w:val="single" w:sz="36" w:space="24" w:color="2F5496"/>
          </w:pgBorders>
          <w:pgNumType w:start="1"/>
          <w:cols w:space="720"/>
          <w:titlePg/>
          <w:docGrid w:linePitch="360"/>
        </w:sectPr>
      </w:pPr>
      <w:bookmarkStart w:id="0" w:name="SECTION3"/>
      <w:bookmarkEnd w:id="0"/>
    </w:p>
    <w:p w14:paraId="33AF7A3F" w14:textId="712ED943" w:rsidR="003D03F1" w:rsidRDefault="00880CEC" w:rsidP="00A2657B">
      <w:pPr>
        <w:ind w:left="-691" w:right="-518"/>
        <w:sectPr w:rsidR="003D03F1" w:rsidSect="00E51AFC">
          <w:headerReference w:type="default" r:id="rId18"/>
          <w:footerReference w:type="default" r:id="rId19"/>
          <w:pgSz w:w="12240" w:h="15840"/>
          <w:pgMar w:top="1440" w:right="1440" w:bottom="1440" w:left="1440" w:header="720" w:footer="720" w:gutter="0"/>
          <w:pgBorders w:offsetFrom="page">
            <w:bottom w:val="single" w:sz="8" w:space="24" w:color="F7F7F7"/>
          </w:pgBorders>
          <w:pgNumType w:start="1"/>
          <w:cols w:space="720"/>
          <w:docGrid w:linePitch="360"/>
        </w:sectPr>
      </w:pPr>
      <w:r>
        <w:rPr>
          <w:noProof/>
        </w:rPr>
        <w:lastRenderedPageBreak/>
        <mc:AlternateContent>
          <mc:Choice Requires="wps">
            <w:drawing>
              <wp:anchor distT="0" distB="0" distL="114300" distR="114300" simplePos="0" relativeHeight="251664384" behindDoc="0" locked="0" layoutInCell="1" allowOverlap="1" wp14:anchorId="3FDBFC8B" wp14:editId="757442CD">
                <wp:simplePos x="0" y="0"/>
                <wp:positionH relativeFrom="column">
                  <wp:posOffset>-937591</wp:posOffset>
                </wp:positionH>
                <wp:positionV relativeFrom="paragraph">
                  <wp:posOffset>144780</wp:posOffset>
                </wp:positionV>
                <wp:extent cx="7799705" cy="0"/>
                <wp:effectExtent l="0" t="0" r="10795" b="19050"/>
                <wp:wrapNone/>
                <wp:docPr id="16" name="Straight Connector 16"/>
                <wp:cNvGraphicFramePr/>
                <a:graphic xmlns:a="http://schemas.openxmlformats.org/drawingml/2006/main">
                  <a:graphicData uri="http://schemas.microsoft.com/office/word/2010/wordprocessingShape">
                    <wps:wsp>
                      <wps:cNvCnPr/>
                      <wps:spPr>
                        <a:xfrm>
                          <a:off x="0" y="0"/>
                          <a:ext cx="7799705" cy="0"/>
                        </a:xfrm>
                        <a:prstGeom prst="line">
                          <a:avLst/>
                        </a:prstGeom>
                        <a:ln w="9525">
                          <a:solidFill>
                            <a:schemeClr val="tx1">
                              <a:lumMod val="50000"/>
                              <a:lumOff val="50000"/>
                              <a:alpha val="4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6" o:spid="_x0000_s1031" style="mso-width-percent:0;mso-width-relative:margin;mso-wrap-distance-bottom:0;mso-wrap-distance-left:9pt;mso-wrap-distance-right:9pt;mso-wrap-distance-top:0;mso-wrap-style:square;position:absolute;visibility:visible;z-index:251665408" from="-73.85pt,11.4pt" to="540.3pt,11.4pt" strokecolor="gray">
                <v:stroke joinstyle="miter" dashstyle="dash" opacity="26214f"/>
              </v:line>
            </w:pict>
          </mc:Fallback>
        </mc:AlternateContent>
      </w:r>
      <w:sdt>
        <w:sdtPr>
          <w:id w:val="1939474147"/>
          <w:lock w:val="sdtContentLocked"/>
          <w:placeholder>
            <w:docPart w:val="6B85671F4AE84F72B01F75240AFE2312"/>
          </w:placeholder>
          <w:showingPlcHdr/>
        </w:sdtPr>
        <w:sdtContent>
          <w:r w:rsidRPr="00C62B40">
            <w:rPr>
              <w:rStyle w:val="PlaceholderText"/>
            </w:rPr>
            <w:t>.</w:t>
          </w:r>
        </w:sdtContent>
      </w:sdt>
    </w:p>
    <w:sdt>
      <w:sdtPr>
        <w:tag w:val="OPS_CORE_DATA_BLOCK"/>
        <w:id w:val="1594927904"/>
        <w:lock w:val="sdtContentLocked"/>
        <w:placeholder>
          <w:docPart w:val="DefaultPlaceholder_22675703"/>
        </w:placeholder>
        <w:group/>
      </w:sdtPr>
      <w:sdtContent>
        <w:sdt>
          <w:sdtPr>
            <w:tag w:val="OPS_CORE_SECTION_START_2"/>
            <w:id w:val="736537973"/>
            <w:lock w:val="sdtContentLocked"/>
            <w:placeholder>
              <w:docPart w:val="752A7D0F89BA41C58213D1D4136C9FBC"/>
            </w:placeholder>
          </w:sdtPr>
          <w:sdtContent>
            <w:p w14:paraId="6DF18293" w14:textId="77777777" w:rsidR="003D03F1" w:rsidRDefault="00880CEC" w:rsidP="00D33DFA">
              <w:pPr>
                <w:pStyle w:val="Normal3"/>
                <w:spacing w:after="0" w:line="14" w:lineRule="exact"/>
                <w:ind w:left="-691" w:right="-518"/>
              </w:pPr>
              <w:r>
                <w:t xml:space="preserve"> </w:t>
              </w:r>
            </w:p>
          </w:sdtContent>
        </w:sdt>
        <w:p w14:paraId="652B2A60" w14:textId="77777777" w:rsidR="003D03F1" w:rsidRDefault="003D03F1" w:rsidP="002C6C7F">
          <w:pPr>
            <w:ind w:left="-691" w:right="-518"/>
            <w:rPr>
              <w:rFonts w:asciiTheme="minorHAnsi" w:hAnsiTheme="minorHAnsi"/>
              <w:color w:val="767171" w:themeColor="background2" w:themeShade="80"/>
              <w:sz w:val="22"/>
              <w:szCs w:val="22"/>
            </w:rPr>
          </w:pPr>
        </w:p>
        <w:tbl>
          <w:tblPr>
            <w:tblStyle w:val="TableGrid"/>
            <w:tblW w:w="10620" w:type="dxa"/>
            <w:tblInd w:w="-750" w:type="dxa"/>
            <w:shd w:val="clear" w:color="auto" w:fill="F7F7F7"/>
            <w:tblLayout w:type="fixed"/>
            <w:tblLook w:val="04A0" w:firstRow="1" w:lastRow="0" w:firstColumn="1" w:lastColumn="0" w:noHBand="0" w:noVBand="1"/>
          </w:tblPr>
          <w:tblGrid>
            <w:gridCol w:w="2475"/>
            <w:gridCol w:w="2295"/>
            <w:gridCol w:w="3015"/>
            <w:gridCol w:w="2655"/>
            <w:gridCol w:w="164"/>
            <w:gridCol w:w="16"/>
          </w:tblGrid>
          <w:tr w:rsidR="004F0F3F" w14:paraId="249E2457" w14:textId="77777777" w:rsidTr="00405AC8">
            <w:trPr>
              <w:trHeight w:val="432"/>
            </w:trPr>
            <w:tc>
              <w:tcPr>
                <w:tcW w:w="10620" w:type="dxa"/>
                <w:gridSpan w:val="6"/>
                <w:tcBorders>
                  <w:top w:val="nil"/>
                  <w:left w:val="single" w:sz="24" w:space="0" w:color="BFBFBF" w:themeColor="background1" w:themeShade="BF"/>
                  <w:bottom w:val="nil"/>
                  <w:right w:val="nil"/>
                </w:tcBorders>
                <w:shd w:val="clear" w:color="auto" w:fill="F2F2F2" w:themeFill="background1" w:themeFillShade="F2"/>
                <w:vAlign w:val="center"/>
                <w:hideMark/>
              </w:tcPr>
              <w:p w14:paraId="44059125" w14:textId="77777777" w:rsidR="00FB2669" w:rsidRPr="00656279" w:rsidRDefault="00880CEC" w:rsidP="001605EE">
                <w:pPr>
                  <w:rPr>
                    <w:rFonts w:eastAsia="Times New Roman"/>
                  </w:rPr>
                </w:pPr>
                <w:r w:rsidRPr="007D4E7E">
                  <w:rPr>
                    <w:rFonts w:asciiTheme="minorHAnsi" w:eastAsia="Times New Roman" w:hAnsiTheme="minorHAnsi"/>
                    <w:b/>
                    <w:bCs/>
                    <w:sz w:val="22"/>
                    <w:szCs w:val="22"/>
                  </w:rPr>
                  <w:t>BASIC INFORMATION</w:t>
                </w:r>
                <w:r w:rsidR="00642560">
                  <w:rPr>
                    <w:rFonts w:asciiTheme="minorHAnsi" w:eastAsia="Times New Roman" w:hAnsiTheme="minorHAnsi"/>
                    <w:b/>
                    <w:bCs/>
                    <w:sz w:val="22"/>
                    <w:szCs w:val="22"/>
                  </w:rPr>
                  <w:t xml:space="preserve"> – PARENT (</w:t>
                </w:r>
                <w:r w:rsidR="00642560" w:rsidRPr="00642560">
                  <w:rPr>
                    <w:rFonts w:asciiTheme="minorHAnsi" w:hAnsiTheme="minorHAnsi"/>
                    <w:b/>
                    <w:bCs/>
                    <w:noProof/>
                    <w:sz w:val="22"/>
                    <w:szCs w:val="22"/>
                  </w:rPr>
                  <w:t>Tajikistan Power Utility Financial Recovery - P168211</w:t>
                </w:r>
                <w:r w:rsidR="00642560">
                  <w:rPr>
                    <w:rFonts w:asciiTheme="minorHAnsi" w:eastAsia="Times New Roman" w:hAnsiTheme="minorHAnsi"/>
                    <w:b/>
                    <w:bCs/>
                    <w:sz w:val="22"/>
                    <w:szCs w:val="22"/>
                  </w:rPr>
                  <w:t>)</w:t>
                </w:r>
              </w:p>
            </w:tc>
          </w:tr>
          <w:tr w:rsidR="004F0F3F" w14:paraId="0926F369" w14:textId="77777777" w:rsidTr="00723D9D">
            <w:tblPrEx>
              <w:tblBorders>
                <w:top w:val="none" w:sz="0" w:space="0" w:color="auto"/>
                <w:left w:val="none" w:sz="0" w:space="0" w:color="auto"/>
                <w:bottom w:val="single" w:sz="4" w:space="0" w:color="D9D9D9" w:themeColor="background1" w:themeShade="D9"/>
                <w:right w:val="single" w:sz="4" w:space="0" w:color="D9D9D9" w:themeColor="background1" w:themeShade="D9"/>
                <w:insideH w:val="none" w:sz="0" w:space="0" w:color="auto"/>
                <w:insideV w:val="single" w:sz="4" w:space="0" w:color="D9D9D9" w:themeColor="background1" w:themeShade="D9"/>
              </w:tblBorders>
              <w:tblCellMar>
                <w:top w:w="29" w:type="dxa"/>
                <w:left w:w="144" w:type="dxa"/>
                <w:bottom w:w="72" w:type="dxa"/>
                <w:right w:w="0" w:type="dxa"/>
              </w:tblCellMar>
            </w:tblPrEx>
            <w:trPr>
              <w:gridAfter w:val="1"/>
              <w:wAfter w:w="16" w:type="dxa"/>
              <w:trHeight w:val="302"/>
            </w:trPr>
            <w:tc>
              <w:tcPr>
                <w:tcW w:w="4770" w:type="dxa"/>
                <w:gridSpan w:val="2"/>
                <w:tcBorders>
                  <w:top w:val="nil"/>
                  <w:right w:val="nil"/>
                </w:tcBorders>
                <w:shd w:val="clear" w:color="auto" w:fill="F7F7F7"/>
                <w:vAlign w:val="bottom"/>
              </w:tcPr>
              <w:p w14:paraId="61E4E6A9" w14:textId="77777777" w:rsidR="00856F5A" w:rsidRDefault="00856F5A" w:rsidP="003615CB">
                <w:pPr>
                  <w:rPr>
                    <w:rFonts w:asciiTheme="minorHAnsi" w:hAnsiTheme="minorHAnsi"/>
                    <w:color w:val="767171" w:themeColor="background2" w:themeShade="80"/>
                    <w:sz w:val="22"/>
                    <w:szCs w:val="22"/>
                  </w:rPr>
                </w:pPr>
              </w:p>
            </w:tc>
            <w:tc>
              <w:tcPr>
                <w:tcW w:w="5670" w:type="dxa"/>
                <w:gridSpan w:val="2"/>
                <w:tcBorders>
                  <w:top w:val="nil"/>
                  <w:left w:val="nil"/>
                  <w:bottom w:val="single" w:sz="4" w:space="0" w:color="D9D9D9" w:themeColor="background1" w:themeShade="D9"/>
                  <w:right w:val="nil"/>
                </w:tcBorders>
                <w:shd w:val="clear" w:color="auto" w:fill="F7F7F7"/>
                <w:vAlign w:val="bottom"/>
              </w:tcPr>
              <w:p w14:paraId="2571BF0F" w14:textId="77777777" w:rsidR="00856F5A" w:rsidRDefault="00856F5A" w:rsidP="00292726">
                <w:pPr>
                  <w:ind w:right="180"/>
                  <w:rPr>
                    <w:rFonts w:asciiTheme="minorHAnsi" w:hAnsiTheme="minorHAnsi"/>
                    <w:color w:val="767171" w:themeColor="background2" w:themeShade="80"/>
                    <w:sz w:val="22"/>
                    <w:szCs w:val="22"/>
                  </w:rPr>
                </w:pPr>
              </w:p>
            </w:tc>
            <w:tc>
              <w:tcPr>
                <w:tcW w:w="164" w:type="dxa"/>
                <w:tcBorders>
                  <w:top w:val="nil"/>
                  <w:left w:val="nil"/>
                  <w:bottom w:val="nil"/>
                  <w:right w:val="nil"/>
                </w:tcBorders>
                <w:shd w:val="clear" w:color="auto" w:fill="F7F7F7"/>
                <w:vAlign w:val="bottom"/>
              </w:tcPr>
              <w:p w14:paraId="17BB57E0" w14:textId="77777777" w:rsidR="00856F5A" w:rsidRDefault="00856F5A" w:rsidP="002A4B33">
                <w:pPr>
                  <w:ind w:left="-144" w:right="27"/>
                  <w:rPr>
                    <w:rFonts w:asciiTheme="minorHAnsi" w:hAnsiTheme="minorHAnsi"/>
                    <w:color w:val="767171" w:themeColor="background2" w:themeShade="80"/>
                    <w:sz w:val="22"/>
                    <w:szCs w:val="22"/>
                  </w:rPr>
                </w:pPr>
              </w:p>
            </w:tc>
          </w:tr>
          <w:tr w:rsidR="004F0F3F" w14:paraId="575D590E" w14:textId="77777777" w:rsidTr="00196243">
            <w:tblPrEx>
              <w:tblBorders>
                <w:top w:val="none" w:sz="0" w:space="0" w:color="auto"/>
                <w:left w:val="none" w:sz="0" w:space="0" w:color="auto"/>
                <w:bottom w:val="single" w:sz="4" w:space="0" w:color="D9D9D9" w:themeColor="background1" w:themeShade="D9"/>
                <w:right w:val="single" w:sz="4" w:space="0" w:color="D9D9D9" w:themeColor="background1" w:themeShade="D9"/>
                <w:insideH w:val="none" w:sz="0" w:space="0" w:color="auto"/>
                <w:insideV w:val="single" w:sz="4" w:space="0" w:color="D9D9D9" w:themeColor="background1" w:themeShade="D9"/>
              </w:tblBorders>
              <w:tblCellMar>
                <w:top w:w="29" w:type="dxa"/>
                <w:left w:w="144" w:type="dxa"/>
                <w:bottom w:w="72" w:type="dxa"/>
                <w:right w:w="0" w:type="dxa"/>
              </w:tblCellMar>
            </w:tblPrEx>
            <w:trPr>
              <w:trHeight w:val="302"/>
            </w:trPr>
            <w:tc>
              <w:tcPr>
                <w:tcW w:w="2475" w:type="dxa"/>
                <w:tcBorders>
                  <w:top w:val="single" w:sz="4" w:space="0" w:color="D9D9D9" w:themeColor="background1" w:themeShade="D9"/>
                </w:tcBorders>
                <w:shd w:val="clear" w:color="auto" w:fill="F7F7F7"/>
                <w:vAlign w:val="center"/>
              </w:tcPr>
              <w:p w14:paraId="3654BE1D" w14:textId="77777777" w:rsidR="00371588" w:rsidRPr="00216791" w:rsidRDefault="00880CEC" w:rsidP="00CE473F">
                <w:pPr>
                  <w:shd w:val="clear" w:color="auto" w:fill="F7F7F7"/>
                  <w:ind w:right="64"/>
                  <w:rPr>
                    <w:rFonts w:asciiTheme="minorHAnsi" w:hAnsiTheme="minorHAnsi"/>
                    <w:sz w:val="22"/>
                    <w:szCs w:val="22"/>
                  </w:rPr>
                </w:pPr>
                <w:r w:rsidRPr="00216791">
                  <w:rPr>
                    <w:rFonts w:asciiTheme="minorHAnsi" w:hAnsiTheme="minorHAnsi"/>
                    <w:color w:val="808080"/>
                    <w:sz w:val="22"/>
                    <w:szCs w:val="22"/>
                  </w:rPr>
                  <w:t>Country</w:t>
                </w:r>
              </w:p>
            </w:tc>
            <w:tc>
              <w:tcPr>
                <w:tcW w:w="2295" w:type="dxa"/>
                <w:tcBorders>
                  <w:top w:val="single" w:sz="4" w:space="0" w:color="D9D9D9" w:themeColor="background1" w:themeShade="D9"/>
                </w:tcBorders>
                <w:shd w:val="clear" w:color="auto" w:fill="F7F7F7"/>
                <w:vAlign w:val="center"/>
              </w:tcPr>
              <w:p w14:paraId="6C0E3680" w14:textId="77777777" w:rsidR="00371588" w:rsidRPr="00216791" w:rsidRDefault="00880CEC" w:rsidP="00CE473F">
                <w:pPr>
                  <w:shd w:val="clear" w:color="auto" w:fill="F7F7F7"/>
                  <w:ind w:right="90"/>
                  <w:rPr>
                    <w:rFonts w:asciiTheme="minorHAnsi" w:hAnsiTheme="minorHAnsi"/>
                    <w:sz w:val="22"/>
                    <w:szCs w:val="22"/>
                  </w:rPr>
                </w:pPr>
                <w:r>
                  <w:rPr>
                    <w:rFonts w:asciiTheme="minorHAnsi" w:hAnsiTheme="minorHAnsi"/>
                    <w:color w:val="808080"/>
                    <w:sz w:val="22"/>
                    <w:szCs w:val="22"/>
                  </w:rPr>
                  <w:t>Product</w:t>
                </w:r>
                <w:r w:rsidRPr="00216791">
                  <w:rPr>
                    <w:rFonts w:asciiTheme="minorHAnsi" w:hAnsiTheme="minorHAnsi"/>
                    <w:color w:val="808080"/>
                    <w:sz w:val="22"/>
                    <w:szCs w:val="22"/>
                  </w:rPr>
                  <w:t xml:space="preserve"> Line</w:t>
                </w:r>
              </w:p>
            </w:tc>
            <w:tc>
              <w:tcPr>
                <w:tcW w:w="5850" w:type="dxa"/>
                <w:gridSpan w:val="4"/>
                <w:tcBorders>
                  <w:top w:val="single" w:sz="4" w:space="0" w:color="D9D9D9" w:themeColor="background1" w:themeShade="D9"/>
                  <w:bottom w:val="nil"/>
                  <w:right w:val="nil"/>
                </w:tcBorders>
                <w:shd w:val="clear" w:color="auto" w:fill="F7F7F7"/>
                <w:vAlign w:val="center"/>
              </w:tcPr>
              <w:p w14:paraId="784DAFC7" w14:textId="77777777" w:rsidR="00371588" w:rsidRPr="00216791" w:rsidRDefault="00880CEC" w:rsidP="003456BC">
                <w:pPr>
                  <w:shd w:val="clear" w:color="auto" w:fill="F7F7F7"/>
                  <w:ind w:right="180"/>
                  <w:rPr>
                    <w:rFonts w:asciiTheme="minorHAnsi" w:hAnsiTheme="minorHAnsi"/>
                    <w:sz w:val="22"/>
                    <w:szCs w:val="22"/>
                  </w:rPr>
                </w:pPr>
                <w:r w:rsidRPr="00216791">
                  <w:rPr>
                    <w:rFonts w:asciiTheme="minorHAnsi" w:hAnsiTheme="minorHAnsi"/>
                    <w:color w:val="808080"/>
                    <w:sz w:val="22"/>
                    <w:szCs w:val="22"/>
                  </w:rPr>
                  <w:t>Team Leader(s)</w:t>
                </w:r>
              </w:p>
            </w:tc>
          </w:tr>
          <w:tr w:rsidR="004F0F3F" w14:paraId="15CAED55" w14:textId="77777777" w:rsidTr="00196243">
            <w:tblPrEx>
              <w:tblBorders>
                <w:top w:val="none" w:sz="0" w:space="0" w:color="auto"/>
                <w:left w:val="none" w:sz="0" w:space="0" w:color="auto"/>
                <w:bottom w:val="single" w:sz="4" w:space="0" w:color="D9D9D9" w:themeColor="background1" w:themeShade="D9"/>
                <w:right w:val="single" w:sz="4" w:space="0" w:color="D9D9D9" w:themeColor="background1" w:themeShade="D9"/>
                <w:insideH w:val="none" w:sz="0" w:space="0" w:color="auto"/>
                <w:insideV w:val="single" w:sz="4" w:space="0" w:color="D9D9D9" w:themeColor="background1" w:themeShade="D9"/>
              </w:tblBorders>
              <w:tblCellMar>
                <w:top w:w="29" w:type="dxa"/>
                <w:left w:w="144" w:type="dxa"/>
                <w:bottom w:w="72" w:type="dxa"/>
                <w:right w:w="0" w:type="dxa"/>
              </w:tblCellMar>
            </w:tblPrEx>
            <w:trPr>
              <w:trHeight w:val="331"/>
            </w:trPr>
            <w:tc>
              <w:tcPr>
                <w:tcW w:w="2475" w:type="dxa"/>
                <w:tcBorders>
                  <w:bottom w:val="single" w:sz="4" w:space="0" w:color="D9D9D9" w:themeColor="background1" w:themeShade="D9"/>
                </w:tcBorders>
                <w:shd w:val="clear" w:color="auto" w:fill="F7F7F7"/>
              </w:tcPr>
              <w:p w14:paraId="332E605A" w14:textId="77777777" w:rsidR="00371588" w:rsidRPr="00216791" w:rsidRDefault="00880CEC">
                <w:pPr>
                  <w:rPr>
                    <w:rFonts w:asciiTheme="minorHAnsi" w:hAnsiTheme="minorHAnsi"/>
                    <w:sz w:val="22"/>
                    <w:szCs w:val="22"/>
                  </w:rPr>
                </w:pPr>
                <w:r>
                  <w:rPr>
                    <w:rFonts w:asciiTheme="minorHAnsi" w:hAnsiTheme="minorHAnsi"/>
                    <w:bCs/>
                    <w:noProof/>
                    <w:sz w:val="22"/>
                    <w:szCs w:val="22"/>
                  </w:rPr>
                  <w:t>Tajikistan</w:t>
                </w:r>
              </w:p>
            </w:tc>
            <w:tc>
              <w:tcPr>
                <w:tcW w:w="2295" w:type="dxa"/>
                <w:tcBorders>
                  <w:bottom w:val="single" w:sz="4" w:space="0" w:color="D9D9D9" w:themeColor="background1" w:themeShade="D9"/>
                </w:tcBorders>
                <w:shd w:val="clear" w:color="auto" w:fill="F7F7F7"/>
              </w:tcPr>
              <w:p w14:paraId="1533369D" w14:textId="77777777" w:rsidR="00371588" w:rsidRPr="00216791" w:rsidRDefault="00880CEC">
                <w:pPr>
                  <w:rPr>
                    <w:rFonts w:asciiTheme="minorHAnsi" w:hAnsiTheme="minorHAnsi"/>
                    <w:sz w:val="22"/>
                    <w:szCs w:val="22"/>
                  </w:rPr>
                </w:pPr>
                <w:r>
                  <w:rPr>
                    <w:rFonts w:asciiTheme="minorHAnsi" w:hAnsiTheme="minorHAnsi"/>
                    <w:bCs/>
                    <w:noProof/>
                    <w:sz w:val="22"/>
                    <w:szCs w:val="22"/>
                  </w:rPr>
                  <w:t>IBRD/IDA</w:t>
                </w:r>
              </w:p>
            </w:tc>
            <w:tc>
              <w:tcPr>
                <w:tcW w:w="5850" w:type="dxa"/>
                <w:gridSpan w:val="4"/>
                <w:tcBorders>
                  <w:top w:val="nil"/>
                  <w:bottom w:val="single" w:sz="4" w:space="0" w:color="D9D9D9" w:themeColor="background1" w:themeShade="D9"/>
                  <w:right w:val="nil"/>
                </w:tcBorders>
                <w:shd w:val="clear" w:color="auto" w:fill="F7F7F7"/>
              </w:tcPr>
              <w:p w14:paraId="68C2D74F" w14:textId="77777777" w:rsidR="00371588" w:rsidRPr="00216791" w:rsidRDefault="00880CEC">
                <w:pPr>
                  <w:rPr>
                    <w:rFonts w:asciiTheme="minorHAnsi" w:hAnsiTheme="minorHAnsi"/>
                    <w:sz w:val="22"/>
                    <w:szCs w:val="22"/>
                  </w:rPr>
                </w:pPr>
                <w:r>
                  <w:rPr>
                    <w:rFonts w:asciiTheme="minorHAnsi" w:hAnsiTheme="minorHAnsi"/>
                    <w:noProof/>
                    <w:sz w:val="22"/>
                    <w:szCs w:val="22"/>
                  </w:rPr>
                  <w:t>Artur Kochnakyan</w:t>
                </w:r>
              </w:p>
            </w:tc>
          </w:tr>
          <w:tr w:rsidR="004F0F3F" w14:paraId="0C87F847" w14:textId="77777777" w:rsidTr="001E539D">
            <w:tblPrEx>
              <w:tblBorders>
                <w:top w:val="none" w:sz="0" w:space="0" w:color="auto"/>
                <w:left w:val="none" w:sz="0" w:space="0" w:color="auto"/>
                <w:bottom w:val="single" w:sz="4" w:space="0" w:color="D9D9D9" w:themeColor="background1" w:themeShade="D9"/>
                <w:right w:val="single" w:sz="4" w:space="0" w:color="D9D9D9" w:themeColor="background1" w:themeShade="D9"/>
                <w:insideH w:val="none" w:sz="0" w:space="0" w:color="auto"/>
                <w:insideV w:val="single" w:sz="4" w:space="0" w:color="D9D9D9" w:themeColor="background1" w:themeShade="D9"/>
              </w:tblBorders>
              <w:tblCellMar>
                <w:top w:w="29" w:type="dxa"/>
                <w:left w:w="144" w:type="dxa"/>
                <w:bottom w:w="72" w:type="dxa"/>
                <w:right w:w="0" w:type="dxa"/>
              </w:tblCellMar>
            </w:tblPrEx>
            <w:trPr>
              <w:trHeight w:val="331"/>
            </w:trPr>
            <w:tc>
              <w:tcPr>
                <w:tcW w:w="2475" w:type="dxa"/>
                <w:tcBorders>
                  <w:top w:val="single" w:sz="4" w:space="0" w:color="D9D9D9" w:themeColor="background1" w:themeShade="D9"/>
                  <w:left w:val="nil"/>
                  <w:bottom w:val="nil"/>
                </w:tcBorders>
                <w:shd w:val="clear" w:color="auto" w:fill="F7F7F7"/>
                <w:vAlign w:val="center"/>
              </w:tcPr>
              <w:p w14:paraId="24FFA47B" w14:textId="77777777" w:rsidR="009A79A3" w:rsidRPr="00216791" w:rsidRDefault="00880CEC" w:rsidP="001E539D">
                <w:pPr>
                  <w:rPr>
                    <w:rFonts w:asciiTheme="minorHAnsi" w:hAnsiTheme="minorHAnsi"/>
                    <w:sz w:val="22"/>
                    <w:szCs w:val="22"/>
                  </w:rPr>
                </w:pPr>
                <w:r w:rsidRPr="00216791">
                  <w:rPr>
                    <w:rFonts w:asciiTheme="minorHAnsi" w:hAnsiTheme="minorHAnsi"/>
                    <w:color w:val="767171"/>
                    <w:sz w:val="22"/>
                    <w:szCs w:val="22"/>
                  </w:rPr>
                  <w:t>Project ID</w:t>
                </w:r>
              </w:p>
            </w:tc>
            <w:tc>
              <w:tcPr>
                <w:tcW w:w="2295" w:type="dxa"/>
                <w:tcBorders>
                  <w:top w:val="single" w:sz="4" w:space="0" w:color="D9D9D9" w:themeColor="background1" w:themeShade="D9"/>
                  <w:left w:val="nil"/>
                  <w:bottom w:val="nil"/>
                </w:tcBorders>
                <w:shd w:val="clear" w:color="auto" w:fill="F7F7F7"/>
                <w:vAlign w:val="center"/>
              </w:tcPr>
              <w:p w14:paraId="7E55CAE9" w14:textId="77777777" w:rsidR="009A79A3" w:rsidRPr="00216791" w:rsidRDefault="00880CEC" w:rsidP="001E539D">
                <w:pPr>
                  <w:rPr>
                    <w:rFonts w:asciiTheme="minorHAnsi" w:hAnsiTheme="minorHAnsi"/>
                    <w:sz w:val="22"/>
                    <w:szCs w:val="22"/>
                  </w:rPr>
                </w:pPr>
                <w:r>
                  <w:rPr>
                    <w:rFonts w:asciiTheme="minorHAnsi" w:hAnsiTheme="minorHAnsi"/>
                    <w:color w:val="767171"/>
                    <w:sz w:val="22"/>
                    <w:szCs w:val="22"/>
                  </w:rPr>
                  <w:t>Financing</w:t>
                </w:r>
                <w:r w:rsidRPr="00216791">
                  <w:rPr>
                    <w:rFonts w:asciiTheme="minorHAnsi" w:hAnsiTheme="minorHAnsi"/>
                    <w:color w:val="767171"/>
                    <w:sz w:val="22"/>
                    <w:szCs w:val="22"/>
                  </w:rPr>
                  <w:t xml:space="preserve"> Instrument</w:t>
                </w:r>
              </w:p>
            </w:tc>
            <w:tc>
              <w:tcPr>
                <w:tcW w:w="3015" w:type="dxa"/>
                <w:tcBorders>
                  <w:top w:val="single" w:sz="4" w:space="0" w:color="D9D9D9" w:themeColor="background1" w:themeShade="D9"/>
                  <w:right w:val="nil"/>
                </w:tcBorders>
                <w:shd w:val="clear" w:color="auto" w:fill="F7F7F7"/>
                <w:vAlign w:val="center"/>
              </w:tcPr>
              <w:p w14:paraId="3C5650BE" w14:textId="77777777" w:rsidR="009A79A3" w:rsidRPr="007729A6" w:rsidRDefault="00880CEC" w:rsidP="001E539D">
                <w:pPr>
                  <w:rPr>
                    <w:rFonts w:asciiTheme="minorHAnsi" w:hAnsiTheme="minorHAnsi"/>
                    <w:color w:val="767171"/>
                    <w:sz w:val="22"/>
                    <w:szCs w:val="22"/>
                  </w:rPr>
                </w:pPr>
                <w:r w:rsidRPr="00DB0D0C">
                  <w:rPr>
                    <w:rFonts w:asciiTheme="minorHAnsi" w:hAnsiTheme="minorHAnsi"/>
                    <w:color w:val="767171"/>
                    <w:sz w:val="22"/>
                    <w:szCs w:val="22"/>
                  </w:rPr>
                  <w:t>Does this operation have an IPF component?</w:t>
                </w:r>
              </w:p>
              <w:p w14:paraId="56646BDA" w14:textId="77777777" w:rsidR="009A79A3" w:rsidRPr="000B5C48" w:rsidRDefault="009A79A3" w:rsidP="001E539D">
                <w:pPr>
                  <w:shd w:val="clear" w:color="auto" w:fill="F7F7F7"/>
                  <w:ind w:right="90"/>
                  <w:rPr>
                    <w:rFonts w:asciiTheme="minorHAnsi" w:hAnsiTheme="minorHAnsi"/>
                    <w:sz w:val="22"/>
                    <w:szCs w:val="22"/>
                    <w:highlight w:val="yellow"/>
                  </w:rPr>
                </w:pPr>
              </w:p>
            </w:tc>
            <w:tc>
              <w:tcPr>
                <w:tcW w:w="2835" w:type="dxa"/>
                <w:gridSpan w:val="3"/>
                <w:tcBorders>
                  <w:top w:val="single" w:sz="4" w:space="0" w:color="D9D9D9" w:themeColor="background1" w:themeShade="D9"/>
                  <w:bottom w:val="nil"/>
                  <w:right w:val="nil"/>
                </w:tcBorders>
                <w:shd w:val="clear" w:color="auto" w:fill="F7F7F7"/>
                <w:vAlign w:val="center"/>
              </w:tcPr>
              <w:p w14:paraId="658A7A70" w14:textId="77777777" w:rsidR="009A79A3" w:rsidRPr="00216791" w:rsidRDefault="00880CEC" w:rsidP="001E539D">
                <w:pPr>
                  <w:shd w:val="clear" w:color="auto" w:fill="F7F7F7"/>
                  <w:ind w:right="180"/>
                  <w:rPr>
                    <w:rFonts w:asciiTheme="minorHAnsi" w:hAnsiTheme="minorHAnsi"/>
                    <w:sz w:val="22"/>
                    <w:szCs w:val="22"/>
                  </w:rPr>
                </w:pPr>
                <w:r w:rsidRPr="00216791">
                  <w:rPr>
                    <w:rFonts w:asciiTheme="minorHAnsi" w:hAnsiTheme="minorHAnsi"/>
                    <w:color w:val="767171"/>
                    <w:sz w:val="22"/>
                    <w:szCs w:val="22"/>
                  </w:rPr>
                  <w:t>Practice Area (Lead)</w:t>
                </w:r>
              </w:p>
            </w:tc>
          </w:tr>
          <w:tr w:rsidR="004F0F3F" w14:paraId="6D878B4E" w14:textId="77777777" w:rsidTr="009A79A3">
            <w:tblPrEx>
              <w:tblBorders>
                <w:top w:val="none" w:sz="0" w:space="0" w:color="auto"/>
                <w:left w:val="none" w:sz="0" w:space="0" w:color="auto"/>
                <w:bottom w:val="single" w:sz="4" w:space="0" w:color="D9D9D9" w:themeColor="background1" w:themeShade="D9"/>
                <w:right w:val="single" w:sz="4" w:space="0" w:color="D9D9D9" w:themeColor="background1" w:themeShade="D9"/>
                <w:insideH w:val="none" w:sz="0" w:space="0" w:color="auto"/>
                <w:insideV w:val="single" w:sz="4" w:space="0" w:color="D9D9D9" w:themeColor="background1" w:themeShade="D9"/>
              </w:tblBorders>
              <w:tblCellMar>
                <w:top w:w="29" w:type="dxa"/>
                <w:left w:w="144" w:type="dxa"/>
                <w:bottom w:w="72" w:type="dxa"/>
                <w:right w:w="0" w:type="dxa"/>
              </w:tblCellMar>
            </w:tblPrEx>
            <w:trPr>
              <w:trHeight w:val="331"/>
            </w:trPr>
            <w:tc>
              <w:tcPr>
                <w:tcW w:w="2475" w:type="dxa"/>
                <w:tcBorders>
                  <w:top w:val="nil"/>
                  <w:left w:val="nil"/>
                  <w:bottom w:val="single" w:sz="4" w:space="0" w:color="D9D9D9" w:themeColor="background1" w:themeShade="D9"/>
                </w:tcBorders>
                <w:shd w:val="clear" w:color="auto" w:fill="F7F7F7"/>
              </w:tcPr>
              <w:p w14:paraId="574C6A3F" w14:textId="77777777" w:rsidR="009A79A3" w:rsidRPr="00216791" w:rsidRDefault="00880CEC" w:rsidP="004677E9">
                <w:pPr>
                  <w:rPr>
                    <w:rFonts w:asciiTheme="minorHAnsi" w:hAnsiTheme="minorHAnsi"/>
                    <w:noProof/>
                    <w:sz w:val="22"/>
                    <w:szCs w:val="22"/>
                  </w:rPr>
                </w:pPr>
                <w:r w:rsidRPr="00216791">
                  <w:rPr>
                    <w:rFonts w:asciiTheme="minorHAnsi" w:hAnsiTheme="minorHAnsi"/>
                    <w:bCs/>
                    <w:noProof/>
                    <w:sz w:val="22"/>
                    <w:szCs w:val="22"/>
                  </w:rPr>
                  <w:t>P168211</w:t>
                </w:r>
              </w:p>
            </w:tc>
            <w:tc>
              <w:tcPr>
                <w:tcW w:w="2295" w:type="dxa"/>
                <w:tcBorders>
                  <w:top w:val="nil"/>
                  <w:left w:val="nil"/>
                  <w:bottom w:val="single" w:sz="4" w:space="0" w:color="D9D9D9" w:themeColor="background1" w:themeShade="D9"/>
                </w:tcBorders>
                <w:shd w:val="clear" w:color="auto" w:fill="F7F7F7"/>
              </w:tcPr>
              <w:p w14:paraId="2994E468" w14:textId="77777777" w:rsidR="009A79A3" w:rsidRPr="00216791" w:rsidRDefault="00880CEC" w:rsidP="004677E9">
                <w:pPr>
                  <w:rPr>
                    <w:rFonts w:asciiTheme="minorHAnsi" w:hAnsiTheme="minorHAnsi"/>
                    <w:noProof/>
                    <w:sz w:val="22"/>
                    <w:szCs w:val="22"/>
                  </w:rPr>
                </w:pPr>
                <w:r>
                  <w:rPr>
                    <w:rFonts w:asciiTheme="minorHAnsi" w:hAnsiTheme="minorHAnsi"/>
                    <w:bCs/>
                    <w:noProof/>
                    <w:sz w:val="22"/>
                    <w:szCs w:val="22"/>
                  </w:rPr>
                  <w:t>Program-for-Results Financing</w:t>
                </w:r>
              </w:p>
            </w:tc>
            <w:tc>
              <w:tcPr>
                <w:tcW w:w="3015" w:type="dxa"/>
                <w:tcBorders>
                  <w:bottom w:val="single" w:sz="4" w:space="0" w:color="D9D9D9" w:themeColor="background1" w:themeShade="D9"/>
                  <w:right w:val="nil"/>
                </w:tcBorders>
                <w:shd w:val="clear" w:color="auto" w:fill="F7F7F7"/>
              </w:tcPr>
              <w:p w14:paraId="500B2460" w14:textId="77777777" w:rsidR="009A79A3" w:rsidRPr="00216791" w:rsidRDefault="00880CEC" w:rsidP="004677E9">
                <w:pPr>
                  <w:rPr>
                    <w:rFonts w:asciiTheme="minorHAnsi" w:hAnsiTheme="minorHAnsi"/>
                    <w:sz w:val="22"/>
                    <w:szCs w:val="22"/>
                  </w:rPr>
                </w:pPr>
                <w:r>
                  <w:rPr>
                    <w:rFonts w:asciiTheme="minorHAnsi" w:hAnsiTheme="minorHAnsi"/>
                    <w:noProof/>
                    <w:sz w:val="22"/>
                    <w:szCs w:val="22"/>
                  </w:rPr>
                  <w:t>No</w:t>
                </w:r>
              </w:p>
            </w:tc>
            <w:tc>
              <w:tcPr>
                <w:tcW w:w="2835" w:type="dxa"/>
                <w:gridSpan w:val="3"/>
                <w:tcBorders>
                  <w:top w:val="nil"/>
                  <w:bottom w:val="single" w:sz="4" w:space="0" w:color="D9D9D9" w:themeColor="background1" w:themeShade="D9"/>
                  <w:right w:val="nil"/>
                </w:tcBorders>
                <w:shd w:val="clear" w:color="auto" w:fill="F7F7F7"/>
              </w:tcPr>
              <w:p w14:paraId="567F525D" w14:textId="77777777" w:rsidR="009A79A3" w:rsidRPr="00216791" w:rsidRDefault="00880CEC" w:rsidP="004677E9">
                <w:pPr>
                  <w:rPr>
                    <w:rFonts w:asciiTheme="minorHAnsi" w:hAnsiTheme="minorHAnsi"/>
                    <w:sz w:val="22"/>
                    <w:szCs w:val="22"/>
                  </w:rPr>
                </w:pPr>
                <w:r w:rsidRPr="003D5F9E">
                  <w:rPr>
                    <w:rFonts w:asciiTheme="minorHAnsi" w:hAnsiTheme="minorHAnsi"/>
                    <w:bCs/>
                    <w:noProof/>
                    <w:sz w:val="22"/>
                    <w:szCs w:val="22"/>
                  </w:rPr>
                  <w:t>Energy &amp; Extractives</w:t>
                </w:r>
              </w:p>
            </w:tc>
          </w:tr>
        </w:tbl>
        <w:p w14:paraId="03F82128" w14:textId="77777777" w:rsidR="003615CB" w:rsidRDefault="003615CB" w:rsidP="00C40572">
          <w:pPr>
            <w:shd w:val="clear" w:color="auto" w:fill="F7F7F7"/>
            <w:spacing w:line="120" w:lineRule="exact"/>
            <w:ind w:left="-691" w:right="-518"/>
            <w:rPr>
              <w:rFonts w:asciiTheme="minorHAnsi" w:hAnsiTheme="minorHAnsi"/>
              <w:noProof/>
              <w:sz w:val="22"/>
              <w:szCs w:val="22"/>
            </w:rPr>
          </w:pPr>
        </w:p>
        <w:p w14:paraId="611CABB5" w14:textId="77777777" w:rsidR="00AE3D0A" w:rsidRDefault="00AE3D0A" w:rsidP="00E344E4">
          <w:pPr>
            <w:shd w:val="clear" w:color="auto" w:fill="F7F7F7"/>
            <w:spacing w:line="120" w:lineRule="exact"/>
            <w:ind w:left="-691" w:right="-504"/>
            <w:rPr>
              <w:rFonts w:asciiTheme="minorHAnsi" w:hAnsiTheme="minorHAnsi"/>
              <w:noProof/>
              <w:sz w:val="22"/>
              <w:szCs w:val="22"/>
            </w:rPr>
          </w:pPr>
        </w:p>
        <w:p w14:paraId="23F43717" w14:textId="77777777" w:rsidR="003615CB" w:rsidRPr="00E21541" w:rsidRDefault="00880CEC" w:rsidP="00E344E4">
          <w:pPr>
            <w:shd w:val="clear" w:color="auto" w:fill="F7F7F7"/>
            <w:spacing w:line="240" w:lineRule="exact"/>
            <w:ind w:left="-691" w:right="-504"/>
            <w:rPr>
              <w:rFonts w:asciiTheme="minorHAnsi" w:hAnsiTheme="minorHAnsi"/>
              <w:noProof/>
              <w:sz w:val="22"/>
              <w:szCs w:val="22"/>
            </w:rPr>
          </w:pPr>
          <w:r w:rsidRPr="008A0EED">
            <w:rPr>
              <w:rFonts w:ascii="Calibri" w:hAnsi="Calibri"/>
              <w:color w:val="7F7F7F"/>
              <w:sz w:val="22"/>
              <w:szCs w:val="22"/>
            </w:rPr>
            <w:t>Implementing Agency:</w:t>
          </w:r>
          <w:r w:rsidRPr="006042FC">
            <w:rPr>
              <w:rFonts w:ascii="Calibri" w:hAnsi="Calibri"/>
              <w:b/>
              <w:color w:val="172D5F"/>
              <w:sz w:val="22"/>
              <w:szCs w:val="22"/>
            </w:rPr>
            <w:t xml:space="preserve"> </w:t>
          </w:r>
          <w:r w:rsidR="00FE12BF">
            <w:rPr>
              <w:rFonts w:asciiTheme="minorHAnsi" w:hAnsiTheme="minorHAnsi"/>
              <w:bCs/>
              <w:noProof/>
              <w:sz w:val="22"/>
              <w:szCs w:val="22"/>
            </w:rPr>
            <w:t>Barqi Tojik, Ministry of Energy and Water Resources</w:t>
          </w:r>
        </w:p>
        <w:tbl>
          <w:tblPr>
            <w:tblStyle w:val="TableGrid17"/>
            <w:tblW w:w="1062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ayout w:type="fixed"/>
            <w:tblCellMar>
              <w:top w:w="29" w:type="dxa"/>
              <w:left w:w="144" w:type="dxa"/>
              <w:bottom w:w="72" w:type="dxa"/>
              <w:right w:w="0" w:type="dxa"/>
            </w:tblCellMar>
            <w:tblLook w:val="04A0" w:firstRow="1" w:lastRow="0" w:firstColumn="1" w:lastColumn="0" w:noHBand="0" w:noVBand="1"/>
          </w:tblPr>
          <w:tblGrid>
            <w:gridCol w:w="4770"/>
            <w:gridCol w:w="2970"/>
            <w:gridCol w:w="2880"/>
          </w:tblGrid>
          <w:tr w:rsidR="004F0F3F" w14:paraId="69FE6DB7" w14:textId="77777777" w:rsidTr="00275DE5">
            <w:trPr>
              <w:trHeight w:val="51"/>
            </w:trPr>
            <w:tc>
              <w:tcPr>
                <w:tcW w:w="10620" w:type="dxa"/>
                <w:gridSpan w:val="3"/>
                <w:shd w:val="clear" w:color="auto" w:fill="F7F7F7"/>
                <w:vAlign w:val="center"/>
              </w:tcPr>
              <w:p w14:paraId="6AF23C41" w14:textId="77777777" w:rsidR="008B6847" w:rsidRPr="006F6BB1" w:rsidRDefault="00880CEC" w:rsidP="00275DE5">
                <w:pPr>
                  <w:spacing w:line="14" w:lineRule="exact"/>
                  <w:rPr>
                    <w:rFonts w:ascii="Calibri" w:hAnsi="Calibri"/>
                    <w:color w:val="F7F7F7"/>
                    <w:sz w:val="22"/>
                    <w:szCs w:val="22"/>
                  </w:rPr>
                </w:pPr>
                <w:r w:rsidRPr="006F6BB1">
                  <w:rPr>
                    <w:rFonts w:ascii="Calibri" w:hAnsi="Calibri"/>
                    <w:color w:val="F7F7F7"/>
                    <w:sz w:val="22"/>
                    <w:szCs w:val="22"/>
                  </w:rPr>
                  <w:t>ADD_FIN_TBL1</w:t>
                </w:r>
              </w:p>
            </w:tc>
          </w:tr>
          <w:tr w:rsidR="004F0F3F" w14:paraId="524AB8A5" w14:textId="77777777" w:rsidTr="003B7E0D">
            <w:trPr>
              <w:trHeight w:val="432"/>
            </w:trPr>
            <w:tc>
              <w:tcPr>
                <w:tcW w:w="4770" w:type="dxa"/>
                <w:tcBorders>
                  <w:top w:val="single" w:sz="4" w:space="0" w:color="D9D9D9" w:themeColor="background1" w:themeShade="D9"/>
                  <w:right w:val="single" w:sz="4" w:space="0" w:color="D9D9D9" w:themeColor="background1" w:themeShade="D9"/>
                </w:tcBorders>
                <w:shd w:val="clear" w:color="auto" w:fill="F7F7F7"/>
                <w:vAlign w:val="center"/>
              </w:tcPr>
              <w:p w14:paraId="60C3F918" w14:textId="77777777" w:rsidR="005E1408" w:rsidRDefault="00880CEC" w:rsidP="00275DE5">
                <w:pPr>
                  <w:shd w:val="clear" w:color="auto" w:fill="F7F7F7"/>
                  <w:rPr>
                    <w:rFonts w:asciiTheme="minorHAnsi" w:hAnsiTheme="minorHAnsi"/>
                    <w:color w:val="767171" w:themeColor="background2" w:themeShade="80"/>
                    <w:sz w:val="22"/>
                    <w:szCs w:val="22"/>
                  </w:rPr>
                </w:pPr>
                <w:r w:rsidRPr="00556A3F">
                  <w:rPr>
                    <w:rFonts w:ascii="Calibri" w:hAnsi="Calibri"/>
                    <w:color w:val="7F7F7F"/>
                    <w:sz w:val="22"/>
                    <w:szCs w:val="22"/>
                  </w:rPr>
                  <w:t>Is this a regionally tagged project?</w:t>
                </w:r>
              </w:p>
            </w:tc>
            <w:tc>
              <w:tcPr>
                <w:tcW w:w="5850" w:type="dxa"/>
                <w:gridSpan w:val="2"/>
                <w:tcBorders>
                  <w:top w:val="single" w:sz="4" w:space="0" w:color="D9D9D9" w:themeColor="background1" w:themeShade="D9"/>
                </w:tcBorders>
                <w:shd w:val="clear" w:color="auto" w:fill="F7F7F7"/>
                <w:vAlign w:val="center"/>
              </w:tcPr>
              <w:p w14:paraId="5937F1F9" w14:textId="77777777" w:rsidR="005E1408" w:rsidRDefault="00880CEC" w:rsidP="00275DE5">
                <w:r w:rsidRPr="00216791">
                  <w:rPr>
                    <w:rFonts w:asciiTheme="minorHAnsi" w:hAnsiTheme="minorHAnsi"/>
                    <w:color w:val="767171" w:themeColor="background2" w:themeShade="80"/>
                    <w:sz w:val="22"/>
                    <w:szCs w:val="22"/>
                  </w:rPr>
                  <w:t>Bank/IFC Collaboration</w:t>
                </w:r>
              </w:p>
            </w:tc>
          </w:tr>
          <w:tr w:rsidR="004F0F3F" w14:paraId="2FD7D3BC" w14:textId="77777777" w:rsidTr="003B7E0D">
            <w:trPr>
              <w:trHeight w:val="432"/>
            </w:trPr>
            <w:tc>
              <w:tcPr>
                <w:tcW w:w="4770" w:type="dxa"/>
                <w:tcBorders>
                  <w:bottom w:val="single" w:sz="4" w:space="0" w:color="D9D9D9" w:themeColor="background1" w:themeShade="D9"/>
                  <w:right w:val="single" w:sz="4" w:space="0" w:color="D9D9D9" w:themeColor="background1" w:themeShade="D9"/>
                </w:tcBorders>
                <w:shd w:val="clear" w:color="auto" w:fill="F7F7F7"/>
              </w:tcPr>
              <w:p w14:paraId="179A6DF5" w14:textId="77777777" w:rsidR="005E1408" w:rsidRPr="00216791" w:rsidRDefault="00880CEC" w:rsidP="00275DE5">
                <w:pPr>
                  <w:rPr>
                    <w:rFonts w:asciiTheme="minorHAnsi" w:hAnsiTheme="minorHAnsi"/>
                    <w:color w:val="767171" w:themeColor="background2" w:themeShade="80"/>
                    <w:sz w:val="22"/>
                    <w:szCs w:val="22"/>
                  </w:rPr>
                </w:pPr>
                <w:r>
                  <w:rPr>
                    <w:rFonts w:asciiTheme="minorHAnsi" w:hAnsiTheme="minorHAnsi"/>
                    <w:bCs/>
                    <w:noProof/>
                    <w:sz w:val="22"/>
                    <w:szCs w:val="22"/>
                  </w:rPr>
                  <w:t>No</w:t>
                </w:r>
              </w:p>
            </w:tc>
            <w:tc>
              <w:tcPr>
                <w:tcW w:w="5850" w:type="dxa"/>
                <w:gridSpan w:val="2"/>
                <w:tcBorders>
                  <w:bottom w:val="single" w:sz="4" w:space="0" w:color="D9D9D9" w:themeColor="background1" w:themeShade="D9"/>
                </w:tcBorders>
                <w:shd w:val="clear" w:color="auto" w:fill="F7F7F7"/>
              </w:tcPr>
              <w:p w14:paraId="1A790595" w14:textId="77777777" w:rsidR="005E1408" w:rsidRDefault="00880CEC" w:rsidP="00275DE5">
                <w:r>
                  <w:rPr>
                    <w:rFonts w:asciiTheme="minorHAnsi" w:hAnsiTheme="minorHAnsi"/>
                    <w:bCs/>
                    <w:noProof/>
                    <w:sz w:val="22"/>
                    <w:szCs w:val="22"/>
                  </w:rPr>
                  <w:t>No</w:t>
                </w:r>
              </w:p>
            </w:tc>
          </w:tr>
          <w:tr w:rsidR="004F0F3F" w14:paraId="41BBD342" w14:textId="77777777" w:rsidTr="005E1408">
            <w:trPr>
              <w:trHeight w:val="432"/>
            </w:trPr>
            <w:tc>
              <w:tcPr>
                <w:tcW w:w="4770" w:type="dxa"/>
                <w:tcBorders>
                  <w:top w:val="single" w:sz="4" w:space="0" w:color="D9D9D9" w:themeColor="background1" w:themeShade="D9"/>
                  <w:right w:val="single" w:sz="4" w:space="0" w:color="D9D9D9" w:themeColor="background1" w:themeShade="D9"/>
                </w:tcBorders>
                <w:shd w:val="clear" w:color="auto" w:fill="F7F7F7"/>
                <w:vAlign w:val="bottom"/>
              </w:tcPr>
              <w:p w14:paraId="05E2AC64" w14:textId="77777777" w:rsidR="008B6847" w:rsidRPr="00216791" w:rsidRDefault="00880CEC" w:rsidP="00275DE5">
                <w:pPr>
                  <w:rPr>
                    <w:rFonts w:asciiTheme="minorHAnsi" w:hAnsiTheme="minorHAnsi"/>
                    <w:sz w:val="22"/>
                    <w:szCs w:val="22"/>
                  </w:rPr>
                </w:pPr>
                <w:r>
                  <w:rPr>
                    <w:rFonts w:asciiTheme="minorHAnsi" w:hAnsiTheme="minorHAnsi"/>
                    <w:color w:val="767171" w:themeColor="background2" w:themeShade="80"/>
                    <w:sz w:val="22"/>
                    <w:szCs w:val="22"/>
                  </w:rPr>
                  <w:t xml:space="preserve">Original </w:t>
                </w:r>
                <w:r w:rsidRPr="00216791">
                  <w:rPr>
                    <w:rFonts w:asciiTheme="minorHAnsi" w:hAnsiTheme="minorHAnsi"/>
                    <w:color w:val="767171" w:themeColor="background2" w:themeShade="80"/>
                    <w:sz w:val="22"/>
                    <w:szCs w:val="22"/>
                  </w:rPr>
                  <w:t>Approval Date</w:t>
                </w:r>
              </w:p>
            </w:tc>
            <w:tc>
              <w:tcPr>
                <w:tcW w:w="2970"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7F7F7"/>
                <w:vAlign w:val="bottom"/>
              </w:tcPr>
              <w:p w14:paraId="63FC2AAE" w14:textId="77777777" w:rsidR="008B6847" w:rsidRPr="00C169B3" w:rsidRDefault="00880CEC" w:rsidP="00275DE5">
                <w:pPr>
                  <w:ind w:left="-60"/>
                  <w:rPr>
                    <w:rFonts w:asciiTheme="minorHAnsi" w:hAnsiTheme="minorHAnsi"/>
                    <w:sz w:val="22"/>
                    <w:szCs w:val="22"/>
                  </w:rPr>
                </w:pPr>
                <w:r w:rsidRPr="00B82F19">
                  <w:rPr>
                    <w:rFonts w:asciiTheme="minorHAnsi" w:hAnsiTheme="minorHAnsi"/>
                    <w:color w:val="767171" w:themeColor="background2" w:themeShade="80"/>
                    <w:sz w:val="22"/>
                    <w:szCs w:val="22"/>
                  </w:rPr>
                  <w:t>Effectiveness Date</w:t>
                </w:r>
              </w:p>
            </w:tc>
            <w:tc>
              <w:tcPr>
                <w:tcW w:w="2880" w:type="dxa"/>
                <w:tcBorders>
                  <w:top w:val="single" w:sz="4" w:space="0" w:color="D9D9D9" w:themeColor="background1" w:themeShade="D9"/>
                </w:tcBorders>
                <w:shd w:val="clear" w:color="auto" w:fill="F7F7F7"/>
                <w:vAlign w:val="bottom"/>
              </w:tcPr>
              <w:p w14:paraId="5BFE3172" w14:textId="77777777" w:rsidR="008B6847" w:rsidRPr="00C169B3" w:rsidRDefault="00880CEC" w:rsidP="00275DE5">
                <w:pPr>
                  <w:ind w:left="-60"/>
                  <w:rPr>
                    <w:rFonts w:asciiTheme="minorHAnsi" w:hAnsiTheme="minorHAnsi"/>
                    <w:sz w:val="22"/>
                    <w:szCs w:val="22"/>
                  </w:rPr>
                </w:pPr>
                <w:r w:rsidRPr="00AB7C8F">
                  <w:rPr>
                    <w:rFonts w:asciiTheme="minorHAnsi" w:hAnsiTheme="minorHAnsi"/>
                    <w:color w:val="767171" w:themeColor="background2" w:themeShade="80"/>
                    <w:sz w:val="22"/>
                    <w:szCs w:val="22"/>
                  </w:rPr>
                  <w:t>Closing Date</w:t>
                </w:r>
              </w:p>
            </w:tc>
          </w:tr>
          <w:tr w:rsidR="004F0F3F" w14:paraId="06D96D0D" w14:textId="77777777" w:rsidTr="005E1408">
            <w:trPr>
              <w:trHeight w:val="432"/>
            </w:trPr>
            <w:tc>
              <w:tcPr>
                <w:tcW w:w="4770" w:type="dxa"/>
                <w:tcBorders>
                  <w:bottom w:val="single" w:sz="4" w:space="0" w:color="D0CECE" w:themeColor="background2" w:themeShade="E6"/>
                  <w:right w:val="single" w:sz="4" w:space="0" w:color="D9D9D9" w:themeColor="background1" w:themeShade="D9"/>
                </w:tcBorders>
                <w:shd w:val="clear" w:color="auto" w:fill="F7F7F7"/>
              </w:tcPr>
              <w:p w14:paraId="5DA45395" w14:textId="77777777" w:rsidR="008B6847" w:rsidRPr="00216791" w:rsidRDefault="00880CEC" w:rsidP="00275DE5">
                <w:pPr>
                  <w:ind w:right="90"/>
                  <w:rPr>
                    <w:rFonts w:asciiTheme="minorHAnsi" w:hAnsiTheme="minorHAnsi"/>
                    <w:sz w:val="22"/>
                    <w:szCs w:val="22"/>
                  </w:rPr>
                </w:pPr>
                <w:r>
                  <w:rPr>
                    <w:rFonts w:asciiTheme="minorHAnsi" w:hAnsiTheme="minorHAnsi"/>
                    <w:noProof/>
                    <w:sz w:val="22"/>
                    <w:szCs w:val="22"/>
                  </w:rPr>
                  <w:t>25-Feb-2020</w:t>
                </w:r>
              </w:p>
            </w:tc>
            <w:tc>
              <w:tcPr>
                <w:tcW w:w="2970" w:type="dxa"/>
                <w:tcBorders>
                  <w:left w:val="single" w:sz="4" w:space="0" w:color="D9D9D9" w:themeColor="background1" w:themeShade="D9"/>
                  <w:bottom w:val="single" w:sz="4" w:space="0" w:color="D0CECE" w:themeColor="background2" w:themeShade="E6"/>
                  <w:right w:val="single" w:sz="4" w:space="0" w:color="D9D9D9" w:themeColor="background1" w:themeShade="D9"/>
                </w:tcBorders>
                <w:shd w:val="clear" w:color="auto" w:fill="F7F7F7"/>
              </w:tcPr>
              <w:p w14:paraId="04275559" w14:textId="77777777" w:rsidR="008B6847" w:rsidRPr="001071A2" w:rsidRDefault="00880CEC" w:rsidP="00275DE5">
                <w:pPr>
                  <w:ind w:left="-60" w:right="90"/>
                  <w:rPr>
                    <w:rFonts w:asciiTheme="minorHAnsi" w:hAnsiTheme="minorHAnsi"/>
                    <w:sz w:val="22"/>
                    <w:szCs w:val="22"/>
                  </w:rPr>
                </w:pPr>
                <w:r>
                  <w:rPr>
                    <w:rFonts w:asciiTheme="minorHAnsi" w:hAnsiTheme="minorHAnsi"/>
                    <w:noProof/>
                    <w:sz w:val="22"/>
                    <w:szCs w:val="22"/>
                  </w:rPr>
                  <w:t>01-Jul-2020</w:t>
                </w:r>
              </w:p>
            </w:tc>
            <w:tc>
              <w:tcPr>
                <w:tcW w:w="2880" w:type="dxa"/>
                <w:tcBorders>
                  <w:bottom w:val="single" w:sz="4" w:space="0" w:color="D0CECE" w:themeColor="background2" w:themeShade="E6"/>
                </w:tcBorders>
                <w:shd w:val="clear" w:color="auto" w:fill="F7F7F7"/>
              </w:tcPr>
              <w:p w14:paraId="7401DF1E" w14:textId="77777777" w:rsidR="008B6847" w:rsidRPr="001071A2" w:rsidRDefault="00880CEC" w:rsidP="00B61EC4">
                <w:pPr>
                  <w:ind w:left="-60" w:right="90"/>
                  <w:rPr>
                    <w:rFonts w:asciiTheme="minorHAnsi" w:hAnsiTheme="minorHAnsi"/>
                    <w:sz w:val="22"/>
                    <w:szCs w:val="22"/>
                  </w:rPr>
                </w:pPr>
                <w:r>
                  <w:rPr>
                    <w:rFonts w:asciiTheme="minorHAnsi" w:hAnsiTheme="minorHAnsi"/>
                    <w:noProof/>
                    <w:sz w:val="22"/>
                    <w:szCs w:val="22"/>
                  </w:rPr>
                  <w:t>30-Aug-2026</w:t>
                </w:r>
              </w:p>
            </w:tc>
          </w:tr>
        </w:tbl>
        <w:p w14:paraId="5E39359B" w14:textId="77777777" w:rsidR="003615CB" w:rsidRDefault="003615CB" w:rsidP="00844A42">
          <w:pPr>
            <w:keepNext/>
            <w:widowControl/>
            <w:shd w:val="clear" w:color="auto" w:fill="F7F7F7"/>
            <w:ind w:left="-691" w:right="-518"/>
            <w:rPr>
              <w:rFonts w:asciiTheme="minorHAnsi" w:hAnsiTheme="minorHAnsi"/>
              <w:noProof/>
              <w:sz w:val="22"/>
              <w:szCs w:val="22"/>
            </w:rPr>
          </w:pPr>
        </w:p>
        <w:p w14:paraId="53CA69C1" w14:textId="77777777" w:rsidR="00B510C7" w:rsidRDefault="00880CEC" w:rsidP="00844A42">
          <w:pPr>
            <w:keepNext/>
            <w:widowControl/>
            <w:shd w:val="clear" w:color="auto" w:fill="F7F7F7"/>
            <w:ind w:left="-691" w:right="-518"/>
            <w:rPr>
              <w:rFonts w:asciiTheme="minorHAnsi" w:hAnsiTheme="minorHAnsi"/>
              <w:b/>
              <w:color w:val="172D5F"/>
              <w:sz w:val="22"/>
              <w:szCs w:val="22"/>
            </w:rPr>
          </w:pPr>
          <w:r>
            <w:rPr>
              <w:rFonts w:asciiTheme="minorHAnsi" w:hAnsiTheme="minorHAnsi"/>
              <w:b/>
              <w:color w:val="172D5F"/>
              <w:sz w:val="22"/>
              <w:szCs w:val="22"/>
            </w:rPr>
            <w:t xml:space="preserve"> </w:t>
          </w:r>
          <w:r w:rsidR="00A16DB3">
            <w:rPr>
              <w:rFonts w:asciiTheme="minorHAnsi" w:hAnsiTheme="minorHAnsi"/>
              <w:b/>
              <w:color w:val="172D5F"/>
              <w:sz w:val="22"/>
              <w:szCs w:val="22"/>
            </w:rPr>
            <w:t>Program Development Objective(s)</w:t>
          </w:r>
        </w:p>
        <w:p w14:paraId="1747E0EA" w14:textId="77777777" w:rsidR="003C79C5" w:rsidRDefault="003C79C5" w:rsidP="00844A42">
          <w:pPr>
            <w:keepNext/>
            <w:widowControl/>
            <w:shd w:val="clear" w:color="auto" w:fill="F7F7F7"/>
            <w:ind w:left="-691" w:right="-518"/>
            <w:rPr>
              <w:rFonts w:asciiTheme="minorHAnsi" w:hAnsiTheme="minorHAnsi"/>
              <w:b/>
              <w:color w:val="172D5F"/>
              <w:sz w:val="22"/>
              <w:szCs w:val="22"/>
            </w:rPr>
          </w:pPr>
        </w:p>
        <w:tbl>
          <w:tblPr>
            <w:tblStyle w:val="TableGrid"/>
            <w:tblW w:w="10602" w:type="dxa"/>
            <w:tblInd w:w="-702" w:type="dxa"/>
            <w:shd w:val="clear" w:color="auto" w:fill="F2F2F2" w:themeFill="background1" w:themeFillShade="F2"/>
            <w:tblLayout w:type="fixed"/>
            <w:tblLook w:val="04A0" w:firstRow="1" w:lastRow="0" w:firstColumn="1" w:lastColumn="0" w:noHBand="0" w:noVBand="1"/>
          </w:tblPr>
          <w:tblGrid>
            <w:gridCol w:w="10602"/>
          </w:tblGrid>
          <w:tr w:rsidR="004F0F3F" w14:paraId="0CF2BD1B" w14:textId="77777777" w:rsidTr="003C79C5">
            <w:trPr>
              <w:trHeight w:val="144"/>
            </w:trPr>
            <w:tc>
              <w:tcPr>
                <w:tcW w:w="10602" w:type="dxa"/>
                <w:tcBorders>
                  <w:top w:val="nil"/>
                  <w:left w:val="nil"/>
                  <w:bottom w:val="nil"/>
                  <w:right w:val="nil"/>
                </w:tcBorders>
                <w:shd w:val="clear" w:color="auto" w:fill="F7F7F7"/>
                <w:hideMark/>
              </w:tcPr>
              <w:p w14:paraId="3B8C35A5" w14:textId="77777777" w:rsidR="003C79C5" w:rsidRPr="00A0264B" w:rsidRDefault="00880CEC" w:rsidP="003C79C5">
                <w:pPr>
                  <w:rPr>
                    <w:rFonts w:asciiTheme="minorHAnsi" w:hAnsiTheme="minorHAnsi"/>
                    <w:bCs/>
                    <w:color w:val="auto"/>
                    <w:sz w:val="22"/>
                    <w:szCs w:val="22"/>
                  </w:rPr>
                </w:pPr>
                <w:r w:rsidRPr="00A0264B">
                  <w:rPr>
                    <w:rFonts w:asciiTheme="minorHAnsi" w:hAnsiTheme="minorHAnsi"/>
                    <w:bCs/>
                    <w:noProof/>
                    <w:color w:val="auto"/>
                    <w:sz w:val="22"/>
                    <w:szCs w:val="22"/>
                  </w:rPr>
                  <w:t>The</w:t>
                </w:r>
                <w:r w:rsidRPr="00A0264B">
                  <w:rPr>
                    <w:rFonts w:asciiTheme="minorHAnsi" w:eastAsiaTheme="minorHAnsi" w:hAnsiTheme="minorHAnsi" w:cstheme="minorBidi"/>
                    <w:bCs/>
                    <w:noProof/>
                    <w:color w:val="auto"/>
                    <w:sz w:val="22"/>
                    <w:szCs w:val="22"/>
                  </w:rPr>
                  <w:t xml:space="preserve"> program development</w:t>
                </w:r>
                <w:r w:rsidRPr="00A0264B">
                  <w:rPr>
                    <w:rFonts w:asciiTheme="minorHAnsi" w:hAnsiTheme="minorHAnsi"/>
                    <w:bCs/>
                    <w:noProof/>
                    <w:color w:val="auto"/>
                    <w:sz w:val="22"/>
                    <w:szCs w:val="22"/>
                  </w:rPr>
                  <w:t xml:space="preserve"> objectives are to improve the financial viability, increase the reliability of electricity supply, and strengthen the governance of BT.</w:t>
                </w:r>
              </w:p>
            </w:tc>
          </w:tr>
        </w:tbl>
        <w:p w14:paraId="574D7732" w14:textId="77777777" w:rsidR="00A16DB3" w:rsidRDefault="00A16DB3" w:rsidP="00844A42">
          <w:pPr>
            <w:keepNext/>
            <w:widowControl/>
            <w:shd w:val="clear" w:color="auto" w:fill="F7F7F7"/>
            <w:ind w:left="-691" w:right="-518"/>
            <w:rPr>
              <w:rFonts w:asciiTheme="minorHAnsi" w:hAnsiTheme="minorHAnsi"/>
              <w:noProof/>
              <w:sz w:val="22"/>
              <w:szCs w:val="22"/>
            </w:rPr>
          </w:pPr>
        </w:p>
        <w:p w14:paraId="51E29074" w14:textId="77777777" w:rsidR="003615CB" w:rsidRDefault="003615CB" w:rsidP="00C40572">
          <w:pPr>
            <w:shd w:val="clear" w:color="auto" w:fill="F7F7F7"/>
            <w:ind w:left="-691" w:right="-518"/>
            <w:rPr>
              <w:rFonts w:asciiTheme="minorHAnsi" w:hAnsiTheme="minorHAnsi"/>
              <w:color w:val="767171" w:themeColor="background2" w:themeShade="80"/>
              <w:sz w:val="22"/>
              <w:szCs w:val="22"/>
            </w:rPr>
          </w:pPr>
        </w:p>
        <w:tbl>
          <w:tblPr>
            <w:tblStyle w:val="TableGrid"/>
            <w:tblW w:w="1059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ayout w:type="fixed"/>
            <w:tblLook w:val="04A0" w:firstRow="1" w:lastRow="0" w:firstColumn="1" w:lastColumn="0" w:noHBand="0" w:noVBand="1"/>
          </w:tblPr>
          <w:tblGrid>
            <w:gridCol w:w="10591"/>
          </w:tblGrid>
          <w:tr w:rsidR="004F0F3F" w14:paraId="74A6A560" w14:textId="77777777" w:rsidTr="00FB7AB8">
            <w:trPr>
              <w:trHeight w:val="612"/>
            </w:trPr>
            <w:tc>
              <w:tcPr>
                <w:tcW w:w="10591" w:type="dxa"/>
                <w:shd w:val="clear" w:color="auto" w:fill="F7F7F7"/>
                <w:vAlign w:val="center"/>
              </w:tcPr>
              <w:p w14:paraId="7BCCA36E" w14:textId="77777777" w:rsidR="00F64F27" w:rsidRDefault="00880CEC" w:rsidP="00C62063">
                <w:pPr>
                  <w:keepNext/>
                  <w:widowControl/>
                  <w:tabs>
                    <w:tab w:val="left" w:pos="3709"/>
                  </w:tabs>
                  <w:rPr>
                    <w:rFonts w:asciiTheme="minorHAnsi" w:hAnsiTheme="minorHAnsi"/>
                    <w:color w:val="767171" w:themeColor="background2" w:themeShade="80"/>
                    <w:sz w:val="22"/>
                    <w:szCs w:val="22"/>
                  </w:rPr>
                </w:pPr>
                <w:r w:rsidRPr="00F64F27">
                  <w:rPr>
                    <w:rFonts w:asciiTheme="minorHAnsi" w:hAnsiTheme="minorHAnsi"/>
                    <w:b/>
                    <w:color w:val="172D5F"/>
                    <w:sz w:val="22"/>
                    <w:szCs w:val="22"/>
                  </w:rPr>
                  <w:t>Rating</w:t>
                </w:r>
                <w:r w:rsidR="002628F8">
                  <w:rPr>
                    <w:rFonts w:asciiTheme="minorHAnsi" w:hAnsiTheme="minorHAnsi"/>
                    <w:b/>
                    <w:color w:val="172D5F"/>
                    <w:sz w:val="22"/>
                    <w:szCs w:val="22"/>
                  </w:rPr>
                  <w:t>s</w:t>
                </w:r>
                <w:r w:rsidRPr="00F64F27">
                  <w:rPr>
                    <w:rFonts w:asciiTheme="minorHAnsi" w:hAnsiTheme="minorHAnsi"/>
                    <w:b/>
                    <w:color w:val="172D5F"/>
                    <w:sz w:val="22"/>
                    <w:szCs w:val="22"/>
                  </w:rPr>
                  <w:t xml:space="preserve"> (from Parent ISR)</w:t>
                </w:r>
              </w:p>
            </w:tc>
          </w:tr>
        </w:tbl>
        <w:tbl>
          <w:tblPr>
            <w:tblStyle w:val="TableGrid40"/>
            <w:tblW w:w="1062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ayout w:type="fixed"/>
            <w:tblLook w:val="04A0" w:firstRow="1" w:lastRow="0" w:firstColumn="1" w:lastColumn="0" w:noHBand="0" w:noVBand="1"/>
          </w:tblPr>
          <w:tblGrid>
            <w:gridCol w:w="2986"/>
            <w:gridCol w:w="2427"/>
            <w:gridCol w:w="2427"/>
            <w:gridCol w:w="2780"/>
          </w:tblGrid>
          <w:tr w:rsidR="004F0F3F" w14:paraId="383BBBAD" w14:textId="77777777" w:rsidTr="00BE02EB">
            <w:trPr>
              <w:trHeight w:val="80"/>
            </w:trPr>
            <w:tc>
              <w:tcPr>
                <w:tcW w:w="1771" w:type="dxa"/>
                <w:tcBorders>
                  <w:bottom w:val="single" w:sz="4" w:space="0" w:color="BFBFBF" w:themeColor="background1" w:themeShade="BF"/>
                </w:tcBorders>
                <w:shd w:val="clear" w:color="auto" w:fill="F7F7F7"/>
                <w:vAlign w:val="center"/>
              </w:tcPr>
              <w:p w14:paraId="38233BCD" w14:textId="77777777" w:rsidR="00F45A9B" w:rsidRPr="002318E4" w:rsidRDefault="00880CEC" w:rsidP="00C62063">
                <w:pPr>
                  <w:keepNext/>
                  <w:widowControl/>
                  <w:tabs>
                    <w:tab w:val="left" w:pos="3709"/>
                  </w:tabs>
                  <w:autoSpaceDE/>
                  <w:autoSpaceDN/>
                  <w:adjustRightInd/>
                  <w:jc w:val="center"/>
                  <w:rPr>
                    <w:rFonts w:ascii="Calibri" w:eastAsiaTheme="minorHAnsi" w:hAnsi="Calibri" w:cstheme="minorBidi"/>
                    <w:b/>
                    <w:bCs/>
                    <w:color w:val="F7F7F7"/>
                    <w:sz w:val="22"/>
                    <w:szCs w:val="22"/>
                  </w:rPr>
                </w:pPr>
                <w:r w:rsidRPr="002318E4">
                  <w:rPr>
                    <w:rFonts w:ascii="Calibri" w:eastAsiaTheme="minorHAnsi" w:hAnsi="Calibri" w:cstheme="minorBidi"/>
                    <w:b/>
                    <w:bCs/>
                    <w:color w:val="F7F7F7"/>
                    <w:sz w:val="22"/>
                    <w:szCs w:val="22"/>
                  </w:rPr>
                  <w:t>RATING_DRAFT_NO</w:t>
                </w:r>
              </w:p>
            </w:tc>
            <w:tc>
              <w:tcPr>
                <w:tcW w:w="1440" w:type="dxa"/>
                <w:tcBorders>
                  <w:bottom w:val="single" w:sz="4" w:space="0" w:color="BFBFBF" w:themeColor="background1" w:themeShade="BF"/>
                </w:tcBorders>
                <w:shd w:val="clear" w:color="auto" w:fill="F7F7F7"/>
                <w:vAlign w:val="center"/>
              </w:tcPr>
              <w:p w14:paraId="3AB9FEEA" w14:textId="77777777" w:rsidR="00F45A9B" w:rsidRPr="00F45A9B" w:rsidRDefault="00F45A9B" w:rsidP="00C62063">
                <w:pPr>
                  <w:keepNext/>
                  <w:widowControl/>
                  <w:shd w:val="clear" w:color="auto" w:fill="F7F7F7"/>
                  <w:autoSpaceDE/>
                  <w:autoSpaceDN/>
                  <w:adjustRightInd/>
                  <w:spacing w:line="14" w:lineRule="exact"/>
                  <w:jc w:val="center"/>
                  <w:rPr>
                    <w:rFonts w:asciiTheme="minorHAnsi" w:eastAsiaTheme="minorHAnsi" w:hAnsiTheme="minorHAnsi" w:cstheme="minorBidi"/>
                    <w:bCs/>
                    <w:noProof/>
                    <w:color w:val="auto"/>
                    <w:sz w:val="22"/>
                    <w:szCs w:val="22"/>
                  </w:rPr>
                </w:pPr>
              </w:p>
            </w:tc>
            <w:tc>
              <w:tcPr>
                <w:tcW w:w="1440" w:type="dxa"/>
                <w:tcBorders>
                  <w:bottom w:val="single" w:sz="4" w:space="0" w:color="BFBFBF" w:themeColor="background1" w:themeShade="BF"/>
                </w:tcBorders>
                <w:shd w:val="clear" w:color="auto" w:fill="F7F7F7"/>
                <w:vAlign w:val="center"/>
              </w:tcPr>
              <w:p w14:paraId="0C752FE0" w14:textId="77777777" w:rsidR="00F45A9B" w:rsidRPr="00F45A9B" w:rsidRDefault="00F45A9B" w:rsidP="00C62063">
                <w:pPr>
                  <w:keepNext/>
                  <w:widowControl/>
                  <w:shd w:val="clear" w:color="auto" w:fill="F7F7F7"/>
                  <w:autoSpaceDE/>
                  <w:autoSpaceDN/>
                  <w:adjustRightInd/>
                  <w:spacing w:line="14" w:lineRule="exact"/>
                  <w:jc w:val="center"/>
                  <w:rPr>
                    <w:rFonts w:asciiTheme="minorHAnsi" w:eastAsiaTheme="minorHAnsi" w:hAnsiTheme="minorHAnsi" w:cstheme="minorBidi"/>
                    <w:bCs/>
                    <w:noProof/>
                    <w:color w:val="auto"/>
                    <w:sz w:val="22"/>
                    <w:szCs w:val="22"/>
                  </w:rPr>
                </w:pPr>
              </w:p>
            </w:tc>
            <w:tc>
              <w:tcPr>
                <w:tcW w:w="1649" w:type="dxa"/>
                <w:tcBorders>
                  <w:bottom w:val="single" w:sz="4" w:space="0" w:color="BFBFBF" w:themeColor="background1" w:themeShade="BF"/>
                </w:tcBorders>
                <w:shd w:val="clear" w:color="auto" w:fill="F7F7F7"/>
                <w:vAlign w:val="center"/>
              </w:tcPr>
              <w:p w14:paraId="06BA6830" w14:textId="77777777" w:rsidR="00F45A9B" w:rsidRPr="00F45A9B" w:rsidRDefault="00F45A9B" w:rsidP="00C62063">
                <w:pPr>
                  <w:keepNext/>
                  <w:widowControl/>
                  <w:shd w:val="clear" w:color="auto" w:fill="F7F7F7"/>
                  <w:autoSpaceDE/>
                  <w:autoSpaceDN/>
                  <w:adjustRightInd/>
                  <w:spacing w:line="14" w:lineRule="exact"/>
                  <w:ind w:left="159"/>
                  <w:jc w:val="center"/>
                  <w:rPr>
                    <w:rFonts w:ascii="Calibri" w:eastAsiaTheme="minorHAnsi" w:hAnsi="Calibri" w:cstheme="minorBidi"/>
                    <w:b/>
                    <w:bCs/>
                    <w:color w:val="666666"/>
                    <w:sz w:val="22"/>
                    <w:szCs w:val="22"/>
                  </w:rPr>
                </w:pPr>
              </w:p>
            </w:tc>
          </w:tr>
          <w:tr w:rsidR="004F0F3F" w14:paraId="67573E13" w14:textId="77777777" w:rsidTr="00BE02EB">
            <w:trPr>
              <w:trHeight w:val="592"/>
            </w:trPr>
            <w:tc>
              <w:tcPr>
                <w:tcW w:w="1771"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7F7F7"/>
                <w:vAlign w:val="center"/>
              </w:tcPr>
              <w:p w14:paraId="669BA533" w14:textId="77777777" w:rsidR="004F0F3F" w:rsidRDefault="004F0F3F"/>
            </w:tc>
            <w:tc>
              <w:tcPr>
                <w:tcW w:w="2880" w:type="dxa"/>
                <w:gridSpan w:val="2"/>
                <w:tcBorders>
                  <w:top w:val="single" w:sz="4" w:space="0" w:color="BFBFBF" w:themeColor="background1" w:themeShade="BF"/>
                  <w:left w:val="single" w:sz="4" w:space="0" w:color="BFBFBF" w:themeColor="background1" w:themeShade="BF"/>
                  <w:bottom w:val="single" w:sz="8" w:space="0" w:color="D9D9D9" w:themeColor="background1" w:themeShade="D9"/>
                  <w:right w:val="single" w:sz="8" w:space="0" w:color="D9D9D9" w:themeColor="background1" w:themeShade="D9"/>
                </w:tcBorders>
                <w:shd w:val="clear" w:color="auto" w:fill="F7F7F7"/>
                <w:vAlign w:val="center"/>
              </w:tcPr>
              <w:p w14:paraId="7C1D8F0F" w14:textId="77777777" w:rsidR="00F45A9B" w:rsidRPr="00F45A9B" w:rsidRDefault="00F45A9B" w:rsidP="00D400D3">
                <w:pPr>
                  <w:keepNext/>
                  <w:widowControl/>
                  <w:shd w:val="clear" w:color="auto" w:fill="F7F7F7"/>
                  <w:autoSpaceDE/>
                  <w:autoSpaceDN/>
                  <w:adjustRightInd/>
                  <w:spacing w:line="259" w:lineRule="auto"/>
                  <w:jc w:val="center"/>
                  <w:rPr>
                    <w:rFonts w:asciiTheme="minorHAnsi" w:eastAsiaTheme="minorHAnsi" w:hAnsiTheme="minorHAnsi" w:cstheme="minorBidi"/>
                    <w:bCs/>
                    <w:noProof/>
                    <w:color w:val="auto"/>
                    <w:sz w:val="22"/>
                    <w:szCs w:val="22"/>
                  </w:rPr>
                </w:pPr>
              </w:p>
              <w:p w14:paraId="1506241E" w14:textId="77777777" w:rsidR="00F45A9B" w:rsidRPr="00F45A9B" w:rsidRDefault="00880CEC" w:rsidP="00D400D3">
                <w:pPr>
                  <w:keepNext/>
                  <w:widowControl/>
                  <w:tabs>
                    <w:tab w:val="left" w:pos="3709"/>
                  </w:tabs>
                  <w:autoSpaceDE/>
                  <w:autoSpaceDN/>
                  <w:adjustRightInd/>
                  <w:spacing w:after="160" w:line="259" w:lineRule="auto"/>
                  <w:jc w:val="center"/>
                  <w:rPr>
                    <w:rFonts w:asciiTheme="minorHAnsi" w:eastAsiaTheme="minorHAnsi" w:hAnsiTheme="minorHAnsi" w:cstheme="minorBidi"/>
                    <w:bCs/>
                    <w:noProof/>
                    <w:color w:val="auto"/>
                    <w:sz w:val="22"/>
                    <w:szCs w:val="22"/>
                  </w:rPr>
                </w:pPr>
                <w:r w:rsidRPr="00F45A9B">
                  <w:rPr>
                    <w:rFonts w:ascii="Calibri" w:eastAsiaTheme="minorHAnsi" w:hAnsi="Calibri" w:cstheme="minorBidi"/>
                    <w:b/>
                    <w:bCs/>
                    <w:color w:val="666666"/>
                    <w:sz w:val="22"/>
                    <w:szCs w:val="22"/>
                  </w:rPr>
                  <w:t>Implementation</w:t>
                </w:r>
              </w:p>
            </w:tc>
            <w:tc>
              <w:tcPr>
                <w:tcW w:w="1649" w:type="dxa"/>
                <w:tcBorders>
                  <w:top w:val="single" w:sz="4" w:space="0" w:color="BFBFBF" w:themeColor="background1" w:themeShade="BF"/>
                  <w:left w:val="single" w:sz="8" w:space="0" w:color="D9D9D9" w:themeColor="background1" w:themeShade="D9"/>
                  <w:bottom w:val="single" w:sz="8" w:space="0" w:color="D9D9D9" w:themeColor="background1" w:themeShade="D9"/>
                  <w:right w:val="single" w:sz="4" w:space="0" w:color="BFBFBF" w:themeColor="background1" w:themeShade="BF"/>
                </w:tcBorders>
                <w:shd w:val="clear" w:color="auto" w:fill="F7F7F7"/>
                <w:vAlign w:val="center"/>
              </w:tcPr>
              <w:p w14:paraId="27A45B81" w14:textId="77777777" w:rsidR="00F45A9B" w:rsidRPr="00F45A9B" w:rsidRDefault="00880CEC" w:rsidP="00D400D3">
                <w:pPr>
                  <w:keepNext/>
                  <w:widowControl/>
                  <w:shd w:val="clear" w:color="auto" w:fill="F7F7F7"/>
                  <w:autoSpaceDE/>
                  <w:autoSpaceDN/>
                  <w:adjustRightInd/>
                  <w:spacing w:line="259" w:lineRule="auto"/>
                  <w:ind w:left="159"/>
                  <w:jc w:val="center"/>
                  <w:rPr>
                    <w:rFonts w:asciiTheme="minorHAnsi" w:eastAsiaTheme="minorHAnsi" w:hAnsiTheme="minorHAnsi" w:cstheme="minorBidi"/>
                    <w:bCs/>
                    <w:noProof/>
                    <w:color w:val="auto"/>
                    <w:sz w:val="22"/>
                    <w:szCs w:val="22"/>
                  </w:rPr>
                </w:pPr>
                <w:r w:rsidRPr="00F45A9B">
                  <w:rPr>
                    <w:rFonts w:ascii="Calibri" w:eastAsiaTheme="minorHAnsi" w:hAnsi="Calibri" w:cstheme="minorBidi"/>
                    <w:b/>
                    <w:bCs/>
                    <w:color w:val="666666"/>
                    <w:sz w:val="22"/>
                    <w:szCs w:val="22"/>
                  </w:rPr>
                  <w:t>Latest ISR</w:t>
                </w:r>
              </w:p>
            </w:tc>
          </w:tr>
          <w:tr w:rsidR="004F0F3F" w14:paraId="28C7932E" w14:textId="77777777" w:rsidTr="00BE02EB">
            <w:tc>
              <w:tcPr>
                <w:tcW w:w="1771" w:type="dxa"/>
                <w:tcBorders>
                  <w:left w:val="single" w:sz="4" w:space="0" w:color="BFBFBF" w:themeColor="background1" w:themeShade="BF"/>
                  <w:bottom w:val="single" w:sz="8" w:space="0" w:color="D9D9D9" w:themeColor="background1" w:themeShade="D9"/>
                  <w:right w:val="single" w:sz="4" w:space="0" w:color="BFBFBF" w:themeColor="background1" w:themeShade="BF"/>
                </w:tcBorders>
                <w:shd w:val="clear" w:color="auto" w:fill="F7F7F7"/>
                <w:vAlign w:val="center"/>
              </w:tcPr>
              <w:p w14:paraId="18F5536B" w14:textId="77777777" w:rsidR="00F45A9B" w:rsidRPr="00F45A9B" w:rsidRDefault="00F45A9B" w:rsidP="00D400D3">
                <w:pPr>
                  <w:keepNext/>
                  <w:widowControl/>
                  <w:tabs>
                    <w:tab w:val="left" w:pos="3709"/>
                  </w:tabs>
                  <w:autoSpaceDE/>
                  <w:autoSpaceDN/>
                  <w:adjustRightInd/>
                  <w:spacing w:after="160" w:line="259" w:lineRule="auto"/>
                  <w:jc w:val="center"/>
                  <w:rPr>
                    <w:rFonts w:asciiTheme="minorHAnsi" w:eastAsiaTheme="minorHAnsi" w:hAnsiTheme="minorHAnsi" w:cstheme="minorBidi"/>
                    <w:b/>
                    <w:color w:val="172D5F"/>
                    <w:sz w:val="22"/>
                    <w:szCs w:val="22"/>
                  </w:rPr>
                </w:pPr>
              </w:p>
            </w:tc>
            <w:tc>
              <w:tcPr>
                <w:tcW w:w="1440" w:type="dxa"/>
                <w:tcBorders>
                  <w:top w:val="single" w:sz="8" w:space="0" w:color="D9D9D9" w:themeColor="background1" w:themeShade="D9"/>
                  <w:left w:val="single" w:sz="4" w:space="0" w:color="BFBFBF" w:themeColor="background1" w:themeShade="BF"/>
                  <w:bottom w:val="single" w:sz="8" w:space="0" w:color="D9D9D9" w:themeColor="background1" w:themeShade="D9"/>
                  <w:right w:val="single" w:sz="8" w:space="0" w:color="D9D9D9" w:themeColor="background1" w:themeShade="D9"/>
                </w:tcBorders>
                <w:shd w:val="clear" w:color="auto" w:fill="F7F7F7"/>
                <w:vAlign w:val="center"/>
              </w:tcPr>
              <w:p w14:paraId="168DF4A8" w14:textId="77777777" w:rsidR="00F45A9B" w:rsidRPr="00F45A9B" w:rsidRDefault="00880CEC" w:rsidP="00D400D3">
                <w:pPr>
                  <w:keepNext/>
                  <w:widowControl/>
                  <w:shd w:val="clear" w:color="auto" w:fill="F7F7F7"/>
                  <w:autoSpaceDE/>
                  <w:autoSpaceDN/>
                  <w:adjustRightInd/>
                  <w:spacing w:after="255" w:line="259" w:lineRule="auto"/>
                  <w:jc w:val="center"/>
                  <w:rPr>
                    <w:rFonts w:asciiTheme="minorHAnsi" w:eastAsiaTheme="minorHAnsi" w:hAnsiTheme="minorHAnsi" w:cstheme="minorBidi"/>
                    <w:bCs/>
                    <w:noProof/>
                    <w:color w:val="auto"/>
                    <w:sz w:val="22"/>
                    <w:szCs w:val="22"/>
                  </w:rPr>
                </w:pPr>
                <w:r w:rsidRPr="00F45A9B">
                  <w:rPr>
                    <w:rFonts w:asciiTheme="minorHAnsi" w:eastAsiaTheme="minorHAnsi" w:hAnsiTheme="minorHAnsi" w:cstheme="minorBidi"/>
                    <w:bCs/>
                    <w:noProof/>
                    <w:color w:val="auto"/>
                    <w:sz w:val="22"/>
                    <w:szCs w:val="22"/>
                  </w:rPr>
                  <w:t>22-Jun-2020</w:t>
                </w:r>
              </w:p>
            </w:tc>
            <w:tc>
              <w:tcPr>
                <w:tcW w:w="1440" w:type="dxa"/>
                <w:tcBorders>
                  <w:top w:val="single" w:sz="8" w:space="0" w:color="D9D9D9" w:themeColor="background1" w:themeShade="D9"/>
                  <w:left w:val="single" w:sz="4" w:space="0" w:color="BFBFBF" w:themeColor="background1" w:themeShade="BF"/>
                  <w:bottom w:val="single" w:sz="8" w:space="0" w:color="D9D9D9" w:themeColor="background1" w:themeShade="D9"/>
                  <w:right w:val="single" w:sz="8" w:space="0" w:color="D9D9D9" w:themeColor="background1" w:themeShade="D9"/>
                </w:tcBorders>
                <w:shd w:val="clear" w:color="auto" w:fill="F7F7F7"/>
                <w:vAlign w:val="center"/>
              </w:tcPr>
              <w:p w14:paraId="5EEFA121" w14:textId="77777777" w:rsidR="00F45A9B" w:rsidRPr="00F45A9B" w:rsidRDefault="00880CEC" w:rsidP="00D400D3">
                <w:pPr>
                  <w:keepNext/>
                  <w:widowControl/>
                  <w:shd w:val="clear" w:color="auto" w:fill="F7F7F7"/>
                  <w:autoSpaceDE/>
                  <w:autoSpaceDN/>
                  <w:adjustRightInd/>
                  <w:spacing w:after="255" w:line="259" w:lineRule="auto"/>
                  <w:jc w:val="center"/>
                  <w:rPr>
                    <w:rFonts w:asciiTheme="minorHAnsi" w:eastAsiaTheme="minorHAnsi" w:hAnsiTheme="minorHAnsi" w:cstheme="minorBidi"/>
                    <w:bCs/>
                    <w:noProof/>
                    <w:color w:val="auto"/>
                    <w:sz w:val="22"/>
                    <w:szCs w:val="22"/>
                  </w:rPr>
                </w:pPr>
                <w:r w:rsidRPr="00F45A9B">
                  <w:rPr>
                    <w:rFonts w:asciiTheme="minorHAnsi" w:eastAsiaTheme="minorHAnsi" w:hAnsiTheme="minorHAnsi" w:cstheme="minorBidi"/>
                    <w:bCs/>
                    <w:noProof/>
                    <w:color w:val="auto"/>
                    <w:sz w:val="22"/>
                    <w:szCs w:val="22"/>
                  </w:rPr>
                  <w:t>25-Feb-2021</w:t>
                </w:r>
              </w:p>
            </w:tc>
            <w:tc>
              <w:tcPr>
                <w:tcW w:w="1649"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4" w:space="0" w:color="BFBFBF" w:themeColor="background1" w:themeShade="BF"/>
                </w:tcBorders>
                <w:shd w:val="clear" w:color="auto" w:fill="F7F7F7"/>
                <w:vAlign w:val="center"/>
              </w:tcPr>
              <w:p w14:paraId="2A054F7F" w14:textId="77777777" w:rsidR="00F45A9B" w:rsidRPr="00F45A9B" w:rsidRDefault="00880CEC" w:rsidP="00D400D3">
                <w:pPr>
                  <w:keepNext/>
                  <w:widowControl/>
                  <w:shd w:val="clear" w:color="auto" w:fill="F7F7F7"/>
                  <w:autoSpaceDE/>
                  <w:autoSpaceDN/>
                  <w:adjustRightInd/>
                  <w:spacing w:after="255" w:line="259" w:lineRule="auto"/>
                  <w:ind w:left="159"/>
                  <w:jc w:val="center"/>
                  <w:rPr>
                    <w:rFonts w:asciiTheme="minorHAnsi" w:eastAsiaTheme="minorHAnsi" w:hAnsiTheme="minorHAnsi" w:cstheme="minorBidi"/>
                    <w:bCs/>
                    <w:noProof/>
                    <w:color w:val="auto"/>
                    <w:sz w:val="22"/>
                    <w:szCs w:val="22"/>
                  </w:rPr>
                </w:pPr>
                <w:r w:rsidRPr="00F45A9B">
                  <w:rPr>
                    <w:rFonts w:asciiTheme="minorHAnsi" w:eastAsiaTheme="minorHAnsi" w:hAnsiTheme="minorHAnsi" w:cstheme="minorBidi"/>
                    <w:bCs/>
                    <w:noProof/>
                    <w:color w:val="auto"/>
                    <w:sz w:val="22"/>
                    <w:szCs w:val="22"/>
                  </w:rPr>
                  <w:t>09-Feb-2022</w:t>
                </w:r>
              </w:p>
            </w:tc>
          </w:tr>
          <w:tr w:rsidR="004F0F3F" w14:paraId="3820A9DF" w14:textId="77777777" w:rsidTr="00BE02EB">
            <w:tc>
              <w:tcPr>
                <w:tcW w:w="1771"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0B660F99" w14:textId="77777777" w:rsidR="00F45A9B" w:rsidRPr="00F45A9B" w:rsidRDefault="00880CEC" w:rsidP="00D400D3">
                <w:pPr>
                  <w:keepNext/>
                  <w:widowControl/>
                  <w:tabs>
                    <w:tab w:val="left" w:pos="3709"/>
                  </w:tabs>
                  <w:autoSpaceDE/>
                  <w:autoSpaceDN/>
                  <w:adjustRightInd/>
                  <w:spacing w:after="120" w:line="259" w:lineRule="auto"/>
                  <w:rPr>
                    <w:rFonts w:asciiTheme="minorHAnsi" w:eastAsiaTheme="minorHAnsi" w:hAnsiTheme="minorHAnsi" w:cstheme="minorBidi"/>
                    <w:b/>
                    <w:color w:val="172D5F"/>
                    <w:sz w:val="22"/>
                    <w:szCs w:val="22"/>
                  </w:rPr>
                </w:pPr>
                <w:r w:rsidRPr="00F45A9B">
                  <w:rPr>
                    <w:rFonts w:asciiTheme="minorHAnsi" w:eastAsiaTheme="minorHAnsi" w:hAnsiTheme="minorHAnsi" w:cstheme="minorBidi"/>
                    <w:bCs/>
                    <w:noProof/>
                    <w:color w:val="auto"/>
                    <w:sz w:val="22"/>
                    <w:szCs w:val="22"/>
                  </w:rPr>
                  <w:t>Progress towards achievement of PDO</w:t>
                </w:r>
              </w:p>
            </w:tc>
            <w:tc>
              <w:tcPr>
                <w:tcW w:w="1440"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8" w:space="0" w:color="D9D9D9" w:themeColor="background1" w:themeShade="D9"/>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4F0F3F" w14:paraId="415CEF9E" w14:textId="77777777">
                  <w:trPr>
                    <w:jc w:val="center"/>
                  </w:trPr>
                  <w:tc>
                    <w:tcPr>
                      <w:tcW w:w="5000" w:type="pct"/>
                      <w:shd w:val="clear" w:color="auto" w:fill="23AE89"/>
                      <w:tcMar>
                        <w:top w:w="20" w:type="dxa"/>
                        <w:left w:w="20" w:type="dxa"/>
                        <w:bottom w:w="20" w:type="dxa"/>
                        <w:right w:w="20" w:type="dxa"/>
                      </w:tcMar>
                      <w:vAlign w:val="center"/>
                      <w:hideMark/>
                    </w:tcPr>
                    <w:p w14:paraId="657129C9" w14:textId="77777777" w:rsidR="004F0F3F" w:rsidRDefault="00880CEC">
                      <w:pPr>
                        <w:widowControl/>
                        <w:autoSpaceDE/>
                        <w:autoSpaceDN/>
                        <w:adjustRightInd/>
                        <w:jc w:val="center"/>
                        <w:rPr>
                          <w:rFonts w:ascii="Calibri" w:eastAsia="Calibri" w:hAnsi="Calibri" w:cs="Calibri"/>
                          <w:color w:val="FFFFFF"/>
                          <w:sz w:val="18"/>
                          <w:szCs w:val="18"/>
                        </w:rPr>
                      </w:pPr>
                      <w:r>
                        <w:rPr>
                          <w:rFonts w:ascii="Calibri" w:eastAsia="Calibri" w:hAnsi="Calibri" w:cs="Calibri"/>
                          <w:color w:val="FFFFFF"/>
                          <w:sz w:val="18"/>
                          <w:szCs w:val="18"/>
                        </w:rPr>
                        <w:t>S</w:t>
                      </w:r>
                    </w:p>
                  </w:tc>
                </w:tr>
              </w:tbl>
              <w:p w14:paraId="256153F2" w14:textId="77777777" w:rsidR="00F45A9B" w:rsidRPr="00F45A9B" w:rsidRDefault="00F45A9B" w:rsidP="00D400D3">
                <w:pPr>
                  <w:keepNext/>
                  <w:widowControl/>
                  <w:shd w:val="clear" w:color="auto" w:fill="F7F7F7"/>
                  <w:autoSpaceDE/>
                  <w:autoSpaceDN/>
                  <w:adjustRightInd/>
                  <w:spacing w:after="120" w:line="259" w:lineRule="auto"/>
                  <w:jc w:val="center"/>
                  <w:rPr>
                    <w:rFonts w:ascii="Calibri" w:eastAsiaTheme="minorHAnsi" w:hAnsi="Calibri" w:cstheme="minorBidi"/>
                    <w:b/>
                    <w:bCs/>
                    <w:color w:val="666666"/>
                    <w:sz w:val="22"/>
                    <w:szCs w:val="22"/>
                  </w:rPr>
                </w:pPr>
              </w:p>
            </w:tc>
            <w:tc>
              <w:tcPr>
                <w:tcW w:w="1440"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8" w:space="0" w:color="D9D9D9" w:themeColor="background1" w:themeShade="D9"/>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4F0F3F" w14:paraId="644BB0F3" w14:textId="77777777">
                  <w:trPr>
                    <w:jc w:val="center"/>
                  </w:trPr>
                  <w:tc>
                    <w:tcPr>
                      <w:tcW w:w="5000" w:type="pct"/>
                      <w:shd w:val="clear" w:color="auto" w:fill="FF8709"/>
                      <w:tcMar>
                        <w:top w:w="20" w:type="dxa"/>
                        <w:left w:w="20" w:type="dxa"/>
                        <w:bottom w:w="20" w:type="dxa"/>
                        <w:right w:w="20" w:type="dxa"/>
                      </w:tcMar>
                      <w:vAlign w:val="center"/>
                      <w:hideMark/>
                    </w:tcPr>
                    <w:p w14:paraId="21DE32B3" w14:textId="77777777" w:rsidR="004F0F3F" w:rsidRDefault="00880CEC">
                      <w:pPr>
                        <w:widowControl/>
                        <w:autoSpaceDE/>
                        <w:autoSpaceDN/>
                        <w:adjustRightInd/>
                        <w:jc w:val="center"/>
                        <w:rPr>
                          <w:rFonts w:ascii="Calibri" w:eastAsia="Calibri" w:hAnsi="Calibri" w:cs="Calibri"/>
                          <w:color w:val="FFFFFF"/>
                          <w:sz w:val="18"/>
                          <w:szCs w:val="18"/>
                        </w:rPr>
                      </w:pPr>
                      <w:r>
                        <w:rPr>
                          <w:rFonts w:ascii="Calibri" w:eastAsia="Calibri" w:hAnsi="Calibri" w:cs="Calibri"/>
                          <w:color w:val="FFFFFF"/>
                          <w:sz w:val="18"/>
                          <w:szCs w:val="18"/>
                        </w:rPr>
                        <w:t>MS</w:t>
                      </w:r>
                    </w:p>
                  </w:tc>
                </w:tr>
              </w:tbl>
              <w:p w14:paraId="46D055C2" w14:textId="77777777" w:rsidR="00F45A9B" w:rsidRPr="00F45A9B" w:rsidRDefault="00F45A9B" w:rsidP="00D400D3">
                <w:pPr>
                  <w:keepNext/>
                  <w:widowControl/>
                  <w:shd w:val="clear" w:color="auto" w:fill="F7F7F7"/>
                  <w:autoSpaceDE/>
                  <w:autoSpaceDN/>
                  <w:adjustRightInd/>
                  <w:spacing w:after="120" w:line="259" w:lineRule="auto"/>
                  <w:jc w:val="center"/>
                  <w:rPr>
                    <w:rFonts w:ascii="Calibri" w:eastAsiaTheme="minorHAnsi" w:hAnsi="Calibri" w:cstheme="minorBidi"/>
                    <w:b/>
                    <w:bCs/>
                    <w:color w:val="666666"/>
                    <w:sz w:val="22"/>
                    <w:szCs w:val="22"/>
                  </w:rPr>
                </w:pPr>
              </w:p>
            </w:tc>
            <w:tc>
              <w:tcPr>
                <w:tcW w:w="1649" w:type="dxa"/>
                <w:tcBorders>
                  <w:top w:val="single" w:sz="8" w:space="0" w:color="D9D9D9" w:themeColor="background1" w:themeShade="D9"/>
                  <w:left w:val="single" w:sz="8" w:space="0" w:color="D9D9D9" w:themeColor="background1" w:themeShade="D9"/>
                  <w:bottom w:val="single" w:sz="4" w:space="0" w:color="BFBFBF" w:themeColor="background1" w:themeShade="BF"/>
                  <w:right w:val="single" w:sz="4" w:space="0" w:color="BFBFBF" w:themeColor="background1" w:themeShade="BF"/>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4F0F3F" w14:paraId="07A95757" w14:textId="77777777">
                  <w:trPr>
                    <w:jc w:val="center"/>
                  </w:trPr>
                  <w:tc>
                    <w:tcPr>
                      <w:tcW w:w="5000" w:type="pct"/>
                      <w:shd w:val="clear" w:color="auto" w:fill="FF8709"/>
                      <w:tcMar>
                        <w:top w:w="20" w:type="dxa"/>
                        <w:left w:w="20" w:type="dxa"/>
                        <w:bottom w:w="20" w:type="dxa"/>
                        <w:right w:w="20" w:type="dxa"/>
                      </w:tcMar>
                      <w:vAlign w:val="center"/>
                      <w:hideMark/>
                    </w:tcPr>
                    <w:p w14:paraId="4176DA81" w14:textId="77777777" w:rsidR="004F0F3F" w:rsidRDefault="00880CEC">
                      <w:pPr>
                        <w:widowControl/>
                        <w:autoSpaceDE/>
                        <w:autoSpaceDN/>
                        <w:adjustRightInd/>
                        <w:jc w:val="center"/>
                        <w:rPr>
                          <w:rFonts w:ascii="Calibri" w:eastAsia="Calibri" w:hAnsi="Calibri" w:cs="Calibri"/>
                          <w:color w:val="FFFFFF"/>
                          <w:sz w:val="18"/>
                          <w:szCs w:val="18"/>
                        </w:rPr>
                      </w:pPr>
                      <w:r>
                        <w:rPr>
                          <w:rFonts w:ascii="Calibri" w:eastAsia="Calibri" w:hAnsi="Calibri" w:cs="Calibri"/>
                          <w:color w:val="FFFFFF"/>
                          <w:sz w:val="18"/>
                          <w:szCs w:val="18"/>
                        </w:rPr>
                        <w:t>MS</w:t>
                      </w:r>
                    </w:p>
                  </w:tc>
                </w:tr>
              </w:tbl>
              <w:p w14:paraId="06885B3B" w14:textId="77777777" w:rsidR="00F45A9B" w:rsidRPr="00F45A9B" w:rsidRDefault="00F45A9B" w:rsidP="00D400D3">
                <w:pPr>
                  <w:keepNext/>
                  <w:widowControl/>
                  <w:shd w:val="clear" w:color="auto" w:fill="F7F7F7"/>
                  <w:autoSpaceDE/>
                  <w:autoSpaceDN/>
                  <w:adjustRightInd/>
                  <w:spacing w:after="120" w:line="259" w:lineRule="auto"/>
                  <w:ind w:left="159"/>
                  <w:jc w:val="center"/>
                  <w:rPr>
                    <w:rFonts w:ascii="Calibri" w:eastAsiaTheme="minorHAnsi" w:hAnsi="Calibri" w:cstheme="minorBidi"/>
                    <w:b/>
                    <w:bCs/>
                    <w:color w:val="666666"/>
                    <w:sz w:val="22"/>
                    <w:szCs w:val="22"/>
                  </w:rPr>
                </w:pPr>
              </w:p>
            </w:tc>
          </w:tr>
          <w:tr w:rsidR="004F0F3F" w14:paraId="1C5AB59B" w14:textId="77777777" w:rsidTr="00BE02EB">
            <w:tc>
              <w:tcPr>
                <w:tcW w:w="1771"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582195C5" w14:textId="77777777" w:rsidR="00F45A9B" w:rsidRPr="00F45A9B" w:rsidRDefault="00880CEC" w:rsidP="00D400D3">
                <w:pPr>
                  <w:keepNext/>
                  <w:widowControl/>
                  <w:tabs>
                    <w:tab w:val="left" w:pos="3709"/>
                  </w:tabs>
                  <w:autoSpaceDE/>
                  <w:autoSpaceDN/>
                  <w:adjustRightInd/>
                  <w:spacing w:after="120" w:line="259" w:lineRule="auto"/>
                  <w:rPr>
                    <w:rFonts w:asciiTheme="minorHAnsi" w:eastAsiaTheme="minorHAnsi" w:hAnsiTheme="minorHAnsi" w:cstheme="minorBidi"/>
                    <w:b/>
                    <w:color w:val="172D5F"/>
                    <w:sz w:val="22"/>
                    <w:szCs w:val="22"/>
                  </w:rPr>
                </w:pPr>
                <w:r w:rsidRPr="00F45A9B">
                  <w:rPr>
                    <w:rFonts w:asciiTheme="minorHAnsi" w:eastAsiaTheme="minorHAnsi" w:hAnsiTheme="minorHAnsi" w:cstheme="minorBidi"/>
                    <w:bCs/>
                    <w:noProof/>
                    <w:color w:val="auto"/>
                    <w:sz w:val="22"/>
                    <w:szCs w:val="22"/>
                  </w:rPr>
                  <w:t>Overall Implementation Progress (IP)</w:t>
                </w:r>
              </w:p>
            </w:tc>
            <w:tc>
              <w:tcPr>
                <w:tcW w:w="1440"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8" w:space="0" w:color="D9D9D9" w:themeColor="background1" w:themeShade="D9"/>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4F0F3F" w14:paraId="6C980056" w14:textId="77777777">
                  <w:trPr>
                    <w:jc w:val="center"/>
                  </w:trPr>
                  <w:tc>
                    <w:tcPr>
                      <w:tcW w:w="5000" w:type="pct"/>
                      <w:shd w:val="clear" w:color="auto" w:fill="23AE89"/>
                      <w:tcMar>
                        <w:top w:w="20" w:type="dxa"/>
                        <w:left w:w="20" w:type="dxa"/>
                        <w:bottom w:w="20" w:type="dxa"/>
                        <w:right w:w="20" w:type="dxa"/>
                      </w:tcMar>
                      <w:vAlign w:val="center"/>
                      <w:hideMark/>
                    </w:tcPr>
                    <w:p w14:paraId="1B7B8487" w14:textId="77777777" w:rsidR="004F0F3F" w:rsidRDefault="00880CEC">
                      <w:pPr>
                        <w:widowControl/>
                        <w:autoSpaceDE/>
                        <w:autoSpaceDN/>
                        <w:adjustRightInd/>
                        <w:jc w:val="center"/>
                        <w:rPr>
                          <w:rFonts w:ascii="Calibri" w:eastAsia="Calibri" w:hAnsi="Calibri" w:cs="Calibri"/>
                          <w:color w:val="FFFFFF"/>
                          <w:sz w:val="18"/>
                          <w:szCs w:val="18"/>
                        </w:rPr>
                      </w:pPr>
                      <w:r>
                        <w:rPr>
                          <w:rFonts w:ascii="Calibri" w:eastAsia="Calibri" w:hAnsi="Calibri" w:cs="Calibri"/>
                          <w:color w:val="FFFFFF"/>
                          <w:sz w:val="18"/>
                          <w:szCs w:val="18"/>
                        </w:rPr>
                        <w:t>S</w:t>
                      </w:r>
                    </w:p>
                  </w:tc>
                </w:tr>
              </w:tbl>
              <w:p w14:paraId="1E51E685" w14:textId="77777777" w:rsidR="00F45A9B" w:rsidRPr="00F45A9B" w:rsidRDefault="00F45A9B" w:rsidP="00D400D3">
                <w:pPr>
                  <w:keepNext/>
                  <w:widowControl/>
                  <w:shd w:val="clear" w:color="auto" w:fill="F7F7F7"/>
                  <w:autoSpaceDE/>
                  <w:autoSpaceDN/>
                  <w:adjustRightInd/>
                  <w:spacing w:after="120" w:line="259" w:lineRule="auto"/>
                  <w:jc w:val="center"/>
                  <w:rPr>
                    <w:rFonts w:ascii="Calibri" w:eastAsiaTheme="minorHAnsi" w:hAnsi="Calibri" w:cstheme="minorBidi"/>
                    <w:b/>
                    <w:bCs/>
                    <w:color w:val="666666"/>
                    <w:sz w:val="22"/>
                    <w:szCs w:val="22"/>
                  </w:rPr>
                </w:pPr>
              </w:p>
            </w:tc>
            <w:tc>
              <w:tcPr>
                <w:tcW w:w="1440"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8" w:space="0" w:color="D9D9D9" w:themeColor="background1" w:themeShade="D9"/>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4F0F3F" w14:paraId="2E6040E6" w14:textId="77777777">
                  <w:trPr>
                    <w:jc w:val="center"/>
                  </w:trPr>
                  <w:tc>
                    <w:tcPr>
                      <w:tcW w:w="5000" w:type="pct"/>
                      <w:shd w:val="clear" w:color="auto" w:fill="23AE89"/>
                      <w:tcMar>
                        <w:top w:w="20" w:type="dxa"/>
                        <w:left w:w="20" w:type="dxa"/>
                        <w:bottom w:w="20" w:type="dxa"/>
                        <w:right w:w="20" w:type="dxa"/>
                      </w:tcMar>
                      <w:vAlign w:val="center"/>
                      <w:hideMark/>
                    </w:tcPr>
                    <w:p w14:paraId="470538C9" w14:textId="77777777" w:rsidR="004F0F3F" w:rsidRDefault="00880CEC">
                      <w:pPr>
                        <w:widowControl/>
                        <w:autoSpaceDE/>
                        <w:autoSpaceDN/>
                        <w:adjustRightInd/>
                        <w:jc w:val="center"/>
                        <w:rPr>
                          <w:rFonts w:ascii="Calibri" w:eastAsia="Calibri" w:hAnsi="Calibri" w:cs="Calibri"/>
                          <w:color w:val="FFFFFF"/>
                          <w:sz w:val="18"/>
                          <w:szCs w:val="18"/>
                        </w:rPr>
                      </w:pPr>
                      <w:r>
                        <w:rPr>
                          <w:rFonts w:ascii="Calibri" w:eastAsia="Calibri" w:hAnsi="Calibri" w:cs="Calibri"/>
                          <w:color w:val="FFFFFF"/>
                          <w:sz w:val="18"/>
                          <w:szCs w:val="18"/>
                        </w:rPr>
                        <w:t>S</w:t>
                      </w:r>
                    </w:p>
                  </w:tc>
                </w:tr>
              </w:tbl>
              <w:p w14:paraId="3DA69524" w14:textId="77777777" w:rsidR="00F45A9B" w:rsidRPr="00F45A9B" w:rsidRDefault="00F45A9B" w:rsidP="00D400D3">
                <w:pPr>
                  <w:keepNext/>
                  <w:widowControl/>
                  <w:shd w:val="clear" w:color="auto" w:fill="F7F7F7"/>
                  <w:autoSpaceDE/>
                  <w:autoSpaceDN/>
                  <w:adjustRightInd/>
                  <w:spacing w:after="120" w:line="259" w:lineRule="auto"/>
                  <w:jc w:val="center"/>
                  <w:rPr>
                    <w:rFonts w:ascii="Calibri" w:eastAsiaTheme="minorHAnsi" w:hAnsi="Calibri" w:cstheme="minorBidi"/>
                    <w:b/>
                    <w:bCs/>
                    <w:color w:val="666666"/>
                    <w:sz w:val="22"/>
                    <w:szCs w:val="22"/>
                  </w:rPr>
                </w:pPr>
              </w:p>
            </w:tc>
            <w:tc>
              <w:tcPr>
                <w:tcW w:w="1649" w:type="dxa"/>
                <w:tcBorders>
                  <w:top w:val="single" w:sz="8" w:space="0" w:color="D9D9D9" w:themeColor="background1" w:themeShade="D9"/>
                  <w:left w:val="single" w:sz="8" w:space="0" w:color="D9D9D9" w:themeColor="background1" w:themeShade="D9"/>
                  <w:bottom w:val="single" w:sz="4" w:space="0" w:color="BFBFBF" w:themeColor="background1" w:themeShade="BF"/>
                  <w:right w:val="single" w:sz="4" w:space="0" w:color="BFBFBF" w:themeColor="background1" w:themeShade="BF"/>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4F0F3F" w14:paraId="340FF4B5" w14:textId="77777777">
                  <w:trPr>
                    <w:jc w:val="center"/>
                  </w:trPr>
                  <w:tc>
                    <w:tcPr>
                      <w:tcW w:w="5000" w:type="pct"/>
                      <w:shd w:val="clear" w:color="auto" w:fill="FF8709"/>
                      <w:tcMar>
                        <w:top w:w="20" w:type="dxa"/>
                        <w:left w:w="20" w:type="dxa"/>
                        <w:bottom w:w="20" w:type="dxa"/>
                        <w:right w:w="20" w:type="dxa"/>
                      </w:tcMar>
                      <w:vAlign w:val="center"/>
                      <w:hideMark/>
                    </w:tcPr>
                    <w:p w14:paraId="3AB45AE6" w14:textId="77777777" w:rsidR="004F0F3F" w:rsidRDefault="00880CEC">
                      <w:pPr>
                        <w:widowControl/>
                        <w:autoSpaceDE/>
                        <w:autoSpaceDN/>
                        <w:adjustRightInd/>
                        <w:jc w:val="center"/>
                        <w:rPr>
                          <w:rFonts w:ascii="Calibri" w:eastAsia="Calibri" w:hAnsi="Calibri" w:cs="Calibri"/>
                          <w:color w:val="FFFFFF"/>
                          <w:sz w:val="18"/>
                          <w:szCs w:val="18"/>
                        </w:rPr>
                      </w:pPr>
                      <w:r>
                        <w:rPr>
                          <w:rFonts w:ascii="Calibri" w:eastAsia="Calibri" w:hAnsi="Calibri" w:cs="Calibri"/>
                          <w:color w:val="FFFFFF"/>
                          <w:sz w:val="18"/>
                          <w:szCs w:val="18"/>
                        </w:rPr>
                        <w:t>MS</w:t>
                      </w:r>
                    </w:p>
                  </w:tc>
                </w:tr>
              </w:tbl>
              <w:p w14:paraId="632BA4B6" w14:textId="77777777" w:rsidR="00F45A9B" w:rsidRPr="00F45A9B" w:rsidRDefault="00F45A9B" w:rsidP="00D400D3">
                <w:pPr>
                  <w:keepNext/>
                  <w:widowControl/>
                  <w:shd w:val="clear" w:color="auto" w:fill="F7F7F7"/>
                  <w:autoSpaceDE/>
                  <w:autoSpaceDN/>
                  <w:adjustRightInd/>
                  <w:spacing w:after="120" w:line="259" w:lineRule="auto"/>
                  <w:ind w:left="159"/>
                  <w:jc w:val="center"/>
                  <w:rPr>
                    <w:rFonts w:ascii="Calibri" w:eastAsiaTheme="minorHAnsi" w:hAnsi="Calibri" w:cstheme="minorBidi"/>
                    <w:b/>
                    <w:bCs/>
                    <w:color w:val="666666"/>
                    <w:sz w:val="22"/>
                    <w:szCs w:val="22"/>
                  </w:rPr>
                </w:pPr>
              </w:p>
            </w:tc>
          </w:tr>
          <w:tr w:rsidR="004F0F3F" w14:paraId="6C04594F" w14:textId="77777777" w:rsidTr="00BE02EB">
            <w:tc>
              <w:tcPr>
                <w:tcW w:w="1771"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5EF5CCD4" w14:textId="77777777" w:rsidR="00F45A9B" w:rsidRPr="00F45A9B" w:rsidRDefault="00880CEC" w:rsidP="00D400D3">
                <w:pPr>
                  <w:keepNext/>
                  <w:widowControl/>
                  <w:tabs>
                    <w:tab w:val="left" w:pos="3709"/>
                  </w:tabs>
                  <w:autoSpaceDE/>
                  <w:autoSpaceDN/>
                  <w:adjustRightInd/>
                  <w:spacing w:after="120" w:line="259" w:lineRule="auto"/>
                  <w:rPr>
                    <w:rFonts w:asciiTheme="minorHAnsi" w:eastAsiaTheme="minorHAnsi" w:hAnsiTheme="minorHAnsi" w:cstheme="minorBidi"/>
                    <w:b/>
                    <w:color w:val="172D5F"/>
                    <w:sz w:val="22"/>
                    <w:szCs w:val="22"/>
                  </w:rPr>
                </w:pPr>
                <w:r w:rsidRPr="00F45A9B">
                  <w:rPr>
                    <w:rFonts w:asciiTheme="minorHAnsi" w:eastAsiaTheme="minorHAnsi" w:hAnsiTheme="minorHAnsi" w:cstheme="minorBidi"/>
                    <w:bCs/>
                    <w:noProof/>
                    <w:color w:val="auto"/>
                    <w:sz w:val="22"/>
                    <w:szCs w:val="22"/>
                  </w:rPr>
                  <w:t>Overall Risk</w:t>
                </w:r>
              </w:p>
            </w:tc>
            <w:tc>
              <w:tcPr>
                <w:tcW w:w="1440"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8" w:space="0" w:color="D9D9D9" w:themeColor="background1" w:themeShade="D9"/>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4F0F3F" w14:paraId="58080BD8" w14:textId="77777777">
                  <w:trPr>
                    <w:jc w:val="center"/>
                  </w:trPr>
                  <w:tc>
                    <w:tcPr>
                      <w:tcW w:w="5000" w:type="pct"/>
                      <w:shd w:val="clear" w:color="auto" w:fill="FFB61C"/>
                      <w:tcMar>
                        <w:top w:w="20" w:type="dxa"/>
                        <w:left w:w="20" w:type="dxa"/>
                        <w:bottom w:w="20" w:type="dxa"/>
                        <w:right w:w="20" w:type="dxa"/>
                      </w:tcMar>
                      <w:vAlign w:val="center"/>
                      <w:hideMark/>
                    </w:tcPr>
                    <w:p w14:paraId="16BFD2D6" w14:textId="77777777" w:rsidR="004F0F3F" w:rsidRDefault="00880CEC">
                      <w:pPr>
                        <w:widowControl/>
                        <w:autoSpaceDE/>
                        <w:autoSpaceDN/>
                        <w:adjustRightInd/>
                        <w:jc w:val="center"/>
                        <w:rPr>
                          <w:rFonts w:ascii="Calibri" w:eastAsia="Calibri" w:hAnsi="Calibri" w:cs="Calibri"/>
                          <w:color w:val="FFFFFF"/>
                          <w:sz w:val="18"/>
                          <w:szCs w:val="18"/>
                        </w:rPr>
                      </w:pPr>
                      <w:r>
                        <w:rPr>
                          <w:rFonts w:ascii="Calibri" w:eastAsia="Calibri" w:hAnsi="Calibri" w:cs="Calibri"/>
                          <w:color w:val="FFFFFF"/>
                          <w:sz w:val="18"/>
                          <w:szCs w:val="18"/>
                        </w:rPr>
                        <w:t>S</w:t>
                      </w:r>
                    </w:p>
                  </w:tc>
                </w:tr>
              </w:tbl>
              <w:p w14:paraId="47BB4ED6" w14:textId="77777777" w:rsidR="00F45A9B" w:rsidRPr="00F45A9B" w:rsidRDefault="00F45A9B" w:rsidP="00D400D3">
                <w:pPr>
                  <w:keepNext/>
                  <w:widowControl/>
                  <w:shd w:val="clear" w:color="auto" w:fill="F7F7F7"/>
                  <w:autoSpaceDE/>
                  <w:autoSpaceDN/>
                  <w:adjustRightInd/>
                  <w:spacing w:after="120" w:line="259" w:lineRule="auto"/>
                  <w:jc w:val="center"/>
                  <w:rPr>
                    <w:rFonts w:ascii="Calibri" w:eastAsiaTheme="minorHAnsi" w:hAnsi="Calibri" w:cstheme="minorBidi"/>
                    <w:b/>
                    <w:bCs/>
                    <w:color w:val="666666"/>
                    <w:sz w:val="22"/>
                    <w:szCs w:val="22"/>
                  </w:rPr>
                </w:pPr>
              </w:p>
            </w:tc>
            <w:tc>
              <w:tcPr>
                <w:tcW w:w="1440"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8" w:space="0" w:color="D9D9D9" w:themeColor="background1" w:themeShade="D9"/>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4F0F3F" w14:paraId="70F72E91" w14:textId="77777777">
                  <w:trPr>
                    <w:jc w:val="center"/>
                  </w:trPr>
                  <w:tc>
                    <w:tcPr>
                      <w:tcW w:w="5000" w:type="pct"/>
                      <w:shd w:val="clear" w:color="auto" w:fill="FFB61C"/>
                      <w:tcMar>
                        <w:top w:w="20" w:type="dxa"/>
                        <w:left w:w="20" w:type="dxa"/>
                        <w:bottom w:w="20" w:type="dxa"/>
                        <w:right w:w="20" w:type="dxa"/>
                      </w:tcMar>
                      <w:vAlign w:val="center"/>
                      <w:hideMark/>
                    </w:tcPr>
                    <w:p w14:paraId="77CC3AC2" w14:textId="77777777" w:rsidR="004F0F3F" w:rsidRDefault="00880CEC">
                      <w:pPr>
                        <w:widowControl/>
                        <w:autoSpaceDE/>
                        <w:autoSpaceDN/>
                        <w:adjustRightInd/>
                        <w:jc w:val="center"/>
                        <w:rPr>
                          <w:rFonts w:ascii="Calibri" w:eastAsia="Calibri" w:hAnsi="Calibri" w:cs="Calibri"/>
                          <w:color w:val="FFFFFF"/>
                          <w:sz w:val="18"/>
                          <w:szCs w:val="18"/>
                        </w:rPr>
                      </w:pPr>
                      <w:r>
                        <w:rPr>
                          <w:rFonts w:ascii="Calibri" w:eastAsia="Calibri" w:hAnsi="Calibri" w:cs="Calibri"/>
                          <w:color w:val="FFFFFF"/>
                          <w:sz w:val="18"/>
                          <w:szCs w:val="18"/>
                        </w:rPr>
                        <w:t>S</w:t>
                      </w:r>
                    </w:p>
                  </w:tc>
                </w:tr>
              </w:tbl>
              <w:p w14:paraId="55C267E3" w14:textId="77777777" w:rsidR="00F45A9B" w:rsidRPr="00F45A9B" w:rsidRDefault="00F45A9B" w:rsidP="00D400D3">
                <w:pPr>
                  <w:keepNext/>
                  <w:widowControl/>
                  <w:shd w:val="clear" w:color="auto" w:fill="F7F7F7"/>
                  <w:autoSpaceDE/>
                  <w:autoSpaceDN/>
                  <w:adjustRightInd/>
                  <w:spacing w:after="120" w:line="259" w:lineRule="auto"/>
                  <w:jc w:val="center"/>
                  <w:rPr>
                    <w:rFonts w:ascii="Calibri" w:eastAsiaTheme="minorHAnsi" w:hAnsi="Calibri" w:cstheme="minorBidi"/>
                    <w:b/>
                    <w:bCs/>
                    <w:color w:val="666666"/>
                    <w:sz w:val="22"/>
                    <w:szCs w:val="22"/>
                  </w:rPr>
                </w:pPr>
              </w:p>
            </w:tc>
            <w:tc>
              <w:tcPr>
                <w:tcW w:w="1649" w:type="dxa"/>
                <w:tcBorders>
                  <w:top w:val="single" w:sz="8" w:space="0" w:color="D9D9D9" w:themeColor="background1" w:themeShade="D9"/>
                  <w:left w:val="single" w:sz="8" w:space="0" w:color="D9D9D9" w:themeColor="background1" w:themeShade="D9"/>
                  <w:bottom w:val="single" w:sz="4" w:space="0" w:color="BFBFBF" w:themeColor="background1" w:themeShade="BF"/>
                  <w:right w:val="single" w:sz="4" w:space="0" w:color="BFBFBF" w:themeColor="background1" w:themeShade="BF"/>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4F0F3F" w14:paraId="24B58787" w14:textId="77777777">
                  <w:trPr>
                    <w:jc w:val="center"/>
                  </w:trPr>
                  <w:tc>
                    <w:tcPr>
                      <w:tcW w:w="5000" w:type="pct"/>
                      <w:shd w:val="clear" w:color="auto" w:fill="FFB61C"/>
                      <w:tcMar>
                        <w:top w:w="20" w:type="dxa"/>
                        <w:left w:w="20" w:type="dxa"/>
                        <w:bottom w:w="20" w:type="dxa"/>
                        <w:right w:w="20" w:type="dxa"/>
                      </w:tcMar>
                      <w:vAlign w:val="center"/>
                      <w:hideMark/>
                    </w:tcPr>
                    <w:p w14:paraId="1E184902" w14:textId="77777777" w:rsidR="004F0F3F" w:rsidRDefault="00880CEC">
                      <w:pPr>
                        <w:widowControl/>
                        <w:autoSpaceDE/>
                        <w:autoSpaceDN/>
                        <w:adjustRightInd/>
                        <w:jc w:val="center"/>
                        <w:rPr>
                          <w:rFonts w:ascii="Calibri" w:eastAsia="Calibri" w:hAnsi="Calibri" w:cs="Calibri"/>
                          <w:color w:val="FFFFFF"/>
                          <w:sz w:val="18"/>
                          <w:szCs w:val="18"/>
                        </w:rPr>
                      </w:pPr>
                      <w:r>
                        <w:rPr>
                          <w:rFonts w:ascii="Calibri" w:eastAsia="Calibri" w:hAnsi="Calibri" w:cs="Calibri"/>
                          <w:color w:val="FFFFFF"/>
                          <w:sz w:val="18"/>
                          <w:szCs w:val="18"/>
                        </w:rPr>
                        <w:t>S</w:t>
                      </w:r>
                    </w:p>
                  </w:tc>
                </w:tr>
              </w:tbl>
              <w:p w14:paraId="631D098D" w14:textId="77777777" w:rsidR="00F45A9B" w:rsidRPr="00F45A9B" w:rsidRDefault="00F45A9B" w:rsidP="00D400D3">
                <w:pPr>
                  <w:keepNext/>
                  <w:widowControl/>
                  <w:shd w:val="clear" w:color="auto" w:fill="F7F7F7"/>
                  <w:autoSpaceDE/>
                  <w:autoSpaceDN/>
                  <w:adjustRightInd/>
                  <w:spacing w:after="120" w:line="259" w:lineRule="auto"/>
                  <w:ind w:left="159"/>
                  <w:jc w:val="center"/>
                  <w:rPr>
                    <w:rFonts w:ascii="Calibri" w:eastAsiaTheme="minorHAnsi" w:hAnsi="Calibri" w:cstheme="minorBidi"/>
                    <w:b/>
                    <w:bCs/>
                    <w:color w:val="666666"/>
                    <w:sz w:val="22"/>
                    <w:szCs w:val="22"/>
                  </w:rPr>
                </w:pPr>
              </w:p>
            </w:tc>
          </w:tr>
          <w:tr w:rsidR="004F0F3F" w14:paraId="0FE023BB" w14:textId="77777777" w:rsidTr="00BE02EB">
            <w:tc>
              <w:tcPr>
                <w:tcW w:w="1771"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7DE32BE6" w14:textId="77777777" w:rsidR="00F45A9B" w:rsidRPr="00F45A9B" w:rsidRDefault="00880CEC" w:rsidP="00D400D3">
                <w:pPr>
                  <w:keepNext/>
                  <w:widowControl/>
                  <w:tabs>
                    <w:tab w:val="left" w:pos="3709"/>
                  </w:tabs>
                  <w:autoSpaceDE/>
                  <w:autoSpaceDN/>
                  <w:adjustRightInd/>
                  <w:spacing w:after="120" w:line="259" w:lineRule="auto"/>
                  <w:rPr>
                    <w:rFonts w:asciiTheme="minorHAnsi" w:eastAsiaTheme="minorHAnsi" w:hAnsiTheme="minorHAnsi" w:cstheme="minorBidi"/>
                    <w:b/>
                    <w:color w:val="172D5F"/>
                    <w:sz w:val="22"/>
                    <w:szCs w:val="22"/>
                  </w:rPr>
                </w:pPr>
                <w:r w:rsidRPr="00F45A9B">
                  <w:rPr>
                    <w:rFonts w:asciiTheme="minorHAnsi" w:eastAsiaTheme="minorHAnsi" w:hAnsiTheme="minorHAnsi" w:cstheme="minorBidi"/>
                    <w:bCs/>
                    <w:noProof/>
                    <w:color w:val="auto"/>
                    <w:sz w:val="22"/>
                    <w:szCs w:val="22"/>
                  </w:rPr>
                  <w:t>Technical</w:t>
                </w:r>
              </w:p>
            </w:tc>
            <w:tc>
              <w:tcPr>
                <w:tcW w:w="1440"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8" w:space="0" w:color="D9D9D9" w:themeColor="background1" w:themeShade="D9"/>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4F0F3F" w14:paraId="28F77031" w14:textId="77777777">
                  <w:trPr>
                    <w:jc w:val="center"/>
                  </w:trPr>
                  <w:tc>
                    <w:tcPr>
                      <w:tcW w:w="5000" w:type="pct"/>
                      <w:shd w:val="clear" w:color="auto" w:fill="23AE89"/>
                      <w:tcMar>
                        <w:top w:w="20" w:type="dxa"/>
                        <w:left w:w="20" w:type="dxa"/>
                        <w:bottom w:w="20" w:type="dxa"/>
                        <w:right w:w="20" w:type="dxa"/>
                      </w:tcMar>
                      <w:vAlign w:val="center"/>
                      <w:hideMark/>
                    </w:tcPr>
                    <w:p w14:paraId="0F180EAB" w14:textId="77777777" w:rsidR="004F0F3F" w:rsidRDefault="00880CEC">
                      <w:pPr>
                        <w:widowControl/>
                        <w:autoSpaceDE/>
                        <w:autoSpaceDN/>
                        <w:adjustRightInd/>
                        <w:jc w:val="center"/>
                        <w:rPr>
                          <w:rFonts w:ascii="Calibri" w:eastAsia="Calibri" w:hAnsi="Calibri" w:cs="Calibri"/>
                          <w:color w:val="FFFFFF"/>
                          <w:sz w:val="18"/>
                          <w:szCs w:val="18"/>
                        </w:rPr>
                      </w:pPr>
                      <w:r>
                        <w:rPr>
                          <w:rFonts w:ascii="Calibri" w:eastAsia="Calibri" w:hAnsi="Calibri" w:cs="Calibri"/>
                          <w:color w:val="FFFFFF"/>
                          <w:sz w:val="18"/>
                          <w:szCs w:val="18"/>
                        </w:rPr>
                        <w:t>S</w:t>
                      </w:r>
                    </w:p>
                  </w:tc>
                </w:tr>
              </w:tbl>
              <w:p w14:paraId="3797D8E0" w14:textId="77777777" w:rsidR="00F45A9B" w:rsidRPr="00F45A9B" w:rsidRDefault="00F45A9B" w:rsidP="00D400D3">
                <w:pPr>
                  <w:keepNext/>
                  <w:widowControl/>
                  <w:shd w:val="clear" w:color="auto" w:fill="F7F7F7"/>
                  <w:autoSpaceDE/>
                  <w:autoSpaceDN/>
                  <w:adjustRightInd/>
                  <w:spacing w:after="120" w:line="259" w:lineRule="auto"/>
                  <w:jc w:val="center"/>
                  <w:rPr>
                    <w:rFonts w:ascii="Calibri" w:eastAsiaTheme="minorHAnsi" w:hAnsi="Calibri" w:cstheme="minorBidi"/>
                    <w:b/>
                    <w:bCs/>
                    <w:color w:val="666666"/>
                    <w:sz w:val="22"/>
                    <w:szCs w:val="22"/>
                  </w:rPr>
                </w:pPr>
              </w:p>
            </w:tc>
            <w:tc>
              <w:tcPr>
                <w:tcW w:w="1440"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8" w:space="0" w:color="D9D9D9" w:themeColor="background1" w:themeShade="D9"/>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4F0F3F" w14:paraId="44D8656F" w14:textId="77777777">
                  <w:trPr>
                    <w:jc w:val="center"/>
                  </w:trPr>
                  <w:tc>
                    <w:tcPr>
                      <w:tcW w:w="5000" w:type="pct"/>
                      <w:shd w:val="clear" w:color="auto" w:fill="23AE89"/>
                      <w:tcMar>
                        <w:top w:w="20" w:type="dxa"/>
                        <w:left w:w="20" w:type="dxa"/>
                        <w:bottom w:w="20" w:type="dxa"/>
                        <w:right w:w="20" w:type="dxa"/>
                      </w:tcMar>
                      <w:vAlign w:val="center"/>
                      <w:hideMark/>
                    </w:tcPr>
                    <w:p w14:paraId="5767D161" w14:textId="77777777" w:rsidR="004F0F3F" w:rsidRDefault="00880CEC">
                      <w:pPr>
                        <w:widowControl/>
                        <w:autoSpaceDE/>
                        <w:autoSpaceDN/>
                        <w:adjustRightInd/>
                        <w:jc w:val="center"/>
                        <w:rPr>
                          <w:rFonts w:ascii="Calibri" w:eastAsia="Calibri" w:hAnsi="Calibri" w:cs="Calibri"/>
                          <w:color w:val="FFFFFF"/>
                          <w:sz w:val="18"/>
                          <w:szCs w:val="18"/>
                        </w:rPr>
                      </w:pPr>
                      <w:r>
                        <w:rPr>
                          <w:rFonts w:ascii="Calibri" w:eastAsia="Calibri" w:hAnsi="Calibri" w:cs="Calibri"/>
                          <w:color w:val="FFFFFF"/>
                          <w:sz w:val="18"/>
                          <w:szCs w:val="18"/>
                        </w:rPr>
                        <w:t>S</w:t>
                      </w:r>
                    </w:p>
                  </w:tc>
                </w:tr>
              </w:tbl>
              <w:p w14:paraId="3CB81C15" w14:textId="77777777" w:rsidR="00F45A9B" w:rsidRPr="00F45A9B" w:rsidRDefault="00F45A9B" w:rsidP="00D400D3">
                <w:pPr>
                  <w:keepNext/>
                  <w:widowControl/>
                  <w:shd w:val="clear" w:color="auto" w:fill="F7F7F7"/>
                  <w:autoSpaceDE/>
                  <w:autoSpaceDN/>
                  <w:adjustRightInd/>
                  <w:spacing w:after="120" w:line="259" w:lineRule="auto"/>
                  <w:jc w:val="center"/>
                  <w:rPr>
                    <w:rFonts w:ascii="Calibri" w:eastAsiaTheme="minorHAnsi" w:hAnsi="Calibri" w:cstheme="minorBidi"/>
                    <w:b/>
                    <w:bCs/>
                    <w:color w:val="666666"/>
                    <w:sz w:val="22"/>
                    <w:szCs w:val="22"/>
                  </w:rPr>
                </w:pPr>
              </w:p>
            </w:tc>
            <w:tc>
              <w:tcPr>
                <w:tcW w:w="1649" w:type="dxa"/>
                <w:tcBorders>
                  <w:top w:val="single" w:sz="8" w:space="0" w:color="D9D9D9" w:themeColor="background1" w:themeShade="D9"/>
                  <w:left w:val="single" w:sz="8" w:space="0" w:color="D9D9D9" w:themeColor="background1" w:themeShade="D9"/>
                  <w:bottom w:val="single" w:sz="4" w:space="0" w:color="BFBFBF" w:themeColor="background1" w:themeShade="BF"/>
                  <w:right w:val="single" w:sz="4" w:space="0" w:color="BFBFBF" w:themeColor="background1" w:themeShade="BF"/>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4F0F3F" w14:paraId="4967B5C7" w14:textId="77777777">
                  <w:trPr>
                    <w:jc w:val="center"/>
                  </w:trPr>
                  <w:tc>
                    <w:tcPr>
                      <w:tcW w:w="5000" w:type="pct"/>
                      <w:shd w:val="clear" w:color="auto" w:fill="23AE89"/>
                      <w:tcMar>
                        <w:top w:w="20" w:type="dxa"/>
                        <w:left w:w="20" w:type="dxa"/>
                        <w:bottom w:w="20" w:type="dxa"/>
                        <w:right w:w="20" w:type="dxa"/>
                      </w:tcMar>
                      <w:vAlign w:val="center"/>
                      <w:hideMark/>
                    </w:tcPr>
                    <w:p w14:paraId="7E1A136A" w14:textId="77777777" w:rsidR="004F0F3F" w:rsidRDefault="00880CEC">
                      <w:pPr>
                        <w:widowControl/>
                        <w:autoSpaceDE/>
                        <w:autoSpaceDN/>
                        <w:adjustRightInd/>
                        <w:jc w:val="center"/>
                        <w:rPr>
                          <w:rFonts w:ascii="Calibri" w:eastAsia="Calibri" w:hAnsi="Calibri" w:cs="Calibri"/>
                          <w:color w:val="FFFFFF"/>
                          <w:sz w:val="18"/>
                          <w:szCs w:val="18"/>
                        </w:rPr>
                      </w:pPr>
                      <w:r>
                        <w:rPr>
                          <w:rFonts w:ascii="Calibri" w:eastAsia="Calibri" w:hAnsi="Calibri" w:cs="Calibri"/>
                          <w:color w:val="FFFFFF"/>
                          <w:sz w:val="18"/>
                          <w:szCs w:val="18"/>
                        </w:rPr>
                        <w:t>S</w:t>
                      </w:r>
                    </w:p>
                  </w:tc>
                </w:tr>
              </w:tbl>
              <w:p w14:paraId="2AB57F44" w14:textId="77777777" w:rsidR="00F45A9B" w:rsidRPr="00F45A9B" w:rsidRDefault="00F45A9B" w:rsidP="00D400D3">
                <w:pPr>
                  <w:keepNext/>
                  <w:widowControl/>
                  <w:shd w:val="clear" w:color="auto" w:fill="F7F7F7"/>
                  <w:autoSpaceDE/>
                  <w:autoSpaceDN/>
                  <w:adjustRightInd/>
                  <w:spacing w:after="120" w:line="259" w:lineRule="auto"/>
                  <w:ind w:left="159"/>
                  <w:jc w:val="center"/>
                  <w:rPr>
                    <w:rFonts w:ascii="Calibri" w:eastAsiaTheme="minorHAnsi" w:hAnsi="Calibri" w:cstheme="minorBidi"/>
                    <w:b/>
                    <w:bCs/>
                    <w:color w:val="666666"/>
                    <w:sz w:val="22"/>
                    <w:szCs w:val="22"/>
                  </w:rPr>
                </w:pPr>
              </w:p>
            </w:tc>
          </w:tr>
          <w:tr w:rsidR="004F0F3F" w14:paraId="72AEACE0" w14:textId="77777777" w:rsidTr="00BE02EB">
            <w:tc>
              <w:tcPr>
                <w:tcW w:w="1771"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24C7701D" w14:textId="77777777" w:rsidR="00F45A9B" w:rsidRPr="00F45A9B" w:rsidRDefault="00880CEC" w:rsidP="00D400D3">
                <w:pPr>
                  <w:keepNext/>
                  <w:widowControl/>
                  <w:tabs>
                    <w:tab w:val="left" w:pos="3709"/>
                  </w:tabs>
                  <w:autoSpaceDE/>
                  <w:autoSpaceDN/>
                  <w:adjustRightInd/>
                  <w:spacing w:after="120" w:line="259" w:lineRule="auto"/>
                  <w:rPr>
                    <w:rFonts w:asciiTheme="minorHAnsi" w:eastAsiaTheme="minorHAnsi" w:hAnsiTheme="minorHAnsi" w:cstheme="minorBidi"/>
                    <w:b/>
                    <w:color w:val="172D5F"/>
                    <w:sz w:val="22"/>
                    <w:szCs w:val="22"/>
                  </w:rPr>
                </w:pPr>
                <w:r w:rsidRPr="00F45A9B">
                  <w:rPr>
                    <w:rFonts w:asciiTheme="minorHAnsi" w:eastAsiaTheme="minorHAnsi" w:hAnsiTheme="minorHAnsi" w:cstheme="minorBidi"/>
                    <w:bCs/>
                    <w:noProof/>
                    <w:color w:val="auto"/>
                    <w:sz w:val="22"/>
                    <w:szCs w:val="22"/>
                  </w:rPr>
                  <w:t>Fiduciary Systems</w:t>
                </w:r>
              </w:p>
            </w:tc>
            <w:tc>
              <w:tcPr>
                <w:tcW w:w="1440"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8" w:space="0" w:color="D9D9D9" w:themeColor="background1" w:themeShade="D9"/>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4F0F3F" w14:paraId="26A6ACC1" w14:textId="77777777">
                  <w:trPr>
                    <w:jc w:val="center"/>
                  </w:trPr>
                  <w:tc>
                    <w:tcPr>
                      <w:tcW w:w="5000" w:type="pct"/>
                      <w:shd w:val="clear" w:color="auto" w:fill="23AE89"/>
                      <w:tcMar>
                        <w:top w:w="20" w:type="dxa"/>
                        <w:left w:w="20" w:type="dxa"/>
                        <w:bottom w:w="20" w:type="dxa"/>
                        <w:right w:w="20" w:type="dxa"/>
                      </w:tcMar>
                      <w:vAlign w:val="center"/>
                      <w:hideMark/>
                    </w:tcPr>
                    <w:p w14:paraId="1224BE56" w14:textId="77777777" w:rsidR="004F0F3F" w:rsidRDefault="00880CEC">
                      <w:pPr>
                        <w:widowControl/>
                        <w:autoSpaceDE/>
                        <w:autoSpaceDN/>
                        <w:adjustRightInd/>
                        <w:jc w:val="center"/>
                        <w:rPr>
                          <w:rFonts w:ascii="Calibri" w:eastAsia="Calibri" w:hAnsi="Calibri" w:cs="Calibri"/>
                          <w:color w:val="FFFFFF"/>
                          <w:sz w:val="18"/>
                          <w:szCs w:val="18"/>
                        </w:rPr>
                      </w:pPr>
                      <w:r>
                        <w:rPr>
                          <w:rFonts w:ascii="Calibri" w:eastAsia="Calibri" w:hAnsi="Calibri" w:cs="Calibri"/>
                          <w:color w:val="FFFFFF"/>
                          <w:sz w:val="18"/>
                          <w:szCs w:val="18"/>
                        </w:rPr>
                        <w:t>S</w:t>
                      </w:r>
                    </w:p>
                  </w:tc>
                </w:tr>
              </w:tbl>
              <w:p w14:paraId="633E34D7" w14:textId="77777777" w:rsidR="00F45A9B" w:rsidRPr="00F45A9B" w:rsidRDefault="00F45A9B" w:rsidP="00D400D3">
                <w:pPr>
                  <w:keepNext/>
                  <w:widowControl/>
                  <w:shd w:val="clear" w:color="auto" w:fill="F7F7F7"/>
                  <w:autoSpaceDE/>
                  <w:autoSpaceDN/>
                  <w:adjustRightInd/>
                  <w:spacing w:after="120" w:line="259" w:lineRule="auto"/>
                  <w:jc w:val="center"/>
                  <w:rPr>
                    <w:rFonts w:ascii="Calibri" w:eastAsiaTheme="minorHAnsi" w:hAnsi="Calibri" w:cstheme="minorBidi"/>
                    <w:b/>
                    <w:bCs/>
                    <w:color w:val="666666"/>
                    <w:sz w:val="22"/>
                    <w:szCs w:val="22"/>
                  </w:rPr>
                </w:pPr>
              </w:p>
            </w:tc>
            <w:tc>
              <w:tcPr>
                <w:tcW w:w="1440"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8" w:space="0" w:color="D9D9D9" w:themeColor="background1" w:themeShade="D9"/>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4F0F3F" w14:paraId="4F511696" w14:textId="77777777">
                  <w:trPr>
                    <w:jc w:val="center"/>
                  </w:trPr>
                  <w:tc>
                    <w:tcPr>
                      <w:tcW w:w="5000" w:type="pct"/>
                      <w:shd w:val="clear" w:color="auto" w:fill="23AE89"/>
                      <w:tcMar>
                        <w:top w:w="20" w:type="dxa"/>
                        <w:left w:w="20" w:type="dxa"/>
                        <w:bottom w:w="20" w:type="dxa"/>
                        <w:right w:w="20" w:type="dxa"/>
                      </w:tcMar>
                      <w:vAlign w:val="center"/>
                      <w:hideMark/>
                    </w:tcPr>
                    <w:p w14:paraId="647DF5F1" w14:textId="77777777" w:rsidR="004F0F3F" w:rsidRDefault="00880CEC">
                      <w:pPr>
                        <w:widowControl/>
                        <w:autoSpaceDE/>
                        <w:autoSpaceDN/>
                        <w:adjustRightInd/>
                        <w:jc w:val="center"/>
                        <w:rPr>
                          <w:rFonts w:ascii="Calibri" w:eastAsia="Calibri" w:hAnsi="Calibri" w:cs="Calibri"/>
                          <w:color w:val="FFFFFF"/>
                          <w:sz w:val="18"/>
                          <w:szCs w:val="18"/>
                        </w:rPr>
                      </w:pPr>
                      <w:r>
                        <w:rPr>
                          <w:rFonts w:ascii="Calibri" w:eastAsia="Calibri" w:hAnsi="Calibri" w:cs="Calibri"/>
                          <w:color w:val="FFFFFF"/>
                          <w:sz w:val="18"/>
                          <w:szCs w:val="18"/>
                        </w:rPr>
                        <w:t>S</w:t>
                      </w:r>
                    </w:p>
                  </w:tc>
                </w:tr>
              </w:tbl>
              <w:p w14:paraId="74DC51E1" w14:textId="77777777" w:rsidR="00F45A9B" w:rsidRPr="00F45A9B" w:rsidRDefault="00F45A9B" w:rsidP="00D400D3">
                <w:pPr>
                  <w:keepNext/>
                  <w:widowControl/>
                  <w:shd w:val="clear" w:color="auto" w:fill="F7F7F7"/>
                  <w:autoSpaceDE/>
                  <w:autoSpaceDN/>
                  <w:adjustRightInd/>
                  <w:spacing w:after="120" w:line="259" w:lineRule="auto"/>
                  <w:jc w:val="center"/>
                  <w:rPr>
                    <w:rFonts w:ascii="Calibri" w:eastAsiaTheme="minorHAnsi" w:hAnsi="Calibri" w:cstheme="minorBidi"/>
                    <w:b/>
                    <w:bCs/>
                    <w:color w:val="666666"/>
                    <w:sz w:val="22"/>
                    <w:szCs w:val="22"/>
                  </w:rPr>
                </w:pPr>
              </w:p>
            </w:tc>
            <w:tc>
              <w:tcPr>
                <w:tcW w:w="1649" w:type="dxa"/>
                <w:tcBorders>
                  <w:top w:val="single" w:sz="8" w:space="0" w:color="D9D9D9" w:themeColor="background1" w:themeShade="D9"/>
                  <w:left w:val="single" w:sz="8" w:space="0" w:color="D9D9D9" w:themeColor="background1" w:themeShade="D9"/>
                  <w:bottom w:val="single" w:sz="4" w:space="0" w:color="BFBFBF" w:themeColor="background1" w:themeShade="BF"/>
                  <w:right w:val="single" w:sz="4" w:space="0" w:color="BFBFBF" w:themeColor="background1" w:themeShade="BF"/>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4F0F3F" w14:paraId="405E7745" w14:textId="77777777">
                  <w:trPr>
                    <w:jc w:val="center"/>
                  </w:trPr>
                  <w:tc>
                    <w:tcPr>
                      <w:tcW w:w="5000" w:type="pct"/>
                      <w:shd w:val="clear" w:color="auto" w:fill="23AE89"/>
                      <w:tcMar>
                        <w:top w:w="20" w:type="dxa"/>
                        <w:left w:w="20" w:type="dxa"/>
                        <w:bottom w:w="20" w:type="dxa"/>
                        <w:right w:w="20" w:type="dxa"/>
                      </w:tcMar>
                      <w:vAlign w:val="center"/>
                      <w:hideMark/>
                    </w:tcPr>
                    <w:p w14:paraId="433E1954" w14:textId="77777777" w:rsidR="004F0F3F" w:rsidRDefault="00880CEC">
                      <w:pPr>
                        <w:widowControl/>
                        <w:autoSpaceDE/>
                        <w:autoSpaceDN/>
                        <w:adjustRightInd/>
                        <w:jc w:val="center"/>
                        <w:rPr>
                          <w:rFonts w:ascii="Calibri" w:eastAsia="Calibri" w:hAnsi="Calibri" w:cs="Calibri"/>
                          <w:color w:val="FFFFFF"/>
                          <w:sz w:val="18"/>
                          <w:szCs w:val="18"/>
                        </w:rPr>
                      </w:pPr>
                      <w:r>
                        <w:rPr>
                          <w:rFonts w:ascii="Calibri" w:eastAsia="Calibri" w:hAnsi="Calibri" w:cs="Calibri"/>
                          <w:color w:val="FFFFFF"/>
                          <w:sz w:val="18"/>
                          <w:szCs w:val="18"/>
                        </w:rPr>
                        <w:t>S</w:t>
                      </w:r>
                    </w:p>
                  </w:tc>
                </w:tr>
              </w:tbl>
              <w:p w14:paraId="03125E0C" w14:textId="77777777" w:rsidR="00F45A9B" w:rsidRPr="00F45A9B" w:rsidRDefault="00F45A9B" w:rsidP="00D400D3">
                <w:pPr>
                  <w:keepNext/>
                  <w:widowControl/>
                  <w:shd w:val="clear" w:color="auto" w:fill="F7F7F7"/>
                  <w:autoSpaceDE/>
                  <w:autoSpaceDN/>
                  <w:adjustRightInd/>
                  <w:spacing w:after="120" w:line="259" w:lineRule="auto"/>
                  <w:ind w:left="159"/>
                  <w:jc w:val="center"/>
                  <w:rPr>
                    <w:rFonts w:ascii="Calibri" w:eastAsiaTheme="minorHAnsi" w:hAnsi="Calibri" w:cstheme="minorBidi"/>
                    <w:b/>
                    <w:bCs/>
                    <w:color w:val="666666"/>
                    <w:sz w:val="22"/>
                    <w:szCs w:val="22"/>
                  </w:rPr>
                </w:pPr>
              </w:p>
            </w:tc>
          </w:tr>
          <w:tr w:rsidR="004F0F3F" w14:paraId="46E53F77" w14:textId="77777777" w:rsidTr="00BE02EB">
            <w:tc>
              <w:tcPr>
                <w:tcW w:w="1771"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322B0843" w14:textId="77777777" w:rsidR="00F45A9B" w:rsidRPr="00F45A9B" w:rsidRDefault="00880CEC" w:rsidP="00D400D3">
                <w:pPr>
                  <w:keepNext/>
                  <w:widowControl/>
                  <w:tabs>
                    <w:tab w:val="left" w:pos="3709"/>
                  </w:tabs>
                  <w:autoSpaceDE/>
                  <w:autoSpaceDN/>
                  <w:adjustRightInd/>
                  <w:spacing w:after="120" w:line="259" w:lineRule="auto"/>
                  <w:rPr>
                    <w:rFonts w:asciiTheme="minorHAnsi" w:eastAsiaTheme="minorHAnsi" w:hAnsiTheme="minorHAnsi" w:cstheme="minorBidi"/>
                    <w:b/>
                    <w:color w:val="172D5F"/>
                    <w:sz w:val="22"/>
                    <w:szCs w:val="22"/>
                  </w:rPr>
                </w:pPr>
                <w:r w:rsidRPr="00F45A9B">
                  <w:rPr>
                    <w:rFonts w:asciiTheme="minorHAnsi" w:eastAsiaTheme="minorHAnsi" w:hAnsiTheme="minorHAnsi" w:cstheme="minorBidi"/>
                    <w:bCs/>
                    <w:noProof/>
                    <w:color w:val="auto"/>
                    <w:sz w:val="22"/>
                    <w:szCs w:val="22"/>
                  </w:rPr>
                  <w:t>E&amp;S Systems</w:t>
                </w:r>
              </w:p>
            </w:tc>
            <w:tc>
              <w:tcPr>
                <w:tcW w:w="1440"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8" w:space="0" w:color="D9D9D9" w:themeColor="background1" w:themeShade="D9"/>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4F0F3F" w14:paraId="76027401" w14:textId="77777777">
                  <w:trPr>
                    <w:jc w:val="center"/>
                  </w:trPr>
                  <w:tc>
                    <w:tcPr>
                      <w:tcW w:w="5000" w:type="pct"/>
                      <w:shd w:val="clear" w:color="auto" w:fill="23AE89"/>
                      <w:tcMar>
                        <w:top w:w="20" w:type="dxa"/>
                        <w:left w:w="20" w:type="dxa"/>
                        <w:bottom w:w="20" w:type="dxa"/>
                        <w:right w:w="20" w:type="dxa"/>
                      </w:tcMar>
                      <w:vAlign w:val="center"/>
                      <w:hideMark/>
                    </w:tcPr>
                    <w:p w14:paraId="37E8B8B3" w14:textId="77777777" w:rsidR="004F0F3F" w:rsidRDefault="00880CEC">
                      <w:pPr>
                        <w:widowControl/>
                        <w:autoSpaceDE/>
                        <w:autoSpaceDN/>
                        <w:adjustRightInd/>
                        <w:jc w:val="center"/>
                        <w:rPr>
                          <w:rFonts w:ascii="Calibri" w:eastAsia="Calibri" w:hAnsi="Calibri" w:cs="Calibri"/>
                          <w:color w:val="FFFFFF"/>
                          <w:sz w:val="18"/>
                          <w:szCs w:val="18"/>
                        </w:rPr>
                      </w:pPr>
                      <w:r>
                        <w:rPr>
                          <w:rFonts w:ascii="Calibri" w:eastAsia="Calibri" w:hAnsi="Calibri" w:cs="Calibri"/>
                          <w:color w:val="FFFFFF"/>
                          <w:sz w:val="18"/>
                          <w:szCs w:val="18"/>
                        </w:rPr>
                        <w:t>S</w:t>
                      </w:r>
                    </w:p>
                  </w:tc>
                </w:tr>
              </w:tbl>
              <w:p w14:paraId="5729476B" w14:textId="77777777" w:rsidR="00F45A9B" w:rsidRPr="00F45A9B" w:rsidRDefault="00F45A9B" w:rsidP="00D400D3">
                <w:pPr>
                  <w:keepNext/>
                  <w:widowControl/>
                  <w:shd w:val="clear" w:color="auto" w:fill="F7F7F7"/>
                  <w:autoSpaceDE/>
                  <w:autoSpaceDN/>
                  <w:adjustRightInd/>
                  <w:spacing w:after="120" w:line="259" w:lineRule="auto"/>
                  <w:jc w:val="center"/>
                  <w:rPr>
                    <w:rFonts w:ascii="Calibri" w:eastAsiaTheme="minorHAnsi" w:hAnsi="Calibri" w:cstheme="minorBidi"/>
                    <w:b/>
                    <w:bCs/>
                    <w:color w:val="666666"/>
                    <w:sz w:val="22"/>
                    <w:szCs w:val="22"/>
                  </w:rPr>
                </w:pPr>
              </w:p>
            </w:tc>
            <w:tc>
              <w:tcPr>
                <w:tcW w:w="1440"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8" w:space="0" w:color="D9D9D9" w:themeColor="background1" w:themeShade="D9"/>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4F0F3F" w14:paraId="20F1A630" w14:textId="77777777">
                  <w:trPr>
                    <w:jc w:val="center"/>
                  </w:trPr>
                  <w:tc>
                    <w:tcPr>
                      <w:tcW w:w="5000" w:type="pct"/>
                      <w:shd w:val="clear" w:color="auto" w:fill="23AE89"/>
                      <w:tcMar>
                        <w:top w:w="20" w:type="dxa"/>
                        <w:left w:w="20" w:type="dxa"/>
                        <w:bottom w:w="20" w:type="dxa"/>
                        <w:right w:w="20" w:type="dxa"/>
                      </w:tcMar>
                      <w:vAlign w:val="center"/>
                      <w:hideMark/>
                    </w:tcPr>
                    <w:p w14:paraId="65A5B3DA" w14:textId="77777777" w:rsidR="004F0F3F" w:rsidRDefault="00880CEC">
                      <w:pPr>
                        <w:widowControl/>
                        <w:autoSpaceDE/>
                        <w:autoSpaceDN/>
                        <w:adjustRightInd/>
                        <w:jc w:val="center"/>
                        <w:rPr>
                          <w:rFonts w:ascii="Calibri" w:eastAsia="Calibri" w:hAnsi="Calibri" w:cs="Calibri"/>
                          <w:color w:val="FFFFFF"/>
                          <w:sz w:val="18"/>
                          <w:szCs w:val="18"/>
                        </w:rPr>
                      </w:pPr>
                      <w:r>
                        <w:rPr>
                          <w:rFonts w:ascii="Calibri" w:eastAsia="Calibri" w:hAnsi="Calibri" w:cs="Calibri"/>
                          <w:color w:val="FFFFFF"/>
                          <w:sz w:val="18"/>
                          <w:szCs w:val="18"/>
                        </w:rPr>
                        <w:t>S</w:t>
                      </w:r>
                    </w:p>
                  </w:tc>
                </w:tr>
              </w:tbl>
              <w:p w14:paraId="718139CE" w14:textId="77777777" w:rsidR="00F45A9B" w:rsidRPr="00F45A9B" w:rsidRDefault="00F45A9B" w:rsidP="00D400D3">
                <w:pPr>
                  <w:keepNext/>
                  <w:widowControl/>
                  <w:shd w:val="clear" w:color="auto" w:fill="F7F7F7"/>
                  <w:autoSpaceDE/>
                  <w:autoSpaceDN/>
                  <w:adjustRightInd/>
                  <w:spacing w:after="120" w:line="259" w:lineRule="auto"/>
                  <w:jc w:val="center"/>
                  <w:rPr>
                    <w:rFonts w:ascii="Calibri" w:eastAsiaTheme="minorHAnsi" w:hAnsi="Calibri" w:cstheme="minorBidi"/>
                    <w:b/>
                    <w:bCs/>
                    <w:color w:val="666666"/>
                    <w:sz w:val="22"/>
                    <w:szCs w:val="22"/>
                  </w:rPr>
                </w:pPr>
              </w:p>
            </w:tc>
            <w:tc>
              <w:tcPr>
                <w:tcW w:w="1649" w:type="dxa"/>
                <w:tcBorders>
                  <w:top w:val="single" w:sz="8" w:space="0" w:color="D9D9D9" w:themeColor="background1" w:themeShade="D9"/>
                  <w:left w:val="single" w:sz="8" w:space="0" w:color="D9D9D9" w:themeColor="background1" w:themeShade="D9"/>
                  <w:bottom w:val="single" w:sz="4" w:space="0" w:color="BFBFBF" w:themeColor="background1" w:themeShade="BF"/>
                  <w:right w:val="single" w:sz="4" w:space="0" w:color="BFBFBF" w:themeColor="background1" w:themeShade="BF"/>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4F0F3F" w14:paraId="06C056B2" w14:textId="77777777">
                  <w:trPr>
                    <w:jc w:val="center"/>
                  </w:trPr>
                  <w:tc>
                    <w:tcPr>
                      <w:tcW w:w="5000" w:type="pct"/>
                      <w:shd w:val="clear" w:color="auto" w:fill="23AE89"/>
                      <w:tcMar>
                        <w:top w:w="20" w:type="dxa"/>
                        <w:left w:w="20" w:type="dxa"/>
                        <w:bottom w:w="20" w:type="dxa"/>
                        <w:right w:w="20" w:type="dxa"/>
                      </w:tcMar>
                      <w:vAlign w:val="center"/>
                      <w:hideMark/>
                    </w:tcPr>
                    <w:p w14:paraId="059380C9" w14:textId="77777777" w:rsidR="004F0F3F" w:rsidRDefault="00880CEC">
                      <w:pPr>
                        <w:widowControl/>
                        <w:autoSpaceDE/>
                        <w:autoSpaceDN/>
                        <w:adjustRightInd/>
                        <w:jc w:val="center"/>
                        <w:rPr>
                          <w:rFonts w:ascii="Calibri" w:eastAsia="Calibri" w:hAnsi="Calibri" w:cs="Calibri"/>
                          <w:color w:val="FFFFFF"/>
                          <w:sz w:val="18"/>
                          <w:szCs w:val="18"/>
                        </w:rPr>
                      </w:pPr>
                      <w:r>
                        <w:rPr>
                          <w:rFonts w:ascii="Calibri" w:eastAsia="Calibri" w:hAnsi="Calibri" w:cs="Calibri"/>
                          <w:color w:val="FFFFFF"/>
                          <w:sz w:val="18"/>
                          <w:szCs w:val="18"/>
                        </w:rPr>
                        <w:t>S</w:t>
                      </w:r>
                    </w:p>
                  </w:tc>
                </w:tr>
              </w:tbl>
              <w:p w14:paraId="1BCA9C92" w14:textId="77777777" w:rsidR="00F45A9B" w:rsidRPr="00F45A9B" w:rsidRDefault="00F45A9B" w:rsidP="00D400D3">
                <w:pPr>
                  <w:keepNext/>
                  <w:widowControl/>
                  <w:shd w:val="clear" w:color="auto" w:fill="F7F7F7"/>
                  <w:autoSpaceDE/>
                  <w:autoSpaceDN/>
                  <w:adjustRightInd/>
                  <w:spacing w:after="120" w:line="259" w:lineRule="auto"/>
                  <w:ind w:left="159"/>
                  <w:jc w:val="center"/>
                  <w:rPr>
                    <w:rFonts w:ascii="Calibri" w:eastAsiaTheme="minorHAnsi" w:hAnsi="Calibri" w:cstheme="minorBidi"/>
                    <w:b/>
                    <w:bCs/>
                    <w:color w:val="666666"/>
                    <w:sz w:val="22"/>
                    <w:szCs w:val="22"/>
                  </w:rPr>
                </w:pPr>
              </w:p>
            </w:tc>
          </w:tr>
          <w:tr w:rsidR="004F0F3F" w14:paraId="36CA561D" w14:textId="77777777" w:rsidTr="00BE02EB">
            <w:tc>
              <w:tcPr>
                <w:tcW w:w="1771"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63C09B6F" w14:textId="77777777" w:rsidR="00F45A9B" w:rsidRPr="00F45A9B" w:rsidRDefault="00880CEC" w:rsidP="00D400D3">
                <w:pPr>
                  <w:keepNext/>
                  <w:widowControl/>
                  <w:tabs>
                    <w:tab w:val="left" w:pos="3709"/>
                  </w:tabs>
                  <w:autoSpaceDE/>
                  <w:autoSpaceDN/>
                  <w:adjustRightInd/>
                  <w:spacing w:after="120" w:line="259" w:lineRule="auto"/>
                  <w:rPr>
                    <w:rFonts w:asciiTheme="minorHAnsi" w:eastAsiaTheme="minorHAnsi" w:hAnsiTheme="minorHAnsi" w:cstheme="minorBidi"/>
                    <w:b/>
                    <w:color w:val="172D5F"/>
                    <w:sz w:val="22"/>
                    <w:szCs w:val="22"/>
                  </w:rPr>
                </w:pPr>
                <w:r w:rsidRPr="00F45A9B">
                  <w:rPr>
                    <w:rFonts w:asciiTheme="minorHAnsi" w:eastAsiaTheme="minorHAnsi" w:hAnsiTheme="minorHAnsi" w:cstheme="minorBidi"/>
                    <w:bCs/>
                    <w:noProof/>
                    <w:color w:val="auto"/>
                    <w:sz w:val="22"/>
                    <w:szCs w:val="22"/>
                  </w:rPr>
                  <w:t>Disbursement Linked Indicators (DLI)</w:t>
                </w:r>
              </w:p>
            </w:tc>
            <w:tc>
              <w:tcPr>
                <w:tcW w:w="1440"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8" w:space="0" w:color="D9D9D9" w:themeColor="background1" w:themeShade="D9"/>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4F0F3F" w14:paraId="01AE3B58" w14:textId="77777777">
                  <w:trPr>
                    <w:jc w:val="center"/>
                  </w:trPr>
                  <w:tc>
                    <w:tcPr>
                      <w:tcW w:w="5000" w:type="pct"/>
                      <w:shd w:val="clear" w:color="auto" w:fill="23AE89"/>
                      <w:tcMar>
                        <w:top w:w="20" w:type="dxa"/>
                        <w:left w:w="20" w:type="dxa"/>
                        <w:bottom w:w="20" w:type="dxa"/>
                        <w:right w:w="20" w:type="dxa"/>
                      </w:tcMar>
                      <w:vAlign w:val="center"/>
                      <w:hideMark/>
                    </w:tcPr>
                    <w:p w14:paraId="6F17DE0B" w14:textId="77777777" w:rsidR="004F0F3F" w:rsidRDefault="00880CEC">
                      <w:pPr>
                        <w:widowControl/>
                        <w:autoSpaceDE/>
                        <w:autoSpaceDN/>
                        <w:adjustRightInd/>
                        <w:jc w:val="center"/>
                        <w:rPr>
                          <w:rFonts w:ascii="Calibri" w:eastAsia="Calibri" w:hAnsi="Calibri" w:cs="Calibri"/>
                          <w:color w:val="FFFFFF"/>
                          <w:sz w:val="18"/>
                          <w:szCs w:val="18"/>
                        </w:rPr>
                      </w:pPr>
                      <w:r>
                        <w:rPr>
                          <w:rFonts w:ascii="Calibri" w:eastAsia="Calibri" w:hAnsi="Calibri" w:cs="Calibri"/>
                          <w:color w:val="FFFFFF"/>
                          <w:sz w:val="18"/>
                          <w:szCs w:val="18"/>
                        </w:rPr>
                        <w:t>S</w:t>
                      </w:r>
                    </w:p>
                  </w:tc>
                </w:tr>
              </w:tbl>
              <w:p w14:paraId="14274F73" w14:textId="77777777" w:rsidR="00F45A9B" w:rsidRPr="00F45A9B" w:rsidRDefault="00F45A9B" w:rsidP="00D400D3">
                <w:pPr>
                  <w:keepNext/>
                  <w:widowControl/>
                  <w:shd w:val="clear" w:color="auto" w:fill="F7F7F7"/>
                  <w:autoSpaceDE/>
                  <w:autoSpaceDN/>
                  <w:adjustRightInd/>
                  <w:spacing w:after="120" w:line="259" w:lineRule="auto"/>
                  <w:jc w:val="center"/>
                  <w:rPr>
                    <w:rFonts w:ascii="Calibri" w:eastAsiaTheme="minorHAnsi" w:hAnsi="Calibri" w:cstheme="minorBidi"/>
                    <w:b/>
                    <w:bCs/>
                    <w:color w:val="666666"/>
                    <w:sz w:val="22"/>
                    <w:szCs w:val="22"/>
                  </w:rPr>
                </w:pPr>
              </w:p>
            </w:tc>
            <w:tc>
              <w:tcPr>
                <w:tcW w:w="1440"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8" w:space="0" w:color="D9D9D9" w:themeColor="background1" w:themeShade="D9"/>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4F0F3F" w14:paraId="329FFDC2" w14:textId="77777777">
                  <w:trPr>
                    <w:jc w:val="center"/>
                  </w:trPr>
                  <w:tc>
                    <w:tcPr>
                      <w:tcW w:w="5000" w:type="pct"/>
                      <w:shd w:val="clear" w:color="auto" w:fill="23AE89"/>
                      <w:tcMar>
                        <w:top w:w="20" w:type="dxa"/>
                        <w:left w:w="20" w:type="dxa"/>
                        <w:bottom w:w="20" w:type="dxa"/>
                        <w:right w:w="20" w:type="dxa"/>
                      </w:tcMar>
                      <w:vAlign w:val="center"/>
                      <w:hideMark/>
                    </w:tcPr>
                    <w:p w14:paraId="431FB643" w14:textId="77777777" w:rsidR="004F0F3F" w:rsidRDefault="00880CEC">
                      <w:pPr>
                        <w:widowControl/>
                        <w:autoSpaceDE/>
                        <w:autoSpaceDN/>
                        <w:adjustRightInd/>
                        <w:jc w:val="center"/>
                        <w:rPr>
                          <w:rFonts w:ascii="Calibri" w:eastAsia="Calibri" w:hAnsi="Calibri" w:cs="Calibri"/>
                          <w:color w:val="FFFFFF"/>
                          <w:sz w:val="18"/>
                          <w:szCs w:val="18"/>
                        </w:rPr>
                      </w:pPr>
                      <w:r>
                        <w:rPr>
                          <w:rFonts w:ascii="Calibri" w:eastAsia="Calibri" w:hAnsi="Calibri" w:cs="Calibri"/>
                          <w:color w:val="FFFFFF"/>
                          <w:sz w:val="18"/>
                          <w:szCs w:val="18"/>
                        </w:rPr>
                        <w:t>S</w:t>
                      </w:r>
                    </w:p>
                  </w:tc>
                </w:tr>
              </w:tbl>
              <w:p w14:paraId="3ED6D803" w14:textId="77777777" w:rsidR="00F45A9B" w:rsidRPr="00F45A9B" w:rsidRDefault="00F45A9B" w:rsidP="00D400D3">
                <w:pPr>
                  <w:keepNext/>
                  <w:widowControl/>
                  <w:shd w:val="clear" w:color="auto" w:fill="F7F7F7"/>
                  <w:autoSpaceDE/>
                  <w:autoSpaceDN/>
                  <w:adjustRightInd/>
                  <w:spacing w:after="120" w:line="259" w:lineRule="auto"/>
                  <w:jc w:val="center"/>
                  <w:rPr>
                    <w:rFonts w:ascii="Calibri" w:eastAsiaTheme="minorHAnsi" w:hAnsi="Calibri" w:cstheme="minorBidi"/>
                    <w:b/>
                    <w:bCs/>
                    <w:color w:val="666666"/>
                    <w:sz w:val="22"/>
                    <w:szCs w:val="22"/>
                  </w:rPr>
                </w:pPr>
              </w:p>
            </w:tc>
            <w:tc>
              <w:tcPr>
                <w:tcW w:w="1649" w:type="dxa"/>
                <w:tcBorders>
                  <w:top w:val="single" w:sz="8" w:space="0" w:color="D9D9D9" w:themeColor="background1" w:themeShade="D9"/>
                  <w:left w:val="single" w:sz="8" w:space="0" w:color="D9D9D9" w:themeColor="background1" w:themeShade="D9"/>
                  <w:bottom w:val="single" w:sz="4" w:space="0" w:color="BFBFBF" w:themeColor="background1" w:themeShade="BF"/>
                  <w:right w:val="single" w:sz="4" w:space="0" w:color="BFBFBF" w:themeColor="background1" w:themeShade="BF"/>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4F0F3F" w14:paraId="0654BA8A" w14:textId="77777777">
                  <w:trPr>
                    <w:jc w:val="center"/>
                  </w:trPr>
                  <w:tc>
                    <w:tcPr>
                      <w:tcW w:w="5000" w:type="pct"/>
                      <w:shd w:val="clear" w:color="auto" w:fill="E94B3B"/>
                      <w:tcMar>
                        <w:top w:w="20" w:type="dxa"/>
                        <w:left w:w="20" w:type="dxa"/>
                        <w:bottom w:w="20" w:type="dxa"/>
                        <w:right w:w="20" w:type="dxa"/>
                      </w:tcMar>
                      <w:vAlign w:val="center"/>
                      <w:hideMark/>
                    </w:tcPr>
                    <w:p w14:paraId="5329D171" w14:textId="77777777" w:rsidR="004F0F3F" w:rsidRDefault="00880CEC">
                      <w:pPr>
                        <w:widowControl/>
                        <w:autoSpaceDE/>
                        <w:autoSpaceDN/>
                        <w:adjustRightInd/>
                        <w:jc w:val="center"/>
                        <w:rPr>
                          <w:rFonts w:ascii="Calibri" w:eastAsia="Calibri" w:hAnsi="Calibri" w:cs="Calibri"/>
                          <w:color w:val="FFFFFF"/>
                          <w:sz w:val="18"/>
                          <w:szCs w:val="18"/>
                        </w:rPr>
                      </w:pPr>
                      <w:r>
                        <w:rPr>
                          <w:rFonts w:ascii="Calibri" w:eastAsia="Calibri" w:hAnsi="Calibri" w:cs="Calibri"/>
                          <w:color w:val="FFFFFF"/>
                          <w:sz w:val="18"/>
                          <w:szCs w:val="18"/>
                        </w:rPr>
                        <w:t>MU</w:t>
                      </w:r>
                    </w:p>
                  </w:tc>
                </w:tr>
              </w:tbl>
              <w:p w14:paraId="7B84F57A" w14:textId="77777777" w:rsidR="00F45A9B" w:rsidRPr="00F45A9B" w:rsidRDefault="00F45A9B" w:rsidP="00D400D3">
                <w:pPr>
                  <w:keepNext/>
                  <w:widowControl/>
                  <w:shd w:val="clear" w:color="auto" w:fill="F7F7F7"/>
                  <w:autoSpaceDE/>
                  <w:autoSpaceDN/>
                  <w:adjustRightInd/>
                  <w:spacing w:after="120" w:line="259" w:lineRule="auto"/>
                  <w:ind w:left="159"/>
                  <w:jc w:val="center"/>
                  <w:rPr>
                    <w:rFonts w:ascii="Calibri" w:eastAsiaTheme="minorHAnsi" w:hAnsi="Calibri" w:cstheme="minorBidi"/>
                    <w:b/>
                    <w:bCs/>
                    <w:color w:val="666666"/>
                    <w:sz w:val="22"/>
                    <w:szCs w:val="22"/>
                  </w:rPr>
                </w:pPr>
              </w:p>
            </w:tc>
          </w:tr>
          <w:tr w:rsidR="004F0F3F" w14:paraId="655ABC06" w14:textId="77777777" w:rsidTr="00BE02EB">
            <w:tc>
              <w:tcPr>
                <w:tcW w:w="1771"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0B5655B4" w14:textId="77777777" w:rsidR="00F45A9B" w:rsidRPr="00F45A9B" w:rsidRDefault="00880CEC" w:rsidP="00D400D3">
                <w:pPr>
                  <w:keepNext/>
                  <w:widowControl/>
                  <w:tabs>
                    <w:tab w:val="left" w:pos="3709"/>
                  </w:tabs>
                  <w:autoSpaceDE/>
                  <w:autoSpaceDN/>
                  <w:adjustRightInd/>
                  <w:spacing w:after="120" w:line="259" w:lineRule="auto"/>
                  <w:rPr>
                    <w:rFonts w:asciiTheme="minorHAnsi" w:eastAsiaTheme="minorHAnsi" w:hAnsiTheme="minorHAnsi" w:cstheme="minorBidi"/>
                    <w:b/>
                    <w:color w:val="172D5F"/>
                    <w:sz w:val="22"/>
                    <w:szCs w:val="22"/>
                  </w:rPr>
                </w:pPr>
                <w:r w:rsidRPr="00F45A9B">
                  <w:rPr>
                    <w:rFonts w:asciiTheme="minorHAnsi" w:eastAsiaTheme="minorHAnsi" w:hAnsiTheme="minorHAnsi" w:cstheme="minorBidi"/>
                    <w:bCs/>
                    <w:noProof/>
                    <w:color w:val="auto"/>
                    <w:sz w:val="22"/>
                    <w:szCs w:val="22"/>
                  </w:rPr>
                  <w:t>Monitoring and Evaluation</w:t>
                </w:r>
              </w:p>
            </w:tc>
            <w:tc>
              <w:tcPr>
                <w:tcW w:w="1440"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8" w:space="0" w:color="D9D9D9" w:themeColor="background1" w:themeShade="D9"/>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4F0F3F" w14:paraId="6B5E672C" w14:textId="77777777">
                  <w:trPr>
                    <w:jc w:val="center"/>
                  </w:trPr>
                  <w:tc>
                    <w:tcPr>
                      <w:tcW w:w="5000" w:type="pct"/>
                      <w:shd w:val="clear" w:color="auto" w:fill="23AE89"/>
                      <w:tcMar>
                        <w:top w:w="20" w:type="dxa"/>
                        <w:left w:w="20" w:type="dxa"/>
                        <w:bottom w:w="20" w:type="dxa"/>
                        <w:right w:w="20" w:type="dxa"/>
                      </w:tcMar>
                      <w:vAlign w:val="center"/>
                      <w:hideMark/>
                    </w:tcPr>
                    <w:p w14:paraId="0A229297" w14:textId="77777777" w:rsidR="004F0F3F" w:rsidRDefault="00880CEC">
                      <w:pPr>
                        <w:widowControl/>
                        <w:autoSpaceDE/>
                        <w:autoSpaceDN/>
                        <w:adjustRightInd/>
                        <w:jc w:val="center"/>
                        <w:rPr>
                          <w:rFonts w:ascii="Calibri" w:eastAsia="Calibri" w:hAnsi="Calibri" w:cs="Calibri"/>
                          <w:color w:val="FFFFFF"/>
                          <w:sz w:val="18"/>
                          <w:szCs w:val="18"/>
                        </w:rPr>
                      </w:pPr>
                      <w:r>
                        <w:rPr>
                          <w:rFonts w:ascii="Calibri" w:eastAsia="Calibri" w:hAnsi="Calibri" w:cs="Calibri"/>
                          <w:color w:val="FFFFFF"/>
                          <w:sz w:val="18"/>
                          <w:szCs w:val="18"/>
                        </w:rPr>
                        <w:t>S</w:t>
                      </w:r>
                    </w:p>
                  </w:tc>
                </w:tr>
              </w:tbl>
              <w:p w14:paraId="1FA8E54B" w14:textId="77777777" w:rsidR="00F45A9B" w:rsidRPr="00F45A9B" w:rsidRDefault="00F45A9B" w:rsidP="00D400D3">
                <w:pPr>
                  <w:keepNext/>
                  <w:widowControl/>
                  <w:shd w:val="clear" w:color="auto" w:fill="F7F7F7"/>
                  <w:autoSpaceDE/>
                  <w:autoSpaceDN/>
                  <w:adjustRightInd/>
                  <w:spacing w:after="120" w:line="259" w:lineRule="auto"/>
                  <w:jc w:val="center"/>
                  <w:rPr>
                    <w:rFonts w:ascii="Calibri" w:eastAsiaTheme="minorHAnsi" w:hAnsi="Calibri" w:cstheme="minorBidi"/>
                    <w:b/>
                    <w:bCs/>
                    <w:color w:val="666666"/>
                    <w:sz w:val="22"/>
                    <w:szCs w:val="22"/>
                  </w:rPr>
                </w:pPr>
              </w:p>
            </w:tc>
            <w:tc>
              <w:tcPr>
                <w:tcW w:w="1440"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8" w:space="0" w:color="D9D9D9" w:themeColor="background1" w:themeShade="D9"/>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4F0F3F" w14:paraId="69F3732F" w14:textId="77777777">
                  <w:trPr>
                    <w:jc w:val="center"/>
                  </w:trPr>
                  <w:tc>
                    <w:tcPr>
                      <w:tcW w:w="5000" w:type="pct"/>
                      <w:shd w:val="clear" w:color="auto" w:fill="23AE89"/>
                      <w:tcMar>
                        <w:top w:w="20" w:type="dxa"/>
                        <w:left w:w="20" w:type="dxa"/>
                        <w:bottom w:w="20" w:type="dxa"/>
                        <w:right w:w="20" w:type="dxa"/>
                      </w:tcMar>
                      <w:vAlign w:val="center"/>
                      <w:hideMark/>
                    </w:tcPr>
                    <w:p w14:paraId="2D712DB6" w14:textId="77777777" w:rsidR="004F0F3F" w:rsidRDefault="00880CEC">
                      <w:pPr>
                        <w:widowControl/>
                        <w:autoSpaceDE/>
                        <w:autoSpaceDN/>
                        <w:adjustRightInd/>
                        <w:jc w:val="center"/>
                        <w:rPr>
                          <w:rFonts w:ascii="Calibri" w:eastAsia="Calibri" w:hAnsi="Calibri" w:cs="Calibri"/>
                          <w:color w:val="FFFFFF"/>
                          <w:sz w:val="18"/>
                          <w:szCs w:val="18"/>
                        </w:rPr>
                      </w:pPr>
                      <w:r>
                        <w:rPr>
                          <w:rFonts w:ascii="Calibri" w:eastAsia="Calibri" w:hAnsi="Calibri" w:cs="Calibri"/>
                          <w:color w:val="FFFFFF"/>
                          <w:sz w:val="18"/>
                          <w:szCs w:val="18"/>
                        </w:rPr>
                        <w:t>S</w:t>
                      </w:r>
                    </w:p>
                  </w:tc>
                </w:tr>
              </w:tbl>
              <w:p w14:paraId="3B96CAA2" w14:textId="77777777" w:rsidR="00F45A9B" w:rsidRPr="00F45A9B" w:rsidRDefault="00F45A9B" w:rsidP="00D400D3">
                <w:pPr>
                  <w:keepNext/>
                  <w:widowControl/>
                  <w:shd w:val="clear" w:color="auto" w:fill="F7F7F7"/>
                  <w:autoSpaceDE/>
                  <w:autoSpaceDN/>
                  <w:adjustRightInd/>
                  <w:spacing w:after="120" w:line="259" w:lineRule="auto"/>
                  <w:jc w:val="center"/>
                  <w:rPr>
                    <w:rFonts w:ascii="Calibri" w:eastAsiaTheme="minorHAnsi" w:hAnsi="Calibri" w:cstheme="minorBidi"/>
                    <w:b/>
                    <w:bCs/>
                    <w:color w:val="666666"/>
                    <w:sz w:val="22"/>
                    <w:szCs w:val="22"/>
                  </w:rPr>
                </w:pPr>
              </w:p>
            </w:tc>
            <w:tc>
              <w:tcPr>
                <w:tcW w:w="1649" w:type="dxa"/>
                <w:tcBorders>
                  <w:top w:val="single" w:sz="8" w:space="0" w:color="D9D9D9" w:themeColor="background1" w:themeShade="D9"/>
                  <w:left w:val="single" w:sz="8" w:space="0" w:color="D9D9D9" w:themeColor="background1" w:themeShade="D9"/>
                  <w:bottom w:val="single" w:sz="4" w:space="0" w:color="BFBFBF" w:themeColor="background1" w:themeShade="BF"/>
                  <w:right w:val="single" w:sz="4" w:space="0" w:color="BFBFBF" w:themeColor="background1" w:themeShade="BF"/>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4F0F3F" w14:paraId="4E68E0C6" w14:textId="77777777">
                  <w:trPr>
                    <w:jc w:val="center"/>
                  </w:trPr>
                  <w:tc>
                    <w:tcPr>
                      <w:tcW w:w="5000" w:type="pct"/>
                      <w:shd w:val="clear" w:color="auto" w:fill="23AE89"/>
                      <w:tcMar>
                        <w:top w:w="20" w:type="dxa"/>
                        <w:left w:w="20" w:type="dxa"/>
                        <w:bottom w:w="20" w:type="dxa"/>
                        <w:right w:w="20" w:type="dxa"/>
                      </w:tcMar>
                      <w:vAlign w:val="center"/>
                      <w:hideMark/>
                    </w:tcPr>
                    <w:p w14:paraId="22E88CA8" w14:textId="77777777" w:rsidR="004F0F3F" w:rsidRDefault="00880CEC">
                      <w:pPr>
                        <w:widowControl/>
                        <w:autoSpaceDE/>
                        <w:autoSpaceDN/>
                        <w:adjustRightInd/>
                        <w:jc w:val="center"/>
                        <w:rPr>
                          <w:rFonts w:ascii="Calibri" w:eastAsia="Calibri" w:hAnsi="Calibri" w:cs="Calibri"/>
                          <w:color w:val="FFFFFF"/>
                          <w:sz w:val="18"/>
                          <w:szCs w:val="18"/>
                        </w:rPr>
                      </w:pPr>
                      <w:r>
                        <w:rPr>
                          <w:rFonts w:ascii="Calibri" w:eastAsia="Calibri" w:hAnsi="Calibri" w:cs="Calibri"/>
                          <w:color w:val="FFFFFF"/>
                          <w:sz w:val="18"/>
                          <w:szCs w:val="18"/>
                        </w:rPr>
                        <w:t>S</w:t>
                      </w:r>
                    </w:p>
                  </w:tc>
                </w:tr>
              </w:tbl>
              <w:p w14:paraId="2883DA4E" w14:textId="77777777" w:rsidR="00F45A9B" w:rsidRPr="00F45A9B" w:rsidRDefault="00F45A9B" w:rsidP="00D400D3">
                <w:pPr>
                  <w:keepNext/>
                  <w:widowControl/>
                  <w:shd w:val="clear" w:color="auto" w:fill="F7F7F7"/>
                  <w:autoSpaceDE/>
                  <w:autoSpaceDN/>
                  <w:adjustRightInd/>
                  <w:spacing w:after="120" w:line="259" w:lineRule="auto"/>
                  <w:ind w:left="159"/>
                  <w:jc w:val="center"/>
                  <w:rPr>
                    <w:rFonts w:ascii="Calibri" w:eastAsiaTheme="minorHAnsi" w:hAnsi="Calibri" w:cstheme="minorBidi"/>
                    <w:b/>
                    <w:bCs/>
                    <w:color w:val="666666"/>
                    <w:sz w:val="22"/>
                    <w:szCs w:val="22"/>
                  </w:rPr>
                </w:pPr>
              </w:p>
            </w:tc>
          </w:tr>
        </w:tbl>
        <w:p w14:paraId="64EC1C47" w14:textId="77777777" w:rsidR="00F45A9B" w:rsidRPr="00F45A9B" w:rsidRDefault="00F45A9B" w:rsidP="00F45A9B">
          <w:pPr>
            <w:widowControl/>
            <w:shd w:val="clear" w:color="auto" w:fill="F7F7F7"/>
            <w:autoSpaceDE/>
            <w:autoSpaceDN/>
            <w:adjustRightInd/>
            <w:spacing w:line="14" w:lineRule="exact"/>
            <w:ind w:left="29" w:right="29"/>
            <w:rPr>
              <w:rFonts w:asciiTheme="minorHAnsi" w:eastAsiaTheme="minorHAnsi" w:hAnsiTheme="minorHAnsi" w:cstheme="minorBidi"/>
              <w:color w:val="auto"/>
              <w:sz w:val="22"/>
              <w:szCs w:val="22"/>
            </w:rPr>
          </w:pPr>
        </w:p>
        <w:p w14:paraId="5105B16C" w14:textId="77777777" w:rsidR="00AC1642" w:rsidRDefault="00AC1642" w:rsidP="00C40572">
          <w:pPr>
            <w:shd w:val="clear" w:color="auto" w:fill="F7F7F7"/>
            <w:ind w:left="-691" w:right="-518"/>
            <w:rPr>
              <w:rFonts w:asciiTheme="minorHAnsi" w:hAnsiTheme="minorHAnsi"/>
              <w:color w:val="767171" w:themeColor="background2" w:themeShade="80"/>
              <w:sz w:val="22"/>
              <w:szCs w:val="22"/>
            </w:rPr>
          </w:pPr>
        </w:p>
        <w:p w14:paraId="62747012" w14:textId="77777777" w:rsidR="00F45A9B" w:rsidRDefault="00F45A9B" w:rsidP="00C40572">
          <w:pPr>
            <w:shd w:val="clear" w:color="auto" w:fill="F7F7F7"/>
            <w:ind w:left="-691" w:right="-518"/>
            <w:rPr>
              <w:rFonts w:asciiTheme="minorHAnsi" w:hAnsiTheme="minorHAnsi"/>
              <w:color w:val="767171" w:themeColor="background2" w:themeShade="80"/>
              <w:sz w:val="22"/>
              <w:szCs w:val="22"/>
            </w:rPr>
          </w:pPr>
        </w:p>
        <w:tbl>
          <w:tblPr>
            <w:tblStyle w:val="TableGrid"/>
            <w:tblW w:w="10620" w:type="dxa"/>
            <w:tblInd w:w="-720" w:type="dxa"/>
            <w:shd w:val="clear" w:color="auto" w:fill="F7F7F7"/>
            <w:tblLook w:val="04A0" w:firstRow="1" w:lastRow="0" w:firstColumn="1" w:lastColumn="0" w:noHBand="0" w:noVBand="1"/>
          </w:tblPr>
          <w:tblGrid>
            <w:gridCol w:w="10620"/>
          </w:tblGrid>
          <w:tr w:rsidR="004F0F3F" w14:paraId="1756B0DB" w14:textId="77777777" w:rsidTr="000B56AD">
            <w:trPr>
              <w:trHeight w:val="378"/>
            </w:trPr>
            <w:tc>
              <w:tcPr>
                <w:tcW w:w="10620" w:type="dxa"/>
                <w:tcBorders>
                  <w:top w:val="nil"/>
                  <w:left w:val="single" w:sz="24" w:space="0" w:color="BFBFBF" w:themeColor="background1" w:themeShade="BF"/>
                  <w:bottom w:val="nil"/>
                  <w:right w:val="nil"/>
                </w:tcBorders>
                <w:shd w:val="clear" w:color="auto" w:fill="F2F2F2" w:themeFill="background1" w:themeFillShade="F2"/>
                <w:vAlign w:val="center"/>
                <w:hideMark/>
              </w:tcPr>
              <w:p w14:paraId="27FC5BB3" w14:textId="77777777" w:rsidR="00213AEA" w:rsidRPr="00656279" w:rsidRDefault="00880CEC" w:rsidP="00CB0F29">
                <w:pPr>
                  <w:rPr>
                    <w:rFonts w:eastAsia="Times New Roman"/>
                  </w:rPr>
                </w:pPr>
                <w:r w:rsidRPr="007D4E7E">
                  <w:rPr>
                    <w:rFonts w:asciiTheme="minorHAnsi" w:eastAsia="Times New Roman" w:hAnsiTheme="minorHAnsi"/>
                    <w:b/>
                    <w:bCs/>
                    <w:sz w:val="22"/>
                    <w:szCs w:val="22"/>
                  </w:rPr>
                  <w:t>BASIC INFORMATION</w:t>
                </w:r>
                <w:r w:rsidR="00AA2EA5">
                  <w:rPr>
                    <w:rFonts w:asciiTheme="minorHAnsi" w:eastAsia="Times New Roman" w:hAnsiTheme="minorHAnsi"/>
                    <w:b/>
                    <w:bCs/>
                    <w:sz w:val="22"/>
                    <w:szCs w:val="22"/>
                  </w:rPr>
                  <w:t xml:space="preserve"> – ADDITIONAL FINANCING (</w:t>
                </w:r>
                <w:r w:rsidR="00CB0F29">
                  <w:rPr>
                    <w:rFonts w:asciiTheme="minorHAnsi" w:hAnsiTheme="minorHAnsi"/>
                    <w:b/>
                    <w:bCs/>
                    <w:noProof/>
                    <w:sz w:val="22"/>
                    <w:szCs w:val="22"/>
                  </w:rPr>
                  <w:t>Additional Financing to Power Utility Financial Recovery Project</w:t>
                </w:r>
                <w:r w:rsidR="00AA2EA5" w:rsidRPr="00AA2EA5">
                  <w:rPr>
                    <w:rFonts w:asciiTheme="minorHAnsi" w:hAnsiTheme="minorHAnsi"/>
                    <w:b/>
                    <w:bCs/>
                    <w:noProof/>
                    <w:sz w:val="22"/>
                    <w:szCs w:val="22"/>
                  </w:rPr>
                  <w:t xml:space="preserve"> - </w:t>
                </w:r>
                <w:r w:rsidR="00CB0F29">
                  <w:rPr>
                    <w:rFonts w:asciiTheme="minorHAnsi" w:hAnsiTheme="minorHAnsi"/>
                    <w:b/>
                    <w:bCs/>
                    <w:noProof/>
                    <w:sz w:val="22"/>
                    <w:szCs w:val="22"/>
                  </w:rPr>
                  <w:t>P177563</w:t>
                </w:r>
                <w:r w:rsidR="00AA2EA5">
                  <w:rPr>
                    <w:rFonts w:asciiTheme="minorHAnsi" w:eastAsia="Times New Roman" w:hAnsiTheme="minorHAnsi"/>
                    <w:b/>
                    <w:bCs/>
                    <w:sz w:val="22"/>
                    <w:szCs w:val="22"/>
                  </w:rPr>
                  <w:t>)</w:t>
                </w:r>
              </w:p>
            </w:tc>
          </w:tr>
        </w:tbl>
        <w:p w14:paraId="73CB7854" w14:textId="77777777" w:rsidR="00213AEA" w:rsidRDefault="00213AEA" w:rsidP="00A5771B">
          <w:pPr>
            <w:shd w:val="clear" w:color="auto" w:fill="F7F7F7"/>
            <w:spacing w:line="14" w:lineRule="exact"/>
            <w:ind w:left="-691" w:right="-518"/>
            <w:rPr>
              <w:rFonts w:asciiTheme="minorHAnsi" w:hAnsiTheme="minorHAnsi"/>
              <w:color w:val="767171" w:themeColor="background2" w:themeShade="80"/>
              <w:sz w:val="22"/>
              <w:szCs w:val="22"/>
            </w:rPr>
          </w:pPr>
        </w:p>
        <w:tbl>
          <w:tblPr>
            <w:tblStyle w:val="TableGrid"/>
            <w:tblW w:w="10650" w:type="dxa"/>
            <w:tblInd w:w="-750" w:type="dxa"/>
            <w:tblBorders>
              <w:top w:val="none" w:sz="0" w:space="0" w:color="auto"/>
              <w:left w:val="none" w:sz="0" w:space="0" w:color="auto"/>
              <w:bottom w:val="single" w:sz="4" w:space="0" w:color="D9D9D9" w:themeColor="background1" w:themeShade="D9"/>
              <w:right w:val="single" w:sz="4" w:space="0" w:color="D9D9D9" w:themeColor="background1" w:themeShade="D9"/>
              <w:insideH w:val="none" w:sz="0" w:space="0" w:color="auto"/>
              <w:insideV w:val="single" w:sz="4" w:space="0" w:color="D9D9D9" w:themeColor="background1" w:themeShade="D9"/>
            </w:tblBorders>
            <w:shd w:val="clear" w:color="auto" w:fill="F7F7F7"/>
            <w:tblLayout w:type="fixed"/>
            <w:tblCellMar>
              <w:top w:w="29" w:type="dxa"/>
              <w:left w:w="144" w:type="dxa"/>
              <w:bottom w:w="72" w:type="dxa"/>
              <w:right w:w="0" w:type="dxa"/>
            </w:tblCellMar>
            <w:tblLook w:val="04A0" w:firstRow="1" w:lastRow="0" w:firstColumn="1" w:lastColumn="0" w:noHBand="0" w:noVBand="1"/>
          </w:tblPr>
          <w:tblGrid>
            <w:gridCol w:w="2460"/>
            <w:gridCol w:w="15"/>
            <w:gridCol w:w="2595"/>
            <w:gridCol w:w="2700"/>
            <w:gridCol w:w="2880"/>
          </w:tblGrid>
          <w:tr w:rsidR="004F0F3F" w14:paraId="68CC4947" w14:textId="77777777" w:rsidTr="00345057">
            <w:trPr>
              <w:trHeight w:val="41"/>
            </w:trPr>
            <w:tc>
              <w:tcPr>
                <w:tcW w:w="10650" w:type="dxa"/>
                <w:gridSpan w:val="5"/>
                <w:tcBorders>
                  <w:top w:val="nil"/>
                  <w:bottom w:val="single" w:sz="4" w:space="0" w:color="D9D9D9" w:themeColor="background1" w:themeShade="D9"/>
                  <w:right w:val="nil"/>
                </w:tcBorders>
                <w:shd w:val="clear" w:color="auto" w:fill="F7F7F7"/>
                <w:vAlign w:val="center"/>
              </w:tcPr>
              <w:p w14:paraId="5FD42640" w14:textId="77777777" w:rsidR="00C616A1" w:rsidRPr="00216791" w:rsidRDefault="00880CEC" w:rsidP="00345057">
                <w:pPr>
                  <w:shd w:val="clear" w:color="auto" w:fill="F7F7F7"/>
                  <w:rPr>
                    <w:rFonts w:asciiTheme="minorHAnsi" w:hAnsiTheme="minorHAnsi"/>
                    <w:color w:val="767171"/>
                    <w:sz w:val="22"/>
                    <w:szCs w:val="22"/>
                  </w:rPr>
                </w:pPr>
                <w:r w:rsidRPr="00CC0E43">
                  <w:rPr>
                    <w:rFonts w:asciiTheme="minorHAnsi" w:hAnsiTheme="minorHAnsi"/>
                    <w:color w:val="F7F7F7"/>
                    <w:sz w:val="22"/>
                    <w:szCs w:val="22"/>
                  </w:rPr>
                  <w:t>ADDFIN_TABLE</w:t>
                </w:r>
              </w:p>
            </w:tc>
          </w:tr>
          <w:tr w:rsidR="004F0F3F" w14:paraId="78488A07" w14:textId="77777777" w:rsidTr="003F1DD8">
            <w:trPr>
              <w:trHeight w:val="302"/>
            </w:trPr>
            <w:tc>
              <w:tcPr>
                <w:tcW w:w="2475" w:type="dxa"/>
                <w:gridSpan w:val="2"/>
                <w:tcBorders>
                  <w:top w:val="single" w:sz="4" w:space="0" w:color="D9D9D9" w:themeColor="background1" w:themeShade="D9"/>
                </w:tcBorders>
                <w:shd w:val="clear" w:color="auto" w:fill="F7F7F7"/>
                <w:vAlign w:val="center"/>
              </w:tcPr>
              <w:p w14:paraId="00241571" w14:textId="77777777" w:rsidR="004F1442" w:rsidRPr="00216791" w:rsidRDefault="00880CEC" w:rsidP="00345057">
                <w:pPr>
                  <w:shd w:val="clear" w:color="auto" w:fill="F7F7F7"/>
                  <w:rPr>
                    <w:rFonts w:asciiTheme="minorHAnsi" w:hAnsiTheme="minorHAnsi"/>
                    <w:sz w:val="22"/>
                    <w:szCs w:val="22"/>
                  </w:rPr>
                </w:pPr>
                <w:r w:rsidRPr="00216791">
                  <w:rPr>
                    <w:rFonts w:asciiTheme="minorHAnsi" w:hAnsiTheme="minorHAnsi"/>
                    <w:color w:val="767171"/>
                    <w:sz w:val="22"/>
                    <w:szCs w:val="22"/>
                  </w:rPr>
                  <w:t>Project ID</w:t>
                </w:r>
              </w:p>
            </w:tc>
            <w:tc>
              <w:tcPr>
                <w:tcW w:w="2595" w:type="dxa"/>
                <w:tcBorders>
                  <w:top w:val="single" w:sz="4" w:space="0" w:color="D9D9D9" w:themeColor="background1" w:themeShade="D9"/>
                </w:tcBorders>
                <w:shd w:val="clear" w:color="auto" w:fill="F7F7F7"/>
                <w:vAlign w:val="center"/>
              </w:tcPr>
              <w:p w14:paraId="03575211" w14:textId="77777777" w:rsidR="004F1442" w:rsidRPr="00216791" w:rsidRDefault="00880CEC" w:rsidP="00345057">
                <w:pPr>
                  <w:shd w:val="clear" w:color="auto" w:fill="F7F7F7"/>
                  <w:rPr>
                    <w:rFonts w:asciiTheme="minorHAnsi" w:hAnsiTheme="minorHAnsi"/>
                    <w:sz w:val="22"/>
                    <w:szCs w:val="22"/>
                  </w:rPr>
                </w:pPr>
                <w:r w:rsidRPr="00216791">
                  <w:rPr>
                    <w:rFonts w:asciiTheme="minorHAnsi" w:hAnsiTheme="minorHAnsi"/>
                    <w:color w:val="767171"/>
                    <w:sz w:val="22"/>
                    <w:szCs w:val="22"/>
                  </w:rPr>
                  <w:t>Project Name</w:t>
                </w:r>
              </w:p>
            </w:tc>
            <w:tc>
              <w:tcPr>
                <w:tcW w:w="5580" w:type="dxa"/>
                <w:gridSpan w:val="2"/>
                <w:tcBorders>
                  <w:top w:val="single" w:sz="4" w:space="0" w:color="D9D9D9" w:themeColor="background1" w:themeShade="D9"/>
                  <w:bottom w:val="nil"/>
                  <w:right w:val="nil"/>
                </w:tcBorders>
                <w:shd w:val="clear" w:color="auto" w:fill="F7F7F7"/>
                <w:vAlign w:val="center"/>
              </w:tcPr>
              <w:p w14:paraId="47F40AA0" w14:textId="77777777" w:rsidR="004F1442" w:rsidRPr="00216791" w:rsidRDefault="00880CEC" w:rsidP="00345057">
                <w:pPr>
                  <w:shd w:val="clear" w:color="auto" w:fill="F7F7F7"/>
                  <w:ind w:right="180"/>
                  <w:rPr>
                    <w:rFonts w:asciiTheme="minorHAnsi" w:hAnsiTheme="minorHAnsi"/>
                    <w:sz w:val="22"/>
                    <w:szCs w:val="22"/>
                  </w:rPr>
                </w:pPr>
                <w:r w:rsidRPr="00216791">
                  <w:rPr>
                    <w:rFonts w:asciiTheme="minorHAnsi" w:hAnsiTheme="minorHAnsi"/>
                    <w:color w:val="767171"/>
                    <w:sz w:val="22"/>
                    <w:szCs w:val="22"/>
                  </w:rPr>
                  <w:t>Additional Financing Type</w:t>
                </w:r>
              </w:p>
            </w:tc>
          </w:tr>
          <w:tr w:rsidR="004F0F3F" w14:paraId="21051760" w14:textId="77777777" w:rsidTr="003F1DD8">
            <w:trPr>
              <w:trHeight w:val="331"/>
            </w:trPr>
            <w:tc>
              <w:tcPr>
                <w:tcW w:w="2475" w:type="dxa"/>
                <w:gridSpan w:val="2"/>
                <w:tcBorders>
                  <w:bottom w:val="single" w:sz="4" w:space="0" w:color="D9D9D9" w:themeColor="background1" w:themeShade="D9"/>
                </w:tcBorders>
                <w:shd w:val="clear" w:color="auto" w:fill="F7F7F7"/>
                <w:vAlign w:val="center"/>
              </w:tcPr>
              <w:p w14:paraId="11E429CE" w14:textId="77777777" w:rsidR="004F1442" w:rsidRPr="00216791" w:rsidRDefault="00880CEC" w:rsidP="00345057">
                <w:pPr>
                  <w:rPr>
                    <w:rFonts w:asciiTheme="minorHAnsi" w:hAnsiTheme="minorHAnsi"/>
                    <w:sz w:val="22"/>
                    <w:szCs w:val="22"/>
                  </w:rPr>
                </w:pPr>
                <w:r>
                  <w:rPr>
                    <w:rFonts w:asciiTheme="minorHAnsi" w:hAnsiTheme="minorHAnsi"/>
                    <w:bCs/>
                    <w:noProof/>
                    <w:sz w:val="22"/>
                    <w:szCs w:val="22"/>
                  </w:rPr>
                  <w:t>P177563</w:t>
                </w:r>
              </w:p>
            </w:tc>
            <w:tc>
              <w:tcPr>
                <w:tcW w:w="2595" w:type="dxa"/>
                <w:tcBorders>
                  <w:bottom w:val="single" w:sz="4" w:space="0" w:color="D9D9D9" w:themeColor="background1" w:themeShade="D9"/>
                </w:tcBorders>
                <w:shd w:val="clear" w:color="auto" w:fill="F7F7F7"/>
                <w:vAlign w:val="center"/>
              </w:tcPr>
              <w:p w14:paraId="79246FAA" w14:textId="77777777" w:rsidR="004F1442" w:rsidRPr="00216791" w:rsidRDefault="00880CEC" w:rsidP="00345057">
                <w:pPr>
                  <w:rPr>
                    <w:rFonts w:asciiTheme="minorHAnsi" w:hAnsiTheme="minorHAnsi"/>
                    <w:sz w:val="22"/>
                    <w:szCs w:val="22"/>
                  </w:rPr>
                </w:pPr>
                <w:r>
                  <w:rPr>
                    <w:rFonts w:asciiTheme="minorHAnsi" w:hAnsiTheme="minorHAnsi"/>
                    <w:bCs/>
                    <w:noProof/>
                    <w:sz w:val="22"/>
                    <w:szCs w:val="22"/>
                  </w:rPr>
                  <w:t>Additional Financing to Power Utility Financial Recovery Project</w:t>
                </w:r>
              </w:p>
            </w:tc>
            <w:tc>
              <w:tcPr>
                <w:tcW w:w="5580" w:type="dxa"/>
                <w:gridSpan w:val="2"/>
                <w:tcBorders>
                  <w:top w:val="nil"/>
                  <w:bottom w:val="single" w:sz="4" w:space="0" w:color="D9D9D9" w:themeColor="background1" w:themeShade="D9"/>
                  <w:right w:val="nil"/>
                </w:tcBorders>
                <w:shd w:val="clear" w:color="auto" w:fill="F7F7F7"/>
                <w:vAlign w:val="center"/>
              </w:tcPr>
              <w:p w14:paraId="05DCD6EE" w14:textId="77777777" w:rsidR="004F1442" w:rsidRDefault="004F1442" w:rsidP="00345057">
                <w:pPr>
                  <w:rPr>
                    <w:rFonts w:asciiTheme="minorHAnsi" w:hAnsiTheme="minorHAnsi"/>
                    <w:bCs/>
                    <w:noProof/>
                    <w:sz w:val="22"/>
                    <w:szCs w:val="22"/>
                  </w:rPr>
                </w:pPr>
              </w:p>
              <w:p w14:paraId="042E19D8" w14:textId="77777777" w:rsidR="004F1442" w:rsidRPr="00216791" w:rsidRDefault="00880CEC" w:rsidP="00345057">
                <w:pPr>
                  <w:rPr>
                    <w:rFonts w:asciiTheme="minorHAnsi" w:hAnsiTheme="minorHAnsi"/>
                    <w:sz w:val="22"/>
                    <w:szCs w:val="22"/>
                  </w:rPr>
                </w:pPr>
                <w:r w:rsidRPr="00216791">
                  <w:rPr>
                    <w:rFonts w:asciiTheme="minorHAnsi" w:hAnsiTheme="minorHAnsi"/>
                    <w:bCs/>
                    <w:noProof/>
                    <w:sz w:val="22"/>
                    <w:szCs w:val="22"/>
                  </w:rPr>
                  <w:t>Restructuring, Scale Up</w:t>
                </w:r>
              </w:p>
              <w:p w14:paraId="77A21B7A" w14:textId="77777777" w:rsidR="004F1442" w:rsidRPr="00216791" w:rsidRDefault="00880CEC" w:rsidP="00345057">
                <w:pPr>
                  <w:ind w:right="180"/>
                  <w:rPr>
                    <w:rFonts w:asciiTheme="minorHAnsi" w:hAnsiTheme="minorHAnsi"/>
                    <w:sz w:val="22"/>
                    <w:szCs w:val="22"/>
                  </w:rPr>
                </w:pPr>
                <w:r w:rsidRPr="00216791">
                  <w:rPr>
                    <w:rFonts w:asciiTheme="minorHAnsi" w:hAnsiTheme="minorHAnsi"/>
                    <w:sz w:val="22"/>
                    <w:szCs w:val="22"/>
                  </w:rPr>
                  <w:t xml:space="preserve"> </w:t>
                </w:r>
              </w:p>
            </w:tc>
          </w:tr>
          <w:tr w:rsidR="004F0F3F" w14:paraId="5B49F6ED" w14:textId="77777777" w:rsidTr="00345057">
            <w:trPr>
              <w:trHeight w:val="331"/>
            </w:trPr>
            <w:tc>
              <w:tcPr>
                <w:tcW w:w="2475" w:type="dxa"/>
                <w:gridSpan w:val="2"/>
                <w:tcBorders>
                  <w:top w:val="single" w:sz="4" w:space="0" w:color="D9D9D9" w:themeColor="background1" w:themeShade="D9"/>
                  <w:left w:val="nil"/>
                  <w:bottom w:val="nil"/>
                </w:tcBorders>
                <w:shd w:val="clear" w:color="auto" w:fill="F7F7F7"/>
                <w:vAlign w:val="center"/>
              </w:tcPr>
              <w:p w14:paraId="5B5E81AF" w14:textId="77777777" w:rsidR="00D55C27" w:rsidRPr="00216791" w:rsidRDefault="00880CEC" w:rsidP="00345057">
                <w:pPr>
                  <w:shd w:val="clear" w:color="auto" w:fill="F7F7F7"/>
                  <w:rPr>
                    <w:rFonts w:asciiTheme="minorHAnsi" w:hAnsiTheme="minorHAnsi"/>
                    <w:sz w:val="22"/>
                    <w:szCs w:val="22"/>
                  </w:rPr>
                </w:pPr>
                <w:r>
                  <w:rPr>
                    <w:rFonts w:asciiTheme="minorHAnsi" w:hAnsiTheme="minorHAnsi"/>
                    <w:color w:val="767171"/>
                    <w:sz w:val="22"/>
                    <w:szCs w:val="22"/>
                  </w:rPr>
                  <w:t>Financing</w:t>
                </w:r>
                <w:r w:rsidRPr="00216791">
                  <w:rPr>
                    <w:rFonts w:asciiTheme="minorHAnsi" w:hAnsiTheme="minorHAnsi"/>
                    <w:color w:val="767171"/>
                    <w:sz w:val="22"/>
                    <w:szCs w:val="22"/>
                  </w:rPr>
                  <w:t xml:space="preserve"> instrument</w:t>
                </w:r>
              </w:p>
            </w:tc>
            <w:tc>
              <w:tcPr>
                <w:tcW w:w="2595" w:type="dxa"/>
                <w:tcBorders>
                  <w:top w:val="single" w:sz="4" w:space="0" w:color="D9D9D9" w:themeColor="background1" w:themeShade="D9"/>
                  <w:left w:val="nil"/>
                  <w:bottom w:val="nil"/>
                </w:tcBorders>
                <w:shd w:val="clear" w:color="auto" w:fill="F7F7F7"/>
                <w:vAlign w:val="center"/>
              </w:tcPr>
              <w:p w14:paraId="53A1FF2C" w14:textId="77777777" w:rsidR="00D55C27" w:rsidRPr="00216791" w:rsidRDefault="00880CEC" w:rsidP="00345057">
                <w:pPr>
                  <w:shd w:val="clear" w:color="auto" w:fill="F7F7F7"/>
                  <w:rPr>
                    <w:rFonts w:asciiTheme="minorHAnsi" w:hAnsiTheme="minorHAnsi"/>
                    <w:sz w:val="22"/>
                    <w:szCs w:val="22"/>
                  </w:rPr>
                </w:pPr>
                <w:r w:rsidRPr="00216791">
                  <w:rPr>
                    <w:rFonts w:asciiTheme="minorHAnsi" w:hAnsiTheme="minorHAnsi"/>
                    <w:color w:val="767171"/>
                    <w:sz w:val="22"/>
                    <w:szCs w:val="22"/>
                  </w:rPr>
                  <w:t>Product line</w:t>
                </w:r>
              </w:p>
            </w:tc>
            <w:tc>
              <w:tcPr>
                <w:tcW w:w="2700" w:type="dxa"/>
                <w:tcBorders>
                  <w:top w:val="single" w:sz="4" w:space="0" w:color="D9D9D9" w:themeColor="background1" w:themeShade="D9"/>
                  <w:bottom w:val="nil"/>
                  <w:right w:val="nil"/>
                </w:tcBorders>
                <w:shd w:val="clear" w:color="auto" w:fill="F7F7F7"/>
                <w:vAlign w:val="center"/>
              </w:tcPr>
              <w:p w14:paraId="08C72AB5" w14:textId="77777777" w:rsidR="00D55C27" w:rsidRPr="00216791" w:rsidRDefault="00880CEC" w:rsidP="00345057">
                <w:pPr>
                  <w:shd w:val="clear" w:color="auto" w:fill="F7F7F7"/>
                  <w:ind w:right="180"/>
                  <w:rPr>
                    <w:rFonts w:asciiTheme="minorHAnsi" w:hAnsiTheme="minorHAnsi"/>
                    <w:sz w:val="22"/>
                    <w:szCs w:val="22"/>
                  </w:rPr>
                </w:pPr>
                <w:r w:rsidRPr="00216791">
                  <w:rPr>
                    <w:rFonts w:asciiTheme="minorHAnsi" w:hAnsiTheme="minorHAnsi"/>
                    <w:color w:val="767171"/>
                    <w:sz w:val="22"/>
                    <w:szCs w:val="22"/>
                  </w:rPr>
                  <w:t>Approval Date</w:t>
                </w:r>
              </w:p>
            </w:tc>
            <w:tc>
              <w:tcPr>
                <w:tcW w:w="2880" w:type="dxa"/>
                <w:tcBorders>
                  <w:top w:val="single" w:sz="4" w:space="0" w:color="D9D9D9" w:themeColor="background1" w:themeShade="D9"/>
                  <w:bottom w:val="nil"/>
                  <w:right w:val="nil"/>
                </w:tcBorders>
                <w:shd w:val="clear" w:color="auto" w:fill="F7F7F7"/>
                <w:vAlign w:val="center"/>
              </w:tcPr>
              <w:p w14:paraId="5BBE0E8F" w14:textId="77777777" w:rsidR="006B7875" w:rsidRPr="00E52493" w:rsidRDefault="00880CEC" w:rsidP="00345057">
                <w:pPr>
                  <w:shd w:val="clear" w:color="auto" w:fill="F7F7F7"/>
                  <w:ind w:right="180"/>
                  <w:rPr>
                    <w:rFonts w:asciiTheme="minorHAnsi" w:hAnsiTheme="minorHAnsi"/>
                    <w:color w:val="767171"/>
                    <w:sz w:val="22"/>
                    <w:szCs w:val="22"/>
                  </w:rPr>
                </w:pPr>
                <w:r w:rsidRPr="00364DFB">
                  <w:rPr>
                    <w:rFonts w:asciiTheme="minorHAnsi" w:hAnsiTheme="minorHAnsi"/>
                    <w:color w:val="767171"/>
                    <w:sz w:val="22"/>
                    <w:szCs w:val="22"/>
                  </w:rPr>
                  <w:t>Will there be additional financing for the IPF component?</w:t>
                </w:r>
              </w:p>
              <w:p w14:paraId="2541759E" w14:textId="77777777" w:rsidR="00D55C27" w:rsidRPr="00D55C27" w:rsidRDefault="00D55C27" w:rsidP="00345057">
                <w:pPr>
                  <w:shd w:val="clear" w:color="auto" w:fill="F7F7F7"/>
                  <w:ind w:right="180"/>
                  <w:rPr>
                    <w:rFonts w:asciiTheme="minorHAnsi" w:hAnsiTheme="minorHAnsi"/>
                    <w:color w:val="767171"/>
                    <w:sz w:val="22"/>
                    <w:szCs w:val="22"/>
                  </w:rPr>
                </w:pPr>
              </w:p>
            </w:tc>
          </w:tr>
          <w:tr w:rsidR="004F0F3F" w14:paraId="01220FEB" w14:textId="77777777" w:rsidTr="00345057">
            <w:trPr>
              <w:trHeight w:val="331"/>
            </w:trPr>
            <w:tc>
              <w:tcPr>
                <w:tcW w:w="2475" w:type="dxa"/>
                <w:gridSpan w:val="2"/>
                <w:tcBorders>
                  <w:top w:val="nil"/>
                  <w:left w:val="nil"/>
                  <w:bottom w:val="single" w:sz="8" w:space="0" w:color="D9D9D9" w:themeColor="background1" w:themeShade="D9"/>
                </w:tcBorders>
                <w:shd w:val="clear" w:color="auto" w:fill="F7F7F7"/>
                <w:vAlign w:val="center"/>
              </w:tcPr>
              <w:p w14:paraId="3F92DBB5" w14:textId="77777777" w:rsidR="00D55C27" w:rsidRPr="00216791" w:rsidRDefault="00880CEC" w:rsidP="00345057">
                <w:pPr>
                  <w:rPr>
                    <w:rFonts w:asciiTheme="minorHAnsi" w:hAnsiTheme="minorHAnsi"/>
                    <w:noProof/>
                    <w:sz w:val="22"/>
                    <w:szCs w:val="22"/>
                  </w:rPr>
                </w:pPr>
                <w:r>
                  <w:rPr>
                    <w:rFonts w:asciiTheme="minorHAnsi" w:hAnsiTheme="minorHAnsi"/>
                    <w:bCs/>
                    <w:noProof/>
                    <w:sz w:val="22"/>
                    <w:szCs w:val="22"/>
                  </w:rPr>
                  <w:t>Program-for-Results Financing</w:t>
                </w:r>
              </w:p>
            </w:tc>
            <w:tc>
              <w:tcPr>
                <w:tcW w:w="2595" w:type="dxa"/>
                <w:tcBorders>
                  <w:top w:val="nil"/>
                  <w:left w:val="nil"/>
                  <w:bottom w:val="single" w:sz="8" w:space="0" w:color="D9D9D9" w:themeColor="background1" w:themeShade="D9"/>
                </w:tcBorders>
                <w:shd w:val="clear" w:color="auto" w:fill="F7F7F7"/>
                <w:vAlign w:val="center"/>
              </w:tcPr>
              <w:p w14:paraId="00038108" w14:textId="77777777" w:rsidR="00D55C27" w:rsidRPr="00216791" w:rsidRDefault="00880CEC" w:rsidP="00345057">
                <w:pPr>
                  <w:rPr>
                    <w:rFonts w:asciiTheme="minorHAnsi" w:hAnsiTheme="minorHAnsi"/>
                    <w:noProof/>
                    <w:sz w:val="22"/>
                    <w:szCs w:val="22"/>
                  </w:rPr>
                </w:pPr>
                <w:r>
                  <w:rPr>
                    <w:rFonts w:asciiTheme="minorHAnsi" w:hAnsiTheme="minorHAnsi"/>
                    <w:bCs/>
                    <w:noProof/>
                    <w:sz w:val="22"/>
                    <w:szCs w:val="22"/>
                  </w:rPr>
                  <w:t>IBRD/IDA</w:t>
                </w:r>
              </w:p>
            </w:tc>
            <w:tc>
              <w:tcPr>
                <w:tcW w:w="2700" w:type="dxa"/>
                <w:tcBorders>
                  <w:top w:val="nil"/>
                  <w:bottom w:val="single" w:sz="8" w:space="0" w:color="D9D9D9" w:themeColor="background1" w:themeShade="D9"/>
                  <w:right w:val="nil"/>
                </w:tcBorders>
                <w:shd w:val="clear" w:color="auto" w:fill="F7F7F7"/>
                <w:vAlign w:val="center"/>
              </w:tcPr>
              <w:p w14:paraId="2179ADF4" w14:textId="77777777" w:rsidR="00D55C27" w:rsidRPr="00216791" w:rsidRDefault="00880CEC" w:rsidP="00345057">
                <w:pPr>
                  <w:rPr>
                    <w:rFonts w:asciiTheme="minorHAnsi" w:hAnsiTheme="minorHAnsi"/>
                    <w:sz w:val="22"/>
                    <w:szCs w:val="22"/>
                  </w:rPr>
                </w:pPr>
                <w:r w:rsidRPr="00216791">
                  <w:rPr>
                    <w:rFonts w:asciiTheme="minorHAnsi" w:hAnsiTheme="minorHAnsi"/>
                    <w:noProof/>
                    <w:sz w:val="22"/>
                    <w:szCs w:val="22"/>
                  </w:rPr>
                  <w:t>22-Jun-2022</w:t>
                </w:r>
              </w:p>
            </w:tc>
            <w:tc>
              <w:tcPr>
                <w:tcW w:w="2880" w:type="dxa"/>
                <w:tcBorders>
                  <w:top w:val="nil"/>
                  <w:bottom w:val="single" w:sz="8" w:space="0" w:color="D9D9D9" w:themeColor="background1" w:themeShade="D9"/>
                  <w:right w:val="nil"/>
                </w:tcBorders>
                <w:shd w:val="clear" w:color="auto" w:fill="F7F7F7"/>
                <w:vAlign w:val="center"/>
              </w:tcPr>
              <w:p w14:paraId="54133D43" w14:textId="77777777" w:rsidR="00D55C27" w:rsidRPr="00216791" w:rsidRDefault="00880CEC" w:rsidP="00345057">
                <w:pPr>
                  <w:ind w:right="180"/>
                  <w:rPr>
                    <w:rFonts w:asciiTheme="minorHAnsi" w:hAnsiTheme="minorHAnsi"/>
                    <w:sz w:val="22"/>
                    <w:szCs w:val="22"/>
                  </w:rPr>
                </w:pPr>
                <w:r>
                  <w:rPr>
                    <w:rFonts w:asciiTheme="minorHAnsi" w:hAnsiTheme="minorHAnsi"/>
                    <w:noProof/>
                    <w:sz w:val="22"/>
                    <w:szCs w:val="22"/>
                  </w:rPr>
                  <w:t>No</w:t>
                </w:r>
              </w:p>
            </w:tc>
          </w:tr>
          <w:tr w:rsidR="004F0F3F" w14:paraId="7F305C3A" w14:textId="77777777" w:rsidTr="00345057">
            <w:trPr>
              <w:trHeight w:val="331"/>
            </w:trPr>
            <w:tc>
              <w:tcPr>
                <w:tcW w:w="2460" w:type="dxa"/>
                <w:tcBorders>
                  <w:top w:val="single" w:sz="8" w:space="0" w:color="D9D9D9" w:themeColor="background1" w:themeShade="D9"/>
                  <w:left w:val="nil"/>
                  <w:bottom w:val="nil"/>
                </w:tcBorders>
                <w:shd w:val="clear" w:color="auto" w:fill="F7F7F7"/>
                <w:vAlign w:val="center"/>
              </w:tcPr>
              <w:p w14:paraId="12C95AA1" w14:textId="77777777" w:rsidR="00273200" w:rsidRPr="00216791" w:rsidRDefault="00880CEC" w:rsidP="00345057">
                <w:pPr>
                  <w:rPr>
                    <w:rFonts w:asciiTheme="minorHAnsi" w:hAnsiTheme="minorHAnsi"/>
                    <w:sz w:val="22"/>
                    <w:szCs w:val="22"/>
                  </w:rPr>
                </w:pPr>
                <w:r>
                  <w:rPr>
                    <w:rFonts w:asciiTheme="minorHAnsi" w:hAnsiTheme="minorHAnsi"/>
                    <w:color w:val="767171"/>
                    <w:sz w:val="22"/>
                    <w:szCs w:val="22"/>
                  </w:rPr>
                  <w:t>Projected Date of Full Disbursement</w:t>
                </w:r>
              </w:p>
            </w:tc>
            <w:tc>
              <w:tcPr>
                <w:tcW w:w="2610" w:type="dxa"/>
                <w:gridSpan w:val="2"/>
                <w:tcBorders>
                  <w:top w:val="single" w:sz="8" w:space="0" w:color="D9D9D9" w:themeColor="background1" w:themeShade="D9"/>
                  <w:bottom w:val="nil"/>
                  <w:right w:val="nil"/>
                </w:tcBorders>
                <w:shd w:val="clear" w:color="auto" w:fill="F7F7F7"/>
                <w:vAlign w:val="center"/>
              </w:tcPr>
              <w:p w14:paraId="51A68511" w14:textId="77777777" w:rsidR="00273200" w:rsidRPr="00216791" w:rsidRDefault="00880CEC" w:rsidP="00345057">
                <w:pPr>
                  <w:rPr>
                    <w:rFonts w:asciiTheme="minorHAnsi" w:hAnsiTheme="minorHAnsi"/>
                    <w:sz w:val="22"/>
                    <w:szCs w:val="22"/>
                  </w:rPr>
                </w:pPr>
                <w:r w:rsidRPr="00216791">
                  <w:rPr>
                    <w:rFonts w:asciiTheme="minorHAnsi" w:hAnsiTheme="minorHAnsi"/>
                    <w:color w:val="767171"/>
                    <w:sz w:val="22"/>
                    <w:szCs w:val="22"/>
                  </w:rPr>
                  <w:t xml:space="preserve">Bank/IFC Collaboration  </w:t>
                </w:r>
              </w:p>
            </w:tc>
            <w:tc>
              <w:tcPr>
                <w:tcW w:w="5580" w:type="dxa"/>
                <w:gridSpan w:val="2"/>
                <w:tcBorders>
                  <w:top w:val="single" w:sz="8" w:space="0" w:color="D9D9D9" w:themeColor="background1" w:themeShade="D9"/>
                  <w:bottom w:val="nil"/>
                  <w:right w:val="nil"/>
                </w:tcBorders>
                <w:shd w:val="clear" w:color="auto" w:fill="F7F7F7"/>
                <w:vAlign w:val="center"/>
              </w:tcPr>
              <w:p w14:paraId="7C4BB374" w14:textId="77777777" w:rsidR="004F0F3F" w:rsidRDefault="004F0F3F"/>
            </w:tc>
          </w:tr>
          <w:tr w:rsidR="004F0F3F" w14:paraId="6E92C7BA" w14:textId="77777777" w:rsidTr="00345057">
            <w:trPr>
              <w:trHeight w:val="331"/>
            </w:trPr>
            <w:tc>
              <w:tcPr>
                <w:tcW w:w="2460" w:type="dxa"/>
                <w:tcBorders>
                  <w:top w:val="nil"/>
                  <w:left w:val="nil"/>
                  <w:bottom w:val="single" w:sz="8" w:space="0" w:color="D9D9D9" w:themeColor="background1" w:themeShade="D9"/>
                </w:tcBorders>
                <w:shd w:val="clear" w:color="auto" w:fill="F7F7F7"/>
                <w:vAlign w:val="center"/>
              </w:tcPr>
              <w:p w14:paraId="7D4F1D45" w14:textId="77777777" w:rsidR="00273200" w:rsidRPr="00216791" w:rsidRDefault="00880CEC" w:rsidP="00345057">
                <w:pPr>
                  <w:rPr>
                    <w:rFonts w:asciiTheme="minorHAnsi" w:hAnsiTheme="minorHAnsi"/>
                    <w:sz w:val="22"/>
                    <w:szCs w:val="22"/>
                  </w:rPr>
                </w:pPr>
                <w:r>
                  <w:rPr>
                    <w:rFonts w:asciiTheme="minorHAnsi" w:hAnsiTheme="minorHAnsi"/>
                    <w:noProof/>
                    <w:sz w:val="22"/>
                    <w:szCs w:val="22"/>
                  </w:rPr>
                  <w:t>30-Jul-2032</w:t>
                </w:r>
              </w:p>
            </w:tc>
            <w:tc>
              <w:tcPr>
                <w:tcW w:w="2610" w:type="dxa"/>
                <w:gridSpan w:val="2"/>
                <w:tcBorders>
                  <w:top w:val="nil"/>
                  <w:bottom w:val="single" w:sz="8" w:space="0" w:color="D9D9D9" w:themeColor="background1" w:themeShade="D9"/>
                  <w:right w:val="nil"/>
                </w:tcBorders>
                <w:shd w:val="clear" w:color="auto" w:fill="F7F7F7"/>
                <w:vAlign w:val="center"/>
              </w:tcPr>
              <w:p w14:paraId="5F22D82D" w14:textId="77777777" w:rsidR="00273200" w:rsidRPr="00216791" w:rsidRDefault="00880CEC" w:rsidP="00345057">
                <w:pPr>
                  <w:rPr>
                    <w:rFonts w:asciiTheme="minorHAnsi" w:hAnsiTheme="minorHAnsi"/>
                    <w:sz w:val="22"/>
                    <w:szCs w:val="22"/>
                  </w:rPr>
                </w:pPr>
                <w:r>
                  <w:rPr>
                    <w:rFonts w:asciiTheme="minorHAnsi" w:hAnsiTheme="minorHAnsi"/>
                    <w:bCs/>
                    <w:noProof/>
                    <w:sz w:val="22"/>
                    <w:szCs w:val="22"/>
                  </w:rPr>
                  <w:t>No</w:t>
                </w:r>
              </w:p>
            </w:tc>
            <w:tc>
              <w:tcPr>
                <w:tcW w:w="5580" w:type="dxa"/>
                <w:gridSpan w:val="2"/>
                <w:tcBorders>
                  <w:top w:val="nil"/>
                  <w:bottom w:val="single" w:sz="8" w:space="0" w:color="D9D9D9" w:themeColor="background1" w:themeShade="D9"/>
                  <w:right w:val="nil"/>
                </w:tcBorders>
                <w:shd w:val="clear" w:color="auto" w:fill="F7F7F7"/>
                <w:vAlign w:val="center"/>
              </w:tcPr>
              <w:p w14:paraId="56CC16C8" w14:textId="77777777" w:rsidR="004F0F3F" w:rsidRDefault="004F0F3F"/>
            </w:tc>
          </w:tr>
          <w:tr w:rsidR="004F0F3F" w14:paraId="2E9A9E75" w14:textId="77777777" w:rsidTr="00345057">
            <w:trPr>
              <w:trHeight w:val="331"/>
            </w:trPr>
            <w:tc>
              <w:tcPr>
                <w:tcW w:w="10650" w:type="dxa"/>
                <w:gridSpan w:val="5"/>
                <w:tcBorders>
                  <w:top w:val="single" w:sz="8" w:space="0" w:color="D9D9D9" w:themeColor="background1" w:themeShade="D9"/>
                  <w:left w:val="nil"/>
                  <w:bottom w:val="nil"/>
                  <w:right w:val="nil"/>
                </w:tcBorders>
                <w:shd w:val="clear" w:color="auto" w:fill="F7F7F7"/>
                <w:vAlign w:val="center"/>
              </w:tcPr>
              <w:p w14:paraId="100518F1" w14:textId="77777777" w:rsidR="00273200" w:rsidRPr="00216791" w:rsidRDefault="00880CEC" w:rsidP="00345057">
                <w:pPr>
                  <w:shd w:val="clear" w:color="auto" w:fill="F7F7F7"/>
                  <w:rPr>
                    <w:rFonts w:asciiTheme="minorHAnsi" w:hAnsiTheme="minorHAnsi"/>
                    <w:noProof/>
                    <w:sz w:val="22"/>
                    <w:szCs w:val="22"/>
                  </w:rPr>
                </w:pPr>
                <w:r w:rsidRPr="00216791">
                  <w:rPr>
                    <w:rFonts w:asciiTheme="minorHAnsi" w:hAnsiTheme="minorHAnsi"/>
                    <w:color w:val="767171"/>
                    <w:sz w:val="22"/>
                    <w:szCs w:val="22"/>
                  </w:rPr>
                  <w:t>Is this a regionally tagged project?</w:t>
                </w:r>
              </w:p>
            </w:tc>
          </w:tr>
          <w:tr w:rsidR="004F0F3F" w14:paraId="16379B1A" w14:textId="77777777" w:rsidTr="00345057">
            <w:trPr>
              <w:trHeight w:val="331"/>
            </w:trPr>
            <w:tc>
              <w:tcPr>
                <w:tcW w:w="10650" w:type="dxa"/>
                <w:gridSpan w:val="5"/>
                <w:tcBorders>
                  <w:top w:val="nil"/>
                  <w:left w:val="nil"/>
                  <w:bottom w:val="single" w:sz="8" w:space="0" w:color="D9D9D9" w:themeColor="background1" w:themeShade="D9"/>
                  <w:right w:val="nil"/>
                </w:tcBorders>
                <w:shd w:val="clear" w:color="auto" w:fill="F7F7F7"/>
                <w:vAlign w:val="center"/>
              </w:tcPr>
              <w:p w14:paraId="7CBDBE39" w14:textId="77777777" w:rsidR="00273200" w:rsidRPr="00216791" w:rsidRDefault="00880CEC" w:rsidP="00345057">
                <w:pPr>
                  <w:rPr>
                    <w:rFonts w:asciiTheme="minorHAnsi" w:hAnsiTheme="minorHAnsi"/>
                    <w:noProof/>
                    <w:sz w:val="22"/>
                    <w:szCs w:val="22"/>
                  </w:rPr>
                </w:pPr>
                <w:r>
                  <w:rPr>
                    <w:rFonts w:asciiTheme="minorHAnsi" w:hAnsiTheme="minorHAnsi"/>
                    <w:bCs/>
                    <w:noProof/>
                    <w:sz w:val="22"/>
                    <w:szCs w:val="22"/>
                  </w:rPr>
                  <w:t>No</w:t>
                </w:r>
              </w:p>
            </w:tc>
          </w:tr>
        </w:tbl>
        <w:p w14:paraId="6E45FACD" w14:textId="77777777" w:rsidR="007C3F3F" w:rsidRDefault="007C3F3F" w:rsidP="00C40572">
          <w:pPr>
            <w:shd w:val="clear" w:color="auto" w:fill="F7F7F7"/>
            <w:ind w:left="-691" w:right="-518"/>
            <w:rPr>
              <w:rFonts w:asciiTheme="minorHAnsi" w:hAnsiTheme="minorHAnsi"/>
              <w:color w:val="767171" w:themeColor="background2" w:themeShade="80"/>
              <w:sz w:val="22"/>
              <w:szCs w:val="22"/>
            </w:rPr>
          </w:pPr>
        </w:p>
        <w:p w14:paraId="0DB379D2" w14:textId="77777777" w:rsidR="00213AEA" w:rsidRDefault="00880CEC" w:rsidP="002F7571">
          <w:pPr>
            <w:shd w:val="clear" w:color="auto" w:fill="F7F7F7"/>
            <w:ind w:left="-691" w:right="-518"/>
            <w:rPr>
              <w:rFonts w:asciiTheme="minorHAnsi" w:hAnsiTheme="minorHAnsi"/>
              <w:color w:val="767171" w:themeColor="background2" w:themeShade="80"/>
              <w:sz w:val="22"/>
              <w:szCs w:val="22"/>
            </w:rPr>
          </w:pPr>
          <w:r>
            <w:rPr>
              <w:rFonts w:asciiTheme="minorHAnsi" w:hAnsiTheme="minorHAnsi"/>
              <w:color w:val="767171" w:themeColor="background2" w:themeShade="80"/>
              <w:sz w:val="22"/>
              <w:szCs w:val="22"/>
            </w:rPr>
            <w:t xml:space="preserve"> </w:t>
          </w:r>
          <w:r w:rsidRPr="00213AEA">
            <w:rPr>
              <w:rFonts w:asciiTheme="minorHAnsi" w:hAnsiTheme="minorHAnsi"/>
              <w:b/>
              <w:color w:val="172D5F"/>
              <w:sz w:val="22"/>
              <w:szCs w:val="22"/>
            </w:rPr>
            <w:t>Disbursement Summary (from Parent ISR)</w:t>
          </w:r>
        </w:p>
        <w:p w14:paraId="39551DC5" w14:textId="77777777" w:rsidR="00213AEA" w:rsidRDefault="00213AEA" w:rsidP="00C40572">
          <w:pPr>
            <w:shd w:val="clear" w:color="auto" w:fill="F7F7F7"/>
            <w:ind w:left="-691" w:right="-518"/>
            <w:rPr>
              <w:rFonts w:asciiTheme="minorHAnsi" w:hAnsiTheme="minorHAnsi"/>
              <w:color w:val="767171" w:themeColor="background2" w:themeShade="80"/>
              <w:sz w:val="22"/>
              <w:szCs w:val="22"/>
            </w:rPr>
          </w:pPr>
        </w:p>
        <w:tbl>
          <w:tblPr>
            <w:tblStyle w:val="TableGrid"/>
            <w:tblW w:w="10581" w:type="dxa"/>
            <w:tblInd w:w="-691"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shd w:val="clear" w:color="auto" w:fill="F7F7F7"/>
            <w:tblLayout w:type="fixed"/>
            <w:tblLook w:val="04A0" w:firstRow="1" w:lastRow="0" w:firstColumn="1" w:lastColumn="0" w:noHBand="0" w:noVBand="1"/>
          </w:tblPr>
          <w:tblGrid>
            <w:gridCol w:w="1851"/>
            <w:gridCol w:w="2070"/>
            <w:gridCol w:w="1710"/>
            <w:gridCol w:w="2070"/>
            <w:gridCol w:w="1080"/>
            <w:gridCol w:w="1800"/>
          </w:tblGrid>
          <w:tr w:rsidR="004F0F3F" w14:paraId="6A587535" w14:textId="77777777" w:rsidTr="004E69D9">
            <w:tc>
              <w:tcPr>
                <w:tcW w:w="1851" w:type="dxa"/>
                <w:shd w:val="clear" w:color="auto" w:fill="F7F7F7"/>
                <w:vAlign w:val="center"/>
              </w:tcPr>
              <w:p w14:paraId="1163D60D" w14:textId="77777777" w:rsidR="00213AEA" w:rsidRPr="00AC565B" w:rsidRDefault="00880CEC" w:rsidP="00EB0D4F">
                <w:pPr>
                  <w:keepNext/>
                  <w:widowControl/>
                  <w:shd w:val="clear" w:color="auto" w:fill="F3F3F1"/>
                  <w:tabs>
                    <w:tab w:val="left" w:pos="-1080"/>
                    <w:tab w:val="left" w:pos="10440"/>
                  </w:tabs>
                  <w:autoSpaceDE/>
                  <w:autoSpaceDN/>
                  <w:adjustRightInd/>
                  <w:spacing w:after="160" w:line="259" w:lineRule="auto"/>
                  <w:rPr>
                    <w:rFonts w:ascii="Calibri" w:eastAsia="Calibri" w:hAnsi="Calibri"/>
                    <w:color w:val="404040"/>
                    <w:sz w:val="22"/>
                    <w:szCs w:val="22"/>
                  </w:rPr>
                </w:pPr>
                <w:r w:rsidRPr="005E5F4A">
                  <w:rPr>
                    <w:rFonts w:ascii="Calibri" w:eastAsia="Calibri" w:hAnsi="Calibri"/>
                    <w:color w:val="404040"/>
                    <w:sz w:val="22"/>
                    <w:szCs w:val="22"/>
                  </w:rPr>
                  <w:lastRenderedPageBreak/>
                  <w:t>Source of</w:t>
                </w:r>
                <w:r w:rsidR="00EB0D4F">
                  <w:rPr>
                    <w:rFonts w:ascii="Calibri" w:eastAsia="Calibri" w:hAnsi="Calibri"/>
                    <w:color w:val="404040"/>
                    <w:sz w:val="22"/>
                    <w:szCs w:val="22"/>
                  </w:rPr>
                  <w:t xml:space="preserve"> </w:t>
                </w:r>
                <w:r w:rsidRPr="005E5F4A">
                  <w:rPr>
                    <w:rFonts w:ascii="Calibri" w:eastAsia="Calibri" w:hAnsi="Calibri"/>
                    <w:color w:val="404040"/>
                    <w:sz w:val="22"/>
                    <w:szCs w:val="22"/>
                  </w:rPr>
                  <w:t>Funds</w:t>
                </w:r>
              </w:p>
            </w:tc>
            <w:tc>
              <w:tcPr>
                <w:tcW w:w="2070" w:type="dxa"/>
                <w:shd w:val="clear" w:color="auto" w:fill="F7F7F7"/>
                <w:vAlign w:val="center"/>
              </w:tcPr>
              <w:p w14:paraId="3E176F23" w14:textId="77777777" w:rsidR="00213AEA" w:rsidRPr="00AC565B" w:rsidRDefault="00880CEC" w:rsidP="00AC565B">
                <w:pPr>
                  <w:keepNext/>
                  <w:widowControl/>
                  <w:shd w:val="clear" w:color="auto" w:fill="F3F3F1"/>
                  <w:tabs>
                    <w:tab w:val="left" w:pos="-1080"/>
                    <w:tab w:val="left" w:pos="10440"/>
                  </w:tabs>
                  <w:autoSpaceDE/>
                  <w:autoSpaceDN/>
                  <w:adjustRightInd/>
                  <w:spacing w:after="160" w:line="259" w:lineRule="auto"/>
                  <w:jc w:val="right"/>
                  <w:rPr>
                    <w:rFonts w:ascii="Calibri" w:eastAsia="Calibri" w:hAnsi="Calibri"/>
                    <w:color w:val="404040"/>
                    <w:sz w:val="22"/>
                    <w:szCs w:val="22"/>
                  </w:rPr>
                </w:pPr>
                <w:r w:rsidRPr="005E5F4A">
                  <w:rPr>
                    <w:rFonts w:ascii="Calibri" w:eastAsia="Calibri" w:hAnsi="Calibri"/>
                    <w:color w:val="404040"/>
                    <w:sz w:val="22"/>
                    <w:szCs w:val="22"/>
                  </w:rPr>
                  <w:t xml:space="preserve">Net </w:t>
                </w:r>
                <w:r w:rsidRPr="005E5F4A">
                  <w:rPr>
                    <w:rFonts w:ascii="Calibri" w:eastAsia="Calibri" w:hAnsi="Calibri"/>
                    <w:color w:val="404040"/>
                    <w:sz w:val="22"/>
                    <w:szCs w:val="22"/>
                  </w:rPr>
                  <w:br/>
                  <w:t>Commitments</w:t>
                </w:r>
              </w:p>
            </w:tc>
            <w:tc>
              <w:tcPr>
                <w:tcW w:w="1710" w:type="dxa"/>
                <w:shd w:val="clear" w:color="auto" w:fill="F7F7F7"/>
                <w:vAlign w:val="center"/>
              </w:tcPr>
              <w:p w14:paraId="240F7752" w14:textId="77777777" w:rsidR="00213AEA" w:rsidRPr="00AC565B" w:rsidRDefault="00880CEC" w:rsidP="00AC565B">
                <w:pPr>
                  <w:keepNext/>
                  <w:widowControl/>
                  <w:shd w:val="clear" w:color="auto" w:fill="F3F3F1"/>
                  <w:tabs>
                    <w:tab w:val="left" w:pos="-1080"/>
                    <w:tab w:val="left" w:pos="10440"/>
                  </w:tabs>
                  <w:autoSpaceDE/>
                  <w:autoSpaceDN/>
                  <w:adjustRightInd/>
                  <w:spacing w:after="160" w:line="259" w:lineRule="auto"/>
                  <w:jc w:val="right"/>
                  <w:rPr>
                    <w:rFonts w:ascii="Calibri" w:eastAsia="Calibri" w:hAnsi="Calibri"/>
                    <w:color w:val="404040"/>
                    <w:sz w:val="22"/>
                    <w:szCs w:val="22"/>
                  </w:rPr>
                </w:pPr>
                <w:r w:rsidRPr="005E5F4A">
                  <w:rPr>
                    <w:rFonts w:ascii="Calibri" w:eastAsia="Calibri" w:hAnsi="Calibri"/>
                    <w:color w:val="404040"/>
                    <w:sz w:val="22"/>
                    <w:szCs w:val="22"/>
                  </w:rPr>
                  <w:t>Total Disbursed</w:t>
                </w:r>
              </w:p>
            </w:tc>
            <w:tc>
              <w:tcPr>
                <w:tcW w:w="2070" w:type="dxa"/>
                <w:shd w:val="clear" w:color="auto" w:fill="F7F7F7"/>
                <w:vAlign w:val="center"/>
              </w:tcPr>
              <w:p w14:paraId="006143F5" w14:textId="77777777" w:rsidR="00213AEA" w:rsidRPr="00AC565B" w:rsidRDefault="00880CEC" w:rsidP="00AC565B">
                <w:pPr>
                  <w:keepNext/>
                  <w:widowControl/>
                  <w:shd w:val="clear" w:color="auto" w:fill="F3F3F1"/>
                  <w:tabs>
                    <w:tab w:val="left" w:pos="-1080"/>
                    <w:tab w:val="left" w:pos="10440"/>
                  </w:tabs>
                  <w:autoSpaceDE/>
                  <w:autoSpaceDN/>
                  <w:adjustRightInd/>
                  <w:spacing w:after="160" w:line="259" w:lineRule="auto"/>
                  <w:jc w:val="right"/>
                  <w:rPr>
                    <w:rFonts w:ascii="Calibri" w:eastAsia="Calibri" w:hAnsi="Calibri"/>
                    <w:color w:val="404040"/>
                    <w:sz w:val="22"/>
                    <w:szCs w:val="22"/>
                  </w:rPr>
                </w:pPr>
                <w:r w:rsidRPr="00AC565B">
                  <w:rPr>
                    <w:rFonts w:ascii="Calibri" w:eastAsia="Calibri" w:hAnsi="Calibri"/>
                    <w:color w:val="404040"/>
                    <w:sz w:val="22"/>
                    <w:szCs w:val="22"/>
                  </w:rPr>
                  <w:t>Remaining Balance</w:t>
                </w:r>
              </w:p>
            </w:tc>
            <w:tc>
              <w:tcPr>
                <w:tcW w:w="2880" w:type="dxa"/>
                <w:gridSpan w:val="2"/>
                <w:shd w:val="clear" w:color="auto" w:fill="F7F7F7"/>
                <w:vAlign w:val="center"/>
              </w:tcPr>
              <w:p w14:paraId="2E78C634" w14:textId="77777777" w:rsidR="00213AEA" w:rsidRPr="00AC565B" w:rsidRDefault="00880CEC" w:rsidP="00AC565B">
                <w:pPr>
                  <w:keepNext/>
                  <w:widowControl/>
                  <w:shd w:val="clear" w:color="auto" w:fill="F3F3F1"/>
                  <w:tabs>
                    <w:tab w:val="left" w:pos="-1080"/>
                    <w:tab w:val="left" w:pos="10440"/>
                  </w:tabs>
                  <w:autoSpaceDE/>
                  <w:autoSpaceDN/>
                  <w:adjustRightInd/>
                  <w:spacing w:after="160" w:line="259" w:lineRule="auto"/>
                  <w:jc w:val="center"/>
                  <w:rPr>
                    <w:rFonts w:ascii="Calibri" w:eastAsia="Calibri" w:hAnsi="Calibri"/>
                    <w:color w:val="404040"/>
                    <w:sz w:val="22"/>
                    <w:szCs w:val="22"/>
                  </w:rPr>
                </w:pPr>
                <w:r w:rsidRPr="005E5F4A">
                  <w:rPr>
                    <w:rFonts w:ascii="Calibri" w:eastAsia="Calibri" w:hAnsi="Calibri"/>
                    <w:color w:val="404040"/>
                    <w:sz w:val="22"/>
                    <w:szCs w:val="22"/>
                  </w:rPr>
                  <w:t>Disbursed</w:t>
                </w:r>
              </w:p>
            </w:tc>
          </w:tr>
          <w:tr w:rsidR="004F0F3F" w14:paraId="4BCA7F60" w14:textId="77777777" w:rsidTr="004E69D9">
            <w:tc>
              <w:tcPr>
                <w:tcW w:w="1851" w:type="dxa"/>
                <w:shd w:val="clear" w:color="auto" w:fill="F7F7F7"/>
                <w:vAlign w:val="center"/>
              </w:tcPr>
              <w:p w14:paraId="5E9562F2" w14:textId="77777777" w:rsidR="00D72AC5" w:rsidRPr="007F062C" w:rsidRDefault="00880CEC" w:rsidP="00EB0D4F">
                <w:pPr>
                  <w:spacing w:after="120"/>
                  <w:ind w:right="72"/>
                  <w:rPr>
                    <w:rFonts w:asciiTheme="minorHAnsi" w:hAnsiTheme="minorHAnsi"/>
                    <w:color w:val="767171" w:themeColor="background2" w:themeShade="80"/>
                    <w:sz w:val="22"/>
                    <w:szCs w:val="22"/>
                  </w:rPr>
                </w:pPr>
                <w:r w:rsidRPr="007F062C">
                  <w:rPr>
                    <w:rFonts w:asciiTheme="minorHAnsi" w:hAnsiTheme="minorHAnsi"/>
                    <w:noProof/>
                    <w:sz w:val="22"/>
                    <w:szCs w:val="22"/>
                  </w:rPr>
                  <w:t>IBRD</w:t>
                </w:r>
              </w:p>
            </w:tc>
            <w:tc>
              <w:tcPr>
                <w:tcW w:w="2070" w:type="dxa"/>
                <w:shd w:val="clear" w:color="auto" w:fill="F7F7F7"/>
                <w:vAlign w:val="center"/>
              </w:tcPr>
              <w:p w14:paraId="2401BEF3" w14:textId="77777777" w:rsidR="00D72AC5" w:rsidRPr="007F062C" w:rsidRDefault="00D72AC5" w:rsidP="00EB0D4F">
                <w:pPr>
                  <w:spacing w:after="120"/>
                  <w:ind w:right="72"/>
                  <w:jc w:val="right"/>
                  <w:rPr>
                    <w:rFonts w:asciiTheme="minorHAnsi" w:hAnsiTheme="minorHAnsi"/>
                    <w:color w:val="767171" w:themeColor="background2" w:themeShade="80"/>
                    <w:sz w:val="22"/>
                    <w:szCs w:val="22"/>
                  </w:rPr>
                </w:pPr>
              </w:p>
            </w:tc>
            <w:tc>
              <w:tcPr>
                <w:tcW w:w="1710" w:type="dxa"/>
                <w:shd w:val="clear" w:color="auto" w:fill="F7F7F7"/>
                <w:vAlign w:val="center"/>
              </w:tcPr>
              <w:p w14:paraId="72072C5E" w14:textId="77777777" w:rsidR="00D72AC5" w:rsidRPr="007F062C" w:rsidRDefault="00D72AC5" w:rsidP="00EB0D4F">
                <w:pPr>
                  <w:spacing w:after="120"/>
                  <w:ind w:right="72"/>
                  <w:jc w:val="right"/>
                  <w:rPr>
                    <w:rFonts w:asciiTheme="minorHAnsi" w:hAnsiTheme="minorHAnsi"/>
                    <w:color w:val="767171" w:themeColor="background2" w:themeShade="80"/>
                    <w:sz w:val="22"/>
                    <w:szCs w:val="22"/>
                  </w:rPr>
                </w:pPr>
              </w:p>
            </w:tc>
            <w:tc>
              <w:tcPr>
                <w:tcW w:w="2070" w:type="dxa"/>
                <w:shd w:val="clear" w:color="auto" w:fill="F7F7F7"/>
                <w:vAlign w:val="center"/>
              </w:tcPr>
              <w:p w14:paraId="183E05EA" w14:textId="77777777" w:rsidR="00D72AC5" w:rsidRPr="007F062C" w:rsidRDefault="00D72AC5" w:rsidP="00EB0D4F">
                <w:pPr>
                  <w:spacing w:after="120"/>
                  <w:jc w:val="right"/>
                  <w:rPr>
                    <w:rFonts w:asciiTheme="minorHAnsi" w:hAnsiTheme="minorHAnsi"/>
                    <w:color w:val="767171" w:themeColor="background2" w:themeShade="80"/>
                    <w:sz w:val="22"/>
                    <w:szCs w:val="22"/>
                  </w:rPr>
                </w:pPr>
              </w:p>
            </w:tc>
            <w:tc>
              <w:tcPr>
                <w:tcW w:w="1080" w:type="dxa"/>
                <w:tcBorders>
                  <w:right w:val="nil"/>
                </w:tcBorders>
                <w:shd w:val="clear" w:color="auto" w:fill="F7F7F7"/>
                <w:vAlign w:val="center"/>
              </w:tcPr>
              <w:tbl>
                <w:tblPr>
                  <w:tblW w:w="750" w:type="dxa"/>
                  <w:tblLayout w:type="fixed"/>
                  <w:tblCellMar>
                    <w:top w:w="15" w:type="dxa"/>
                    <w:left w:w="15" w:type="dxa"/>
                    <w:bottom w:w="15" w:type="dxa"/>
                    <w:right w:w="15" w:type="dxa"/>
                  </w:tblCellMar>
                  <w:tblLook w:val="04A0" w:firstRow="1" w:lastRow="0" w:firstColumn="1" w:lastColumn="0" w:noHBand="0" w:noVBand="1"/>
                </w:tblPr>
                <w:tblGrid>
                  <w:gridCol w:w="750"/>
                </w:tblGrid>
                <w:tr w:rsidR="004F0F3F" w14:paraId="239D9D8F" w14:textId="77777777">
                  <w:tc>
                    <w:tcPr>
                      <w:tcW w:w="5000" w:type="pct"/>
                      <w:shd w:val="clear" w:color="auto" w:fill="DDDDDD"/>
                      <w:tcMar>
                        <w:top w:w="20" w:type="dxa"/>
                        <w:left w:w="20" w:type="dxa"/>
                        <w:bottom w:w="20" w:type="dxa"/>
                        <w:right w:w="20" w:type="dxa"/>
                      </w:tcMar>
                      <w:vAlign w:val="center"/>
                      <w:hideMark/>
                    </w:tcPr>
                    <w:p w14:paraId="1E75ADEA" w14:textId="77777777" w:rsidR="004F0F3F" w:rsidRDefault="00880CEC">
                      <w:pPr>
                        <w:widowControl/>
                        <w:autoSpaceDE/>
                        <w:autoSpaceDN/>
                        <w:adjustRightInd/>
                        <w:jc w:val="right"/>
                        <w:rPr>
                          <w:rFonts w:ascii="Times New Roman" w:eastAsia="Times New Roman" w:hAnsi="Times New Roman" w:cs="Times New Roman"/>
                          <w:color w:val="FFFFFF"/>
                        </w:rPr>
                      </w:pPr>
                      <w:r>
                        <w:rPr>
                          <w:rFonts w:ascii="Times New Roman" w:eastAsia="Times New Roman" w:hAnsi="Times New Roman" w:cs="Times New Roman"/>
                          <w:color w:val="FFFFFF"/>
                        </w:rPr>
                        <w:t> </w:t>
                      </w:r>
                    </w:p>
                  </w:tc>
                </w:tr>
              </w:tbl>
              <w:p w14:paraId="70B24F96" w14:textId="77777777" w:rsidR="00D72AC5" w:rsidRPr="007F062C" w:rsidRDefault="00D72AC5" w:rsidP="00EB0D4F">
                <w:pPr>
                  <w:spacing w:after="120"/>
                  <w:ind w:right="72"/>
                  <w:jc w:val="center"/>
                  <w:rPr>
                    <w:rFonts w:asciiTheme="minorHAnsi" w:hAnsiTheme="minorHAnsi"/>
                    <w:color w:val="767171" w:themeColor="background2" w:themeShade="80"/>
                    <w:sz w:val="22"/>
                    <w:szCs w:val="22"/>
                  </w:rPr>
                </w:pPr>
              </w:p>
            </w:tc>
            <w:tc>
              <w:tcPr>
                <w:tcW w:w="1800" w:type="dxa"/>
                <w:tcBorders>
                  <w:left w:val="nil"/>
                </w:tcBorders>
                <w:shd w:val="clear" w:color="auto" w:fill="F7F7F7"/>
                <w:vAlign w:val="center"/>
              </w:tcPr>
              <w:p w14:paraId="03A42921" w14:textId="77777777" w:rsidR="00D72AC5" w:rsidRPr="007F062C" w:rsidRDefault="00DE12D7" w:rsidP="00564463">
                <w:pPr>
                  <w:spacing w:after="120"/>
                  <w:ind w:right="72"/>
                  <w:rPr>
                    <w:rFonts w:asciiTheme="minorHAnsi" w:hAnsiTheme="minorHAnsi"/>
                    <w:color w:val="767171" w:themeColor="background2" w:themeShade="80"/>
                    <w:sz w:val="22"/>
                    <w:szCs w:val="22"/>
                  </w:rPr>
                </w:pPr>
                <w:r>
                  <w:rPr>
                    <w:rFonts w:asciiTheme="minorHAnsi" w:hAnsiTheme="minorHAnsi"/>
                    <w:noProof/>
                    <w:sz w:val="22"/>
                    <w:szCs w:val="22"/>
                  </w:rPr>
                  <w:t xml:space="preserve"> %</w:t>
                </w:r>
              </w:p>
            </w:tc>
          </w:tr>
          <w:tr w:rsidR="004F0F3F" w14:paraId="522075AE" w14:textId="77777777" w:rsidTr="004E69D9">
            <w:tc>
              <w:tcPr>
                <w:tcW w:w="1851" w:type="dxa"/>
                <w:shd w:val="clear" w:color="auto" w:fill="F7F7F7"/>
                <w:vAlign w:val="center"/>
              </w:tcPr>
              <w:p w14:paraId="32855C0B" w14:textId="77777777" w:rsidR="00D72AC5" w:rsidRPr="007F062C" w:rsidRDefault="00880CEC" w:rsidP="00EB0D4F">
                <w:pPr>
                  <w:spacing w:after="120"/>
                  <w:ind w:right="72"/>
                  <w:rPr>
                    <w:rFonts w:asciiTheme="minorHAnsi" w:hAnsiTheme="minorHAnsi"/>
                    <w:color w:val="767171" w:themeColor="background2" w:themeShade="80"/>
                    <w:sz w:val="22"/>
                    <w:szCs w:val="22"/>
                  </w:rPr>
                </w:pPr>
                <w:r w:rsidRPr="007F062C">
                  <w:rPr>
                    <w:rFonts w:asciiTheme="minorHAnsi" w:hAnsiTheme="minorHAnsi"/>
                    <w:noProof/>
                    <w:sz w:val="22"/>
                    <w:szCs w:val="22"/>
                  </w:rPr>
                  <w:t>IDA</w:t>
                </w:r>
              </w:p>
            </w:tc>
            <w:tc>
              <w:tcPr>
                <w:tcW w:w="2070" w:type="dxa"/>
                <w:shd w:val="clear" w:color="auto" w:fill="F7F7F7"/>
                <w:vAlign w:val="center"/>
              </w:tcPr>
              <w:p w14:paraId="4128E77D" w14:textId="77777777" w:rsidR="00D72AC5" w:rsidRPr="007F062C" w:rsidRDefault="00880CEC" w:rsidP="00EB0D4F">
                <w:pPr>
                  <w:spacing w:after="120"/>
                  <w:ind w:right="72"/>
                  <w:jc w:val="right"/>
                  <w:rPr>
                    <w:rFonts w:asciiTheme="minorHAnsi" w:hAnsiTheme="minorHAnsi"/>
                    <w:color w:val="767171" w:themeColor="background2" w:themeShade="80"/>
                    <w:sz w:val="22"/>
                    <w:szCs w:val="22"/>
                  </w:rPr>
                </w:pPr>
                <w:r>
                  <w:rPr>
                    <w:rFonts w:asciiTheme="minorHAnsi" w:hAnsiTheme="minorHAnsi"/>
                    <w:noProof/>
                    <w:sz w:val="22"/>
                    <w:szCs w:val="22"/>
                  </w:rPr>
                  <w:t xml:space="preserve"> 134.00</w:t>
                </w:r>
              </w:p>
            </w:tc>
            <w:tc>
              <w:tcPr>
                <w:tcW w:w="1710" w:type="dxa"/>
                <w:shd w:val="clear" w:color="auto" w:fill="F7F7F7"/>
                <w:vAlign w:val="center"/>
              </w:tcPr>
              <w:p w14:paraId="594589EA" w14:textId="77777777" w:rsidR="00D72AC5" w:rsidRPr="007F062C" w:rsidRDefault="00880CEC" w:rsidP="00EB0D4F">
                <w:pPr>
                  <w:spacing w:after="120"/>
                  <w:ind w:right="72"/>
                  <w:jc w:val="right"/>
                  <w:rPr>
                    <w:rFonts w:asciiTheme="minorHAnsi" w:hAnsiTheme="minorHAnsi"/>
                    <w:color w:val="767171" w:themeColor="background2" w:themeShade="80"/>
                    <w:sz w:val="22"/>
                    <w:szCs w:val="22"/>
                  </w:rPr>
                </w:pPr>
                <w:r>
                  <w:rPr>
                    <w:rFonts w:asciiTheme="minorHAnsi" w:hAnsiTheme="minorHAnsi"/>
                    <w:noProof/>
                    <w:sz w:val="22"/>
                    <w:szCs w:val="22"/>
                  </w:rPr>
                  <w:t xml:space="preserve">  62.69</w:t>
                </w:r>
              </w:p>
            </w:tc>
            <w:tc>
              <w:tcPr>
                <w:tcW w:w="2070" w:type="dxa"/>
                <w:shd w:val="clear" w:color="auto" w:fill="F7F7F7"/>
                <w:vAlign w:val="center"/>
              </w:tcPr>
              <w:p w14:paraId="5BC8B83D" w14:textId="77777777" w:rsidR="00D72AC5" w:rsidRPr="007F062C" w:rsidRDefault="00880CEC" w:rsidP="00EB0D4F">
                <w:pPr>
                  <w:spacing w:after="120"/>
                  <w:jc w:val="right"/>
                  <w:rPr>
                    <w:rFonts w:asciiTheme="minorHAnsi" w:hAnsiTheme="minorHAnsi"/>
                    <w:color w:val="767171" w:themeColor="background2" w:themeShade="80"/>
                    <w:sz w:val="22"/>
                    <w:szCs w:val="22"/>
                  </w:rPr>
                </w:pPr>
                <w:r>
                  <w:rPr>
                    <w:rFonts w:asciiTheme="minorHAnsi" w:hAnsiTheme="minorHAnsi"/>
                    <w:noProof/>
                    <w:sz w:val="22"/>
                    <w:szCs w:val="22"/>
                  </w:rPr>
                  <w:t xml:space="preserve">  72.47</w:t>
                </w:r>
              </w:p>
            </w:tc>
            <w:tc>
              <w:tcPr>
                <w:tcW w:w="1080" w:type="dxa"/>
                <w:tcBorders>
                  <w:right w:val="nil"/>
                </w:tcBorders>
                <w:shd w:val="clear" w:color="auto" w:fill="F7F7F7"/>
                <w:vAlign w:val="center"/>
              </w:tcPr>
              <w:tbl>
                <w:tblPr>
                  <w:tblW w:w="750" w:type="dxa"/>
                  <w:tblLayout w:type="fixed"/>
                  <w:tblCellMar>
                    <w:top w:w="15" w:type="dxa"/>
                    <w:left w:w="15" w:type="dxa"/>
                    <w:bottom w:w="15" w:type="dxa"/>
                    <w:right w:w="15" w:type="dxa"/>
                  </w:tblCellMar>
                  <w:tblLook w:val="04A0" w:firstRow="1" w:lastRow="0" w:firstColumn="1" w:lastColumn="0" w:noHBand="0" w:noVBand="1"/>
                </w:tblPr>
                <w:tblGrid>
                  <w:gridCol w:w="345"/>
                  <w:gridCol w:w="405"/>
                </w:tblGrid>
                <w:tr w:rsidR="004F0F3F" w14:paraId="77B8498C" w14:textId="77777777">
                  <w:tc>
                    <w:tcPr>
                      <w:tcW w:w="2300" w:type="pct"/>
                      <w:shd w:val="clear" w:color="auto" w:fill="5CB85C"/>
                      <w:tcMar>
                        <w:top w:w="20" w:type="dxa"/>
                        <w:left w:w="20" w:type="dxa"/>
                        <w:bottom w:w="20" w:type="dxa"/>
                        <w:right w:w="20" w:type="dxa"/>
                      </w:tcMar>
                      <w:vAlign w:val="center"/>
                      <w:hideMark/>
                    </w:tcPr>
                    <w:p w14:paraId="3E50DB05" w14:textId="77777777" w:rsidR="004F0F3F" w:rsidRDefault="00880CEC">
                      <w:pPr>
                        <w:widowControl/>
                        <w:autoSpaceDE/>
                        <w:autoSpaceDN/>
                        <w:adjustRightInd/>
                        <w:jc w:val="right"/>
                        <w:rPr>
                          <w:rFonts w:ascii="Times New Roman" w:eastAsia="Times New Roman" w:hAnsi="Times New Roman" w:cs="Times New Roman"/>
                          <w:color w:val="FFFFFF"/>
                        </w:rPr>
                      </w:pPr>
                      <w:r>
                        <w:rPr>
                          <w:rFonts w:ascii="Times New Roman" w:eastAsia="Times New Roman" w:hAnsi="Times New Roman" w:cs="Times New Roman"/>
                          <w:color w:val="FFFFFF"/>
                        </w:rPr>
                        <w:t> </w:t>
                      </w:r>
                    </w:p>
                  </w:tc>
                  <w:tc>
                    <w:tcPr>
                      <w:tcW w:w="2700" w:type="pct"/>
                      <w:shd w:val="clear" w:color="auto" w:fill="DDDDDD"/>
                      <w:tcMar>
                        <w:top w:w="20" w:type="dxa"/>
                        <w:left w:w="20" w:type="dxa"/>
                        <w:bottom w:w="20" w:type="dxa"/>
                        <w:right w:w="20" w:type="dxa"/>
                      </w:tcMar>
                      <w:vAlign w:val="center"/>
                      <w:hideMark/>
                    </w:tcPr>
                    <w:p w14:paraId="3EEF2702" w14:textId="77777777" w:rsidR="004F0F3F" w:rsidRDefault="00880CEC">
                      <w:pPr>
                        <w:widowControl/>
                        <w:autoSpaceDE/>
                        <w:autoSpaceDN/>
                        <w:adjustRightInd/>
                        <w:rPr>
                          <w:rFonts w:ascii="Times New Roman" w:eastAsia="Times New Roman" w:hAnsi="Times New Roman" w:cs="Times New Roman"/>
                        </w:rPr>
                      </w:pPr>
                      <w:r>
                        <w:rPr>
                          <w:rFonts w:ascii="Times New Roman" w:eastAsia="Times New Roman" w:hAnsi="Times New Roman" w:cs="Times New Roman"/>
                        </w:rPr>
                        <w:t> </w:t>
                      </w:r>
                    </w:p>
                  </w:tc>
                </w:tr>
              </w:tbl>
              <w:p w14:paraId="73EA672F" w14:textId="77777777" w:rsidR="00D72AC5" w:rsidRPr="007F062C" w:rsidRDefault="00D72AC5" w:rsidP="00EB0D4F">
                <w:pPr>
                  <w:spacing w:after="120"/>
                  <w:ind w:right="72"/>
                  <w:jc w:val="center"/>
                  <w:rPr>
                    <w:rFonts w:asciiTheme="minorHAnsi" w:hAnsiTheme="minorHAnsi"/>
                    <w:color w:val="767171" w:themeColor="background2" w:themeShade="80"/>
                    <w:sz w:val="22"/>
                    <w:szCs w:val="22"/>
                  </w:rPr>
                </w:pPr>
              </w:p>
            </w:tc>
            <w:tc>
              <w:tcPr>
                <w:tcW w:w="1800" w:type="dxa"/>
                <w:tcBorders>
                  <w:left w:val="nil"/>
                </w:tcBorders>
                <w:shd w:val="clear" w:color="auto" w:fill="F7F7F7"/>
                <w:vAlign w:val="center"/>
              </w:tcPr>
              <w:p w14:paraId="02856280" w14:textId="77777777" w:rsidR="00D72AC5" w:rsidRPr="007F062C" w:rsidRDefault="00880CEC" w:rsidP="00564463">
                <w:pPr>
                  <w:spacing w:after="120"/>
                  <w:ind w:right="72"/>
                  <w:rPr>
                    <w:rFonts w:asciiTheme="minorHAnsi" w:hAnsiTheme="minorHAnsi"/>
                    <w:color w:val="767171" w:themeColor="background2" w:themeShade="80"/>
                    <w:sz w:val="22"/>
                    <w:szCs w:val="22"/>
                  </w:rPr>
                </w:pPr>
                <w:r>
                  <w:rPr>
                    <w:rFonts w:asciiTheme="minorHAnsi" w:hAnsiTheme="minorHAnsi"/>
                    <w:noProof/>
                    <w:sz w:val="22"/>
                    <w:szCs w:val="22"/>
                  </w:rPr>
                  <w:t>46</w:t>
                </w:r>
                <w:r w:rsidR="00DE12D7">
                  <w:rPr>
                    <w:rFonts w:asciiTheme="minorHAnsi" w:hAnsiTheme="minorHAnsi"/>
                    <w:noProof/>
                    <w:sz w:val="22"/>
                    <w:szCs w:val="22"/>
                  </w:rPr>
                  <w:t xml:space="preserve"> %</w:t>
                </w:r>
              </w:p>
            </w:tc>
          </w:tr>
          <w:tr w:rsidR="004F0F3F" w14:paraId="12E8D81D" w14:textId="77777777" w:rsidTr="004E69D9">
            <w:tc>
              <w:tcPr>
                <w:tcW w:w="1851" w:type="dxa"/>
                <w:shd w:val="clear" w:color="auto" w:fill="F7F7F7"/>
                <w:vAlign w:val="center"/>
              </w:tcPr>
              <w:p w14:paraId="424F825C" w14:textId="77777777" w:rsidR="00D72AC5" w:rsidRPr="007F062C" w:rsidRDefault="00880CEC" w:rsidP="00EB0D4F">
                <w:pPr>
                  <w:spacing w:after="120"/>
                  <w:ind w:right="72"/>
                  <w:rPr>
                    <w:rFonts w:asciiTheme="minorHAnsi" w:hAnsiTheme="minorHAnsi"/>
                    <w:color w:val="767171" w:themeColor="background2" w:themeShade="80"/>
                    <w:sz w:val="22"/>
                    <w:szCs w:val="22"/>
                  </w:rPr>
                </w:pPr>
                <w:r w:rsidRPr="007F062C">
                  <w:rPr>
                    <w:rFonts w:asciiTheme="minorHAnsi" w:hAnsiTheme="minorHAnsi"/>
                    <w:noProof/>
                    <w:sz w:val="22"/>
                    <w:szCs w:val="22"/>
                  </w:rPr>
                  <w:t>Grants</w:t>
                </w:r>
              </w:p>
            </w:tc>
            <w:tc>
              <w:tcPr>
                <w:tcW w:w="2070" w:type="dxa"/>
                <w:shd w:val="clear" w:color="auto" w:fill="F7F7F7"/>
                <w:vAlign w:val="center"/>
              </w:tcPr>
              <w:p w14:paraId="7F48CE59" w14:textId="77777777" w:rsidR="00D72AC5" w:rsidRPr="007F062C" w:rsidRDefault="00D72AC5" w:rsidP="00EB0D4F">
                <w:pPr>
                  <w:spacing w:after="120"/>
                  <w:ind w:right="72"/>
                  <w:jc w:val="right"/>
                  <w:rPr>
                    <w:rFonts w:asciiTheme="minorHAnsi" w:hAnsiTheme="minorHAnsi"/>
                    <w:color w:val="767171" w:themeColor="background2" w:themeShade="80"/>
                    <w:sz w:val="22"/>
                    <w:szCs w:val="22"/>
                  </w:rPr>
                </w:pPr>
              </w:p>
            </w:tc>
            <w:tc>
              <w:tcPr>
                <w:tcW w:w="1710" w:type="dxa"/>
                <w:shd w:val="clear" w:color="auto" w:fill="F7F7F7"/>
                <w:vAlign w:val="center"/>
              </w:tcPr>
              <w:p w14:paraId="27211EC0" w14:textId="77777777" w:rsidR="00D72AC5" w:rsidRPr="007F062C" w:rsidRDefault="00D72AC5" w:rsidP="00EB0D4F">
                <w:pPr>
                  <w:spacing w:after="120"/>
                  <w:ind w:right="72"/>
                  <w:jc w:val="right"/>
                  <w:rPr>
                    <w:rFonts w:asciiTheme="minorHAnsi" w:hAnsiTheme="minorHAnsi"/>
                    <w:color w:val="767171" w:themeColor="background2" w:themeShade="80"/>
                    <w:sz w:val="22"/>
                    <w:szCs w:val="22"/>
                  </w:rPr>
                </w:pPr>
              </w:p>
            </w:tc>
            <w:tc>
              <w:tcPr>
                <w:tcW w:w="2070" w:type="dxa"/>
                <w:shd w:val="clear" w:color="auto" w:fill="F7F7F7"/>
                <w:vAlign w:val="center"/>
              </w:tcPr>
              <w:p w14:paraId="3CA56D50" w14:textId="77777777" w:rsidR="00D72AC5" w:rsidRPr="007F062C" w:rsidRDefault="00D72AC5" w:rsidP="00EB0D4F">
                <w:pPr>
                  <w:spacing w:after="120"/>
                  <w:jc w:val="right"/>
                  <w:rPr>
                    <w:rFonts w:asciiTheme="minorHAnsi" w:hAnsiTheme="minorHAnsi"/>
                    <w:color w:val="767171" w:themeColor="background2" w:themeShade="80"/>
                    <w:sz w:val="22"/>
                    <w:szCs w:val="22"/>
                  </w:rPr>
                </w:pPr>
              </w:p>
            </w:tc>
            <w:tc>
              <w:tcPr>
                <w:tcW w:w="1080" w:type="dxa"/>
                <w:tcBorders>
                  <w:right w:val="nil"/>
                </w:tcBorders>
                <w:shd w:val="clear" w:color="auto" w:fill="F7F7F7"/>
                <w:vAlign w:val="center"/>
              </w:tcPr>
              <w:tbl>
                <w:tblPr>
                  <w:tblW w:w="750" w:type="dxa"/>
                  <w:tblLayout w:type="fixed"/>
                  <w:tblCellMar>
                    <w:top w:w="15" w:type="dxa"/>
                    <w:left w:w="15" w:type="dxa"/>
                    <w:bottom w:w="15" w:type="dxa"/>
                    <w:right w:w="15" w:type="dxa"/>
                  </w:tblCellMar>
                  <w:tblLook w:val="04A0" w:firstRow="1" w:lastRow="0" w:firstColumn="1" w:lastColumn="0" w:noHBand="0" w:noVBand="1"/>
                </w:tblPr>
                <w:tblGrid>
                  <w:gridCol w:w="750"/>
                </w:tblGrid>
                <w:tr w:rsidR="004F0F3F" w14:paraId="34F5E6DC" w14:textId="77777777">
                  <w:tc>
                    <w:tcPr>
                      <w:tcW w:w="5000" w:type="pct"/>
                      <w:shd w:val="clear" w:color="auto" w:fill="DDDDDD"/>
                      <w:tcMar>
                        <w:top w:w="20" w:type="dxa"/>
                        <w:left w:w="20" w:type="dxa"/>
                        <w:bottom w:w="20" w:type="dxa"/>
                        <w:right w:w="20" w:type="dxa"/>
                      </w:tcMar>
                      <w:vAlign w:val="center"/>
                      <w:hideMark/>
                    </w:tcPr>
                    <w:p w14:paraId="315F6D6E" w14:textId="77777777" w:rsidR="004F0F3F" w:rsidRDefault="00880CEC">
                      <w:pPr>
                        <w:widowControl/>
                        <w:autoSpaceDE/>
                        <w:autoSpaceDN/>
                        <w:adjustRightInd/>
                        <w:jc w:val="right"/>
                        <w:rPr>
                          <w:rFonts w:ascii="Times New Roman" w:eastAsia="Times New Roman" w:hAnsi="Times New Roman" w:cs="Times New Roman"/>
                          <w:color w:val="FFFFFF"/>
                        </w:rPr>
                      </w:pPr>
                      <w:r>
                        <w:rPr>
                          <w:rFonts w:ascii="Times New Roman" w:eastAsia="Times New Roman" w:hAnsi="Times New Roman" w:cs="Times New Roman"/>
                          <w:color w:val="FFFFFF"/>
                        </w:rPr>
                        <w:t> </w:t>
                      </w:r>
                    </w:p>
                  </w:tc>
                </w:tr>
              </w:tbl>
              <w:p w14:paraId="58A64DDA" w14:textId="77777777" w:rsidR="00D72AC5" w:rsidRPr="007F062C" w:rsidRDefault="00D72AC5" w:rsidP="00EB0D4F">
                <w:pPr>
                  <w:spacing w:after="120"/>
                  <w:ind w:right="72"/>
                  <w:jc w:val="center"/>
                  <w:rPr>
                    <w:rFonts w:asciiTheme="minorHAnsi" w:hAnsiTheme="minorHAnsi"/>
                    <w:color w:val="767171" w:themeColor="background2" w:themeShade="80"/>
                    <w:sz w:val="22"/>
                    <w:szCs w:val="22"/>
                  </w:rPr>
                </w:pPr>
              </w:p>
            </w:tc>
            <w:tc>
              <w:tcPr>
                <w:tcW w:w="1800" w:type="dxa"/>
                <w:tcBorders>
                  <w:left w:val="nil"/>
                </w:tcBorders>
                <w:shd w:val="clear" w:color="auto" w:fill="F7F7F7"/>
                <w:vAlign w:val="center"/>
              </w:tcPr>
              <w:p w14:paraId="7F058C6B" w14:textId="77777777" w:rsidR="00D72AC5" w:rsidRPr="007F062C" w:rsidRDefault="00DE12D7" w:rsidP="00564463">
                <w:pPr>
                  <w:spacing w:after="120"/>
                  <w:ind w:right="72"/>
                  <w:rPr>
                    <w:rFonts w:asciiTheme="minorHAnsi" w:hAnsiTheme="minorHAnsi"/>
                    <w:color w:val="767171" w:themeColor="background2" w:themeShade="80"/>
                    <w:sz w:val="22"/>
                    <w:szCs w:val="22"/>
                  </w:rPr>
                </w:pPr>
                <w:r>
                  <w:rPr>
                    <w:rFonts w:asciiTheme="minorHAnsi" w:hAnsiTheme="minorHAnsi"/>
                    <w:noProof/>
                    <w:sz w:val="22"/>
                    <w:szCs w:val="22"/>
                  </w:rPr>
                  <w:t xml:space="preserve"> %</w:t>
                </w:r>
              </w:p>
            </w:tc>
          </w:tr>
        </w:tbl>
        <w:p w14:paraId="09B7921A" w14:textId="77777777" w:rsidR="00213AEA" w:rsidRDefault="00213AEA" w:rsidP="00C40572">
          <w:pPr>
            <w:shd w:val="clear" w:color="auto" w:fill="F7F7F7"/>
            <w:ind w:left="-691" w:right="-518"/>
            <w:rPr>
              <w:rFonts w:asciiTheme="minorHAnsi" w:hAnsiTheme="minorHAnsi"/>
              <w:color w:val="767171" w:themeColor="background2" w:themeShade="80"/>
              <w:sz w:val="22"/>
              <w:szCs w:val="22"/>
            </w:rPr>
          </w:pPr>
        </w:p>
        <w:tbl>
          <w:tblPr>
            <w:tblStyle w:val="TableGrid"/>
            <w:tblW w:w="10642" w:type="dxa"/>
            <w:tblInd w:w="-750" w:type="dxa"/>
            <w:shd w:val="clear" w:color="auto" w:fill="F7F7F7"/>
            <w:tblLayout w:type="fixed"/>
            <w:tblLook w:val="04A0" w:firstRow="1" w:lastRow="0" w:firstColumn="1" w:lastColumn="0" w:noHBand="0" w:noVBand="1"/>
          </w:tblPr>
          <w:tblGrid>
            <w:gridCol w:w="10642"/>
          </w:tblGrid>
          <w:tr w:rsidR="004F0F3F" w14:paraId="7C542DAC" w14:textId="77777777" w:rsidTr="002F7571">
            <w:trPr>
              <w:trHeight w:val="378"/>
            </w:trPr>
            <w:tc>
              <w:tcPr>
                <w:tcW w:w="10642" w:type="dxa"/>
                <w:tcBorders>
                  <w:top w:val="nil"/>
                  <w:left w:val="single" w:sz="24" w:space="0" w:color="BFBFBF" w:themeColor="background1" w:themeShade="BF"/>
                  <w:bottom w:val="nil"/>
                  <w:right w:val="nil"/>
                </w:tcBorders>
                <w:shd w:val="clear" w:color="auto" w:fill="F2F2F2" w:themeFill="background1" w:themeFillShade="F2"/>
                <w:vAlign w:val="center"/>
                <w:hideMark/>
              </w:tcPr>
              <w:p w14:paraId="626CA072" w14:textId="77777777" w:rsidR="002F7571" w:rsidRPr="00656279" w:rsidRDefault="00880CEC" w:rsidP="00B60D93">
                <w:pPr>
                  <w:rPr>
                    <w:rFonts w:eastAsia="Times New Roman"/>
                  </w:rPr>
                </w:pPr>
                <w:r>
                  <w:rPr>
                    <w:rFonts w:asciiTheme="minorHAnsi" w:hAnsiTheme="minorHAnsi"/>
                    <w:b/>
                    <w:bCs/>
                    <w:sz w:val="22"/>
                    <w:szCs w:val="22"/>
                  </w:rPr>
                  <w:t>PROGRAM</w:t>
                </w:r>
                <w:r w:rsidRPr="00692E93">
                  <w:rPr>
                    <w:rFonts w:asciiTheme="minorHAnsi" w:hAnsiTheme="minorHAnsi"/>
                    <w:b/>
                    <w:bCs/>
                    <w:sz w:val="22"/>
                    <w:szCs w:val="22"/>
                  </w:rPr>
                  <w:t xml:space="preserve"> FINANCING DATA </w:t>
                </w:r>
                <w:r>
                  <w:rPr>
                    <w:rFonts w:asciiTheme="minorHAnsi" w:hAnsiTheme="minorHAnsi"/>
                    <w:b/>
                    <w:bCs/>
                    <w:sz w:val="22"/>
                    <w:szCs w:val="22"/>
                  </w:rPr>
                  <w:t xml:space="preserve">– ADDITIONAL FINANCING </w:t>
                </w:r>
                <w:r w:rsidRPr="00692E93">
                  <w:rPr>
                    <w:rFonts w:asciiTheme="minorHAnsi" w:hAnsiTheme="minorHAnsi"/>
                    <w:b/>
                    <w:bCs/>
                    <w:sz w:val="22"/>
                    <w:szCs w:val="22"/>
                  </w:rPr>
                  <w:t>(</w:t>
                </w:r>
                <w:r>
                  <w:rPr>
                    <w:rFonts w:asciiTheme="minorHAnsi" w:hAnsiTheme="minorHAnsi"/>
                    <w:b/>
                    <w:bCs/>
                    <w:noProof/>
                    <w:sz w:val="22"/>
                    <w:szCs w:val="22"/>
                  </w:rPr>
                  <w:t>Additional Financing to Power Utility Financial Recovery Project</w:t>
                </w:r>
                <w:r w:rsidRPr="00AA2EA5">
                  <w:rPr>
                    <w:rFonts w:asciiTheme="minorHAnsi" w:hAnsiTheme="minorHAnsi"/>
                    <w:b/>
                    <w:bCs/>
                    <w:noProof/>
                    <w:sz w:val="22"/>
                    <w:szCs w:val="22"/>
                  </w:rPr>
                  <w:t xml:space="preserve"> - </w:t>
                </w:r>
                <w:r>
                  <w:rPr>
                    <w:rFonts w:asciiTheme="minorHAnsi" w:hAnsiTheme="minorHAnsi"/>
                    <w:b/>
                    <w:bCs/>
                    <w:noProof/>
                    <w:sz w:val="22"/>
                    <w:szCs w:val="22"/>
                  </w:rPr>
                  <w:t>P177563</w:t>
                </w:r>
                <w:r w:rsidRPr="00692E93">
                  <w:rPr>
                    <w:rFonts w:asciiTheme="minorHAnsi" w:hAnsiTheme="minorHAnsi"/>
                    <w:b/>
                    <w:bCs/>
                    <w:sz w:val="22"/>
                    <w:szCs w:val="22"/>
                  </w:rPr>
                  <w:t>)</w:t>
                </w:r>
              </w:p>
            </w:tc>
          </w:tr>
        </w:tbl>
        <w:p w14:paraId="44690DC7" w14:textId="77777777" w:rsidR="003615CB" w:rsidRDefault="003615CB" w:rsidP="002F7571">
          <w:pPr>
            <w:shd w:val="clear" w:color="auto" w:fill="F7F7F7"/>
            <w:ind w:left="-691" w:right="-518"/>
            <w:rPr>
              <w:rFonts w:asciiTheme="minorHAnsi" w:hAnsiTheme="minorHAnsi"/>
              <w:color w:val="767171" w:themeColor="background2" w:themeShade="80"/>
              <w:sz w:val="22"/>
              <w:szCs w:val="22"/>
            </w:rPr>
          </w:pPr>
        </w:p>
        <w:tbl>
          <w:tblPr>
            <w:tblStyle w:val="TableGrid"/>
            <w:tblW w:w="106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10642"/>
          </w:tblGrid>
          <w:tr w:rsidR="004F0F3F" w14:paraId="49568231" w14:textId="77777777" w:rsidTr="00C91C37">
            <w:trPr>
              <w:trHeight w:val="432"/>
            </w:trPr>
            <w:tc>
              <w:tcPr>
                <w:tcW w:w="10584" w:type="dxa"/>
                <w:shd w:val="clear" w:color="auto" w:fill="F2F2F2"/>
                <w:vAlign w:val="center"/>
              </w:tcPr>
              <w:p w14:paraId="0D427386" w14:textId="77777777" w:rsidR="007B6467" w:rsidRDefault="00880CEC" w:rsidP="00D04343">
                <w:pPr>
                  <w:widowControl/>
                  <w:ind w:left="-86" w:right="-518"/>
                  <w:rPr>
                    <w:rFonts w:asciiTheme="minorHAnsi" w:hAnsiTheme="minorHAnsi"/>
                    <w:color w:val="767171" w:themeColor="background2" w:themeShade="80"/>
                    <w:sz w:val="22"/>
                    <w:szCs w:val="22"/>
                  </w:rPr>
                </w:pPr>
                <w:r w:rsidRPr="0043125D">
                  <w:rPr>
                    <w:rFonts w:ascii="Calibri" w:eastAsia="Calibri" w:hAnsi="Calibri" w:cs="Times New Roman"/>
                    <w:b/>
                    <w:bCs/>
                    <w:color w:val="F2F2F2"/>
                    <w:sz w:val="2"/>
                    <w:szCs w:val="2"/>
                  </w:rPr>
                  <w:t xml:space="preserve">PROJECT </w:t>
                </w:r>
                <w:r w:rsidRPr="00F72555">
                  <w:rPr>
                    <w:rFonts w:ascii="Calibri" w:eastAsia="Calibri" w:hAnsi="Calibri" w:cs="Times New Roman"/>
                    <w:b/>
                    <w:bCs/>
                    <w:color w:val="auto"/>
                    <w:sz w:val="22"/>
                    <w:szCs w:val="22"/>
                  </w:rPr>
                  <w:t>FINANCING DATA (US$, Millions)</w:t>
                </w:r>
              </w:p>
            </w:tc>
          </w:tr>
        </w:tbl>
        <w:p w14:paraId="16CD7994" w14:textId="77777777" w:rsidR="007B6467" w:rsidRDefault="007B6467" w:rsidP="00D04343">
          <w:pPr>
            <w:widowControl/>
            <w:shd w:val="clear" w:color="auto" w:fill="F7F7F7"/>
            <w:spacing w:line="14" w:lineRule="exact"/>
            <w:ind w:left="-691" w:right="-518"/>
            <w:rPr>
              <w:rFonts w:asciiTheme="minorHAnsi" w:hAnsiTheme="minorHAnsi"/>
              <w:color w:val="767171" w:themeColor="background2" w:themeShade="80"/>
              <w:sz w:val="22"/>
              <w:szCs w:val="22"/>
            </w:rPr>
          </w:pPr>
        </w:p>
        <w:tbl>
          <w:tblPr>
            <w:tblStyle w:val="TableGrid13"/>
            <w:tblW w:w="10642" w:type="dxa"/>
            <w:tblInd w:w="-72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shd w:val="clear" w:color="auto" w:fill="F7F7F7"/>
            <w:tblLook w:val="04A0" w:firstRow="1" w:lastRow="0" w:firstColumn="1" w:lastColumn="0" w:noHBand="0" w:noVBand="1"/>
          </w:tblPr>
          <w:tblGrid>
            <w:gridCol w:w="2983"/>
            <w:gridCol w:w="2405"/>
            <w:gridCol w:w="2809"/>
            <w:gridCol w:w="2445"/>
          </w:tblGrid>
          <w:tr w:rsidR="004F0F3F" w14:paraId="081B144E" w14:textId="77777777" w:rsidTr="004E02B0">
            <w:trPr>
              <w:trHeight w:val="20"/>
            </w:trPr>
            <w:tc>
              <w:tcPr>
                <w:tcW w:w="10642" w:type="dxa"/>
                <w:gridSpan w:val="4"/>
                <w:tcBorders>
                  <w:top w:val="nil"/>
                  <w:bottom w:val="nil"/>
                </w:tcBorders>
                <w:shd w:val="clear" w:color="auto" w:fill="F7F7F7"/>
              </w:tcPr>
              <w:p w14:paraId="63BDEC32" w14:textId="77777777" w:rsidR="0073635A" w:rsidRPr="00304676" w:rsidRDefault="00880CEC" w:rsidP="0083370F">
                <w:pPr>
                  <w:widowControl/>
                  <w:tabs>
                    <w:tab w:val="left" w:pos="10962"/>
                  </w:tabs>
                  <w:autoSpaceDE/>
                  <w:autoSpaceDN/>
                  <w:adjustRightInd/>
                  <w:spacing w:line="14" w:lineRule="exact"/>
                  <w:ind w:left="-29"/>
                  <w:rPr>
                    <w:rFonts w:asciiTheme="minorHAnsi" w:eastAsiaTheme="minorHAnsi" w:hAnsiTheme="minorHAnsi" w:cstheme="minorBidi"/>
                    <w:b/>
                    <w:color w:val="002060"/>
                    <w:sz w:val="22"/>
                    <w:szCs w:val="22"/>
                  </w:rPr>
                </w:pPr>
                <w:r w:rsidRPr="00543BFD">
                  <w:rPr>
                    <w:rFonts w:asciiTheme="minorHAnsi" w:hAnsiTheme="minorHAnsi"/>
                    <w:color w:val="F7F7F7"/>
                    <w:sz w:val="22"/>
                    <w:szCs w:val="22"/>
                  </w:rPr>
                  <w:t>FIN_SUMM_WITH_IPF</w:t>
                </w:r>
              </w:p>
            </w:tc>
          </w:tr>
          <w:tr w:rsidR="004F0F3F" w14:paraId="3C59A86E" w14:textId="77777777" w:rsidTr="004E02B0">
            <w:trPr>
              <w:trHeight w:val="416"/>
            </w:trPr>
            <w:tc>
              <w:tcPr>
                <w:tcW w:w="10642" w:type="dxa"/>
                <w:gridSpan w:val="4"/>
                <w:tcBorders>
                  <w:top w:val="nil"/>
                  <w:bottom w:val="single" w:sz="4" w:space="0" w:color="D9D9D9" w:themeColor="background1" w:themeShade="D9"/>
                </w:tcBorders>
                <w:shd w:val="clear" w:color="auto" w:fill="F7F7F7"/>
              </w:tcPr>
              <w:p w14:paraId="11E6BB85" w14:textId="77777777" w:rsidR="008705BE" w:rsidRPr="008705BE" w:rsidRDefault="00880CEC" w:rsidP="008705BE">
                <w:pPr>
                  <w:keepNext/>
                  <w:widowControl/>
                  <w:shd w:val="clear" w:color="auto" w:fill="F7F7F7"/>
                  <w:tabs>
                    <w:tab w:val="left" w:pos="3709"/>
                  </w:tabs>
                  <w:autoSpaceDE/>
                  <w:autoSpaceDN/>
                  <w:adjustRightInd/>
                  <w:spacing w:after="160" w:line="259" w:lineRule="auto"/>
                  <w:ind w:left="-43" w:right="-504"/>
                  <w:rPr>
                    <w:rFonts w:asciiTheme="minorHAnsi" w:eastAsiaTheme="minorHAnsi" w:hAnsiTheme="minorHAnsi" w:cstheme="minorBidi"/>
                    <w:b/>
                    <w:color w:val="172D5F"/>
                    <w:sz w:val="22"/>
                    <w:szCs w:val="22"/>
                  </w:rPr>
                </w:pPr>
                <w:r w:rsidRPr="008705BE">
                  <w:rPr>
                    <w:rFonts w:asciiTheme="minorHAnsi" w:eastAsiaTheme="minorHAnsi" w:hAnsiTheme="minorHAnsi" w:cstheme="minorBidi"/>
                    <w:b/>
                    <w:color w:val="172D5F"/>
                    <w:sz w:val="22"/>
                    <w:szCs w:val="22"/>
                  </w:rPr>
                  <w:t>SUMMARY (Total Financing)</w:t>
                </w:r>
              </w:p>
              <w:p w14:paraId="5BB4A638" w14:textId="77777777" w:rsidR="00304676" w:rsidRPr="00304676" w:rsidRDefault="00880CEC" w:rsidP="0073635A">
                <w:pPr>
                  <w:widowControl/>
                  <w:tabs>
                    <w:tab w:val="left" w:pos="10962"/>
                  </w:tabs>
                  <w:autoSpaceDE/>
                  <w:autoSpaceDN/>
                  <w:adjustRightInd/>
                  <w:ind w:left="-29"/>
                  <w:rPr>
                    <w:rFonts w:asciiTheme="minorHAnsi" w:eastAsiaTheme="minorHAnsi" w:hAnsiTheme="minorHAnsi" w:cstheme="minorBidi"/>
                    <w:noProof/>
                    <w:color w:val="auto"/>
                    <w:sz w:val="22"/>
                    <w:szCs w:val="22"/>
                  </w:rPr>
                </w:pPr>
                <w:r w:rsidRPr="00304676">
                  <w:rPr>
                    <w:rFonts w:asciiTheme="minorHAnsi" w:eastAsiaTheme="minorHAnsi" w:hAnsiTheme="minorHAnsi" w:cstheme="minorBidi"/>
                    <w:b/>
                    <w:color w:val="FFFFFF" w:themeColor="background1"/>
                    <w:sz w:val="2"/>
                    <w:szCs w:val="2"/>
                  </w:rPr>
                  <w:t>-NewFin1</w:t>
                </w:r>
              </w:p>
            </w:tc>
          </w:tr>
          <w:tr w:rsidR="004F0F3F" w14:paraId="54BFC83E" w14:textId="77777777" w:rsidTr="00CA39B1">
            <w:trPr>
              <w:trHeight w:val="416"/>
            </w:trPr>
            <w:tc>
              <w:tcPr>
                <w:tcW w:w="2983" w:type="dxa"/>
                <w:tcBorders>
                  <w:top w:val="nil"/>
                  <w:left w:val="single" w:sz="4" w:space="0" w:color="D9D9D9" w:themeColor="background1" w:themeShade="D9"/>
                  <w:bottom w:val="single" w:sz="4" w:space="0" w:color="D9D9D9" w:themeColor="background1" w:themeShade="D9"/>
                </w:tcBorders>
                <w:shd w:val="clear" w:color="auto" w:fill="F7F7F7"/>
              </w:tcPr>
              <w:p w14:paraId="569F67FD" w14:textId="77777777" w:rsidR="004E02B0" w:rsidRPr="00304676" w:rsidRDefault="004E02B0" w:rsidP="0073635A">
                <w:pPr>
                  <w:widowControl/>
                  <w:tabs>
                    <w:tab w:val="left" w:pos="10962"/>
                  </w:tabs>
                  <w:autoSpaceDE/>
                  <w:autoSpaceDN/>
                  <w:adjustRightInd/>
                  <w:ind w:left="-29"/>
                  <w:rPr>
                    <w:rFonts w:asciiTheme="minorHAnsi" w:eastAsiaTheme="minorHAnsi" w:hAnsiTheme="minorHAnsi" w:cstheme="minorBidi"/>
                    <w:b/>
                    <w:color w:val="002060"/>
                    <w:sz w:val="22"/>
                    <w:szCs w:val="22"/>
                  </w:rPr>
                </w:pPr>
              </w:p>
            </w:tc>
            <w:tc>
              <w:tcPr>
                <w:tcW w:w="2405" w:type="dxa"/>
                <w:tcBorders>
                  <w:top w:val="nil"/>
                  <w:bottom w:val="single" w:sz="4" w:space="0" w:color="D9D9D9" w:themeColor="background1" w:themeShade="D9"/>
                </w:tcBorders>
                <w:shd w:val="clear" w:color="auto" w:fill="F7F7F7"/>
                <w:vAlign w:val="center"/>
              </w:tcPr>
              <w:p w14:paraId="3C65418F" w14:textId="77777777" w:rsidR="004E02B0" w:rsidRPr="00304676" w:rsidRDefault="00880CEC" w:rsidP="009526D4">
                <w:pPr>
                  <w:widowControl/>
                  <w:tabs>
                    <w:tab w:val="left" w:pos="10962"/>
                  </w:tabs>
                  <w:autoSpaceDE/>
                  <w:autoSpaceDN/>
                  <w:adjustRightInd/>
                  <w:ind w:left="-29"/>
                  <w:jc w:val="center"/>
                  <w:rPr>
                    <w:rFonts w:asciiTheme="minorHAnsi" w:eastAsiaTheme="minorHAnsi" w:hAnsiTheme="minorHAnsi" w:cstheme="minorBidi"/>
                    <w:b/>
                    <w:color w:val="002060"/>
                    <w:sz w:val="22"/>
                    <w:szCs w:val="22"/>
                  </w:rPr>
                </w:pPr>
                <w:r w:rsidRPr="000743FB">
                  <w:rPr>
                    <w:rFonts w:ascii="Calibri" w:hAnsi="Calibri" w:cs="Calibri"/>
                    <w:b/>
                    <w:noProof/>
                    <w:color w:val="595959"/>
                    <w:sz w:val="22"/>
                    <w:szCs w:val="22"/>
                  </w:rPr>
                  <w:t>Current Financing</w:t>
                </w:r>
              </w:p>
            </w:tc>
            <w:tc>
              <w:tcPr>
                <w:tcW w:w="2809" w:type="dxa"/>
                <w:tcBorders>
                  <w:top w:val="nil"/>
                  <w:bottom w:val="single" w:sz="4" w:space="0" w:color="D9D9D9" w:themeColor="background1" w:themeShade="D9"/>
                </w:tcBorders>
                <w:shd w:val="clear" w:color="auto" w:fill="F7F7F7"/>
              </w:tcPr>
              <w:p w14:paraId="1390CCF7" w14:textId="77777777" w:rsidR="004E02B0" w:rsidRPr="00304676" w:rsidRDefault="00880CEC" w:rsidP="009526D4">
                <w:pPr>
                  <w:widowControl/>
                  <w:tabs>
                    <w:tab w:val="left" w:pos="10962"/>
                  </w:tabs>
                  <w:autoSpaceDE/>
                  <w:autoSpaceDN/>
                  <w:adjustRightInd/>
                  <w:ind w:left="-29"/>
                  <w:jc w:val="center"/>
                  <w:rPr>
                    <w:rFonts w:asciiTheme="minorHAnsi" w:eastAsiaTheme="minorHAnsi" w:hAnsiTheme="minorHAnsi" w:cstheme="minorBidi"/>
                    <w:b/>
                    <w:color w:val="002060"/>
                    <w:sz w:val="22"/>
                    <w:szCs w:val="22"/>
                  </w:rPr>
                </w:pPr>
                <w:r w:rsidRPr="000743FB">
                  <w:rPr>
                    <w:rFonts w:ascii="Calibri" w:hAnsi="Calibri" w:cs="Calibri"/>
                    <w:b/>
                    <w:noProof/>
                    <w:color w:val="595959"/>
                    <w:sz w:val="22"/>
                    <w:szCs w:val="22"/>
                  </w:rPr>
                  <w:t>Proposed Addit</w:t>
                </w:r>
                <w:r>
                  <w:rPr>
                    <w:rFonts w:ascii="Calibri" w:hAnsi="Calibri" w:cs="Calibri"/>
                    <w:b/>
                    <w:noProof/>
                    <w:color w:val="595959"/>
                    <w:sz w:val="22"/>
                    <w:szCs w:val="22"/>
                  </w:rPr>
                  <w:t>i</w:t>
                </w:r>
                <w:r w:rsidRPr="000743FB">
                  <w:rPr>
                    <w:rFonts w:ascii="Calibri" w:hAnsi="Calibri" w:cs="Calibri"/>
                    <w:b/>
                    <w:noProof/>
                    <w:color w:val="595959"/>
                    <w:sz w:val="22"/>
                    <w:szCs w:val="22"/>
                  </w:rPr>
                  <w:t>onal Financing</w:t>
                </w:r>
              </w:p>
            </w:tc>
            <w:tc>
              <w:tcPr>
                <w:tcW w:w="2445" w:type="dxa"/>
                <w:tcBorders>
                  <w:top w:val="nil"/>
                  <w:bottom w:val="single" w:sz="4" w:space="0" w:color="D9D9D9" w:themeColor="background1" w:themeShade="D9"/>
                  <w:right w:val="single" w:sz="4" w:space="0" w:color="D9D9D9" w:themeColor="background1" w:themeShade="D9"/>
                </w:tcBorders>
                <w:shd w:val="clear" w:color="auto" w:fill="F7F7F7"/>
              </w:tcPr>
              <w:p w14:paraId="3513D42E" w14:textId="77777777" w:rsidR="004E02B0" w:rsidRPr="00304676" w:rsidRDefault="00880CEC" w:rsidP="009526D4">
                <w:pPr>
                  <w:widowControl/>
                  <w:tabs>
                    <w:tab w:val="left" w:pos="10962"/>
                  </w:tabs>
                  <w:autoSpaceDE/>
                  <w:autoSpaceDN/>
                  <w:adjustRightInd/>
                  <w:ind w:left="-29"/>
                  <w:jc w:val="center"/>
                  <w:rPr>
                    <w:rFonts w:asciiTheme="minorHAnsi" w:eastAsiaTheme="minorHAnsi" w:hAnsiTheme="minorHAnsi" w:cstheme="minorBidi"/>
                    <w:b/>
                    <w:color w:val="002060"/>
                    <w:sz w:val="22"/>
                    <w:szCs w:val="22"/>
                  </w:rPr>
                </w:pPr>
                <w:r w:rsidRPr="000743FB">
                  <w:rPr>
                    <w:rFonts w:ascii="Calibri" w:hAnsi="Calibri" w:cs="Calibri"/>
                    <w:b/>
                    <w:noProof/>
                    <w:color w:val="595959"/>
                    <w:sz w:val="22"/>
                    <w:szCs w:val="22"/>
                  </w:rPr>
                  <w:t>Total Proposed Financing</w:t>
                </w:r>
              </w:p>
            </w:tc>
          </w:tr>
          <w:tr w:rsidR="004F0F3F" w14:paraId="2CF47A6E" w14:textId="77777777" w:rsidTr="00CA39B1">
            <w:trPr>
              <w:trHeight w:val="432"/>
            </w:trPr>
            <w:tc>
              <w:tcPr>
                <w:tcW w:w="2983" w:type="dxa"/>
                <w:tcBorders>
                  <w:left w:val="single" w:sz="4" w:space="0" w:color="D9D9D9" w:themeColor="background1" w:themeShade="D9"/>
                  <w:bottom w:val="single" w:sz="4" w:space="0" w:color="D9D9D9" w:themeColor="background1" w:themeShade="D9"/>
                </w:tcBorders>
                <w:shd w:val="clear" w:color="auto" w:fill="F7F7F7"/>
                <w:vAlign w:val="center"/>
              </w:tcPr>
              <w:p w14:paraId="5C71E310" w14:textId="77777777" w:rsidR="00D66F27" w:rsidRPr="00304676" w:rsidRDefault="00880CEC" w:rsidP="00D66F27">
                <w:pPr>
                  <w:widowControl/>
                  <w:autoSpaceDE/>
                  <w:autoSpaceDN/>
                  <w:adjustRightInd/>
                  <w:spacing w:before="20"/>
                  <w:rPr>
                    <w:rFonts w:asciiTheme="minorHAnsi" w:eastAsiaTheme="minorHAnsi" w:hAnsiTheme="minorHAnsi" w:cstheme="minorBidi"/>
                    <w:b/>
                    <w:color w:val="auto"/>
                    <w:sz w:val="22"/>
                    <w:szCs w:val="22"/>
                  </w:rPr>
                </w:pPr>
                <w:r>
                  <w:rPr>
                    <w:rFonts w:asciiTheme="minorHAnsi" w:hAnsiTheme="minorHAnsi"/>
                    <w:b/>
                    <w:noProof/>
                    <w:sz w:val="22"/>
                    <w:szCs w:val="22"/>
                  </w:rPr>
                  <w:t>Government p</w:t>
                </w:r>
                <w:r w:rsidRPr="007D7863">
                  <w:rPr>
                    <w:rFonts w:asciiTheme="minorHAnsi" w:hAnsiTheme="minorHAnsi"/>
                    <w:b/>
                    <w:noProof/>
                    <w:sz w:val="22"/>
                    <w:szCs w:val="22"/>
                  </w:rPr>
                  <w:t>rogram Cost</w:t>
                </w:r>
              </w:p>
            </w:tc>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tcPr>
              <w:p w14:paraId="1820D646" w14:textId="77777777" w:rsidR="00D66F27" w:rsidRPr="00C955F1" w:rsidRDefault="00880CEC" w:rsidP="0047528F">
                <w:pPr>
                  <w:widowControl/>
                  <w:tabs>
                    <w:tab w:val="left" w:pos="204"/>
                    <w:tab w:val="right" w:pos="2686"/>
                  </w:tabs>
                  <w:autoSpaceDE/>
                  <w:autoSpaceDN/>
                  <w:adjustRightInd/>
                  <w:spacing w:before="20"/>
                  <w:jc w:val="right"/>
                  <w:rPr>
                    <w:rFonts w:asciiTheme="minorHAnsi" w:hAnsiTheme="minorHAnsi"/>
                    <w:noProof/>
                    <w:sz w:val="22"/>
                    <w:szCs w:val="22"/>
                  </w:rPr>
                </w:pPr>
                <w:r>
                  <w:rPr>
                    <w:rFonts w:asciiTheme="minorHAnsi" w:hAnsiTheme="minorHAnsi"/>
                    <w:noProof/>
                    <w:sz w:val="22"/>
                    <w:szCs w:val="22"/>
                  </w:rPr>
                  <w:t>1508.59</w:t>
                </w:r>
              </w:p>
            </w:tc>
            <w:tc>
              <w:tcPr>
                <w:tcW w:w="2809" w:type="dxa"/>
                <w:tcBorders>
                  <w:left w:val="single" w:sz="4" w:space="0" w:color="D9D9D9" w:themeColor="background1" w:themeShade="D9"/>
                  <w:bottom w:val="single" w:sz="4" w:space="0" w:color="D9D9D9" w:themeColor="background1" w:themeShade="D9"/>
                </w:tcBorders>
                <w:shd w:val="clear" w:color="auto" w:fill="F7F7F7"/>
              </w:tcPr>
              <w:p w14:paraId="3EC8FFC4" w14:textId="77777777" w:rsidR="00D66F27" w:rsidRPr="002D6BA7" w:rsidRDefault="00880CEC" w:rsidP="004F3EF1">
                <w:pPr>
                  <w:widowControl/>
                  <w:tabs>
                    <w:tab w:val="left" w:pos="204"/>
                    <w:tab w:val="right" w:pos="2686"/>
                  </w:tabs>
                  <w:autoSpaceDE/>
                  <w:autoSpaceDN/>
                  <w:adjustRightInd/>
                  <w:spacing w:before="20"/>
                  <w:jc w:val="right"/>
                  <w:rPr>
                    <w:rFonts w:asciiTheme="minorHAnsi" w:eastAsiaTheme="minorHAnsi" w:hAnsiTheme="minorHAnsi" w:cstheme="minorBidi"/>
                    <w:noProof/>
                    <w:color w:val="auto"/>
                    <w:sz w:val="22"/>
                    <w:szCs w:val="22"/>
                  </w:rPr>
                </w:pPr>
                <w:r>
                  <w:rPr>
                    <w:rFonts w:asciiTheme="minorHAnsi" w:eastAsiaTheme="minorHAnsi" w:hAnsiTheme="minorHAnsi" w:cstheme="minorBidi"/>
                    <w:noProof/>
                    <w:color w:val="auto"/>
                    <w:sz w:val="22"/>
                    <w:szCs w:val="22"/>
                  </w:rPr>
                  <w:t>1500.00</w:t>
                </w:r>
              </w:p>
            </w:tc>
            <w:tc>
              <w:tcPr>
                <w:tcW w:w="2445" w:type="dxa"/>
                <w:tcBorders>
                  <w:bottom w:val="single" w:sz="4" w:space="0" w:color="D9D9D9" w:themeColor="background1" w:themeShade="D9"/>
                  <w:right w:val="single" w:sz="4" w:space="0" w:color="D9D9D9" w:themeColor="background1" w:themeShade="D9"/>
                </w:tcBorders>
                <w:shd w:val="clear" w:color="auto" w:fill="F7F7F7"/>
                <w:tcMar>
                  <w:left w:w="0" w:type="dxa"/>
                  <w:right w:w="0" w:type="dxa"/>
                </w:tcMar>
                <w:vAlign w:val="center"/>
              </w:tcPr>
              <w:p w14:paraId="4008CEDB" w14:textId="77777777" w:rsidR="00D66F27" w:rsidRPr="00304676" w:rsidRDefault="00880CEC" w:rsidP="00D66F27">
                <w:pPr>
                  <w:widowControl/>
                  <w:tabs>
                    <w:tab w:val="left" w:pos="204"/>
                    <w:tab w:val="right" w:pos="2686"/>
                  </w:tabs>
                  <w:autoSpaceDE/>
                  <w:autoSpaceDN/>
                  <w:adjustRightInd/>
                  <w:spacing w:before="20"/>
                  <w:ind w:right="91"/>
                  <w:jc w:val="right"/>
                  <w:rPr>
                    <w:rFonts w:asciiTheme="minorHAnsi" w:eastAsiaTheme="minorHAnsi" w:hAnsiTheme="minorHAnsi" w:cstheme="minorBidi"/>
                    <w:color w:val="auto"/>
                    <w:sz w:val="22"/>
                    <w:szCs w:val="22"/>
                  </w:rPr>
                </w:pPr>
                <w:r>
                  <w:rPr>
                    <w:rFonts w:asciiTheme="minorHAnsi" w:hAnsiTheme="minorHAnsi"/>
                    <w:noProof/>
                    <w:sz w:val="22"/>
                    <w:szCs w:val="22"/>
                  </w:rPr>
                  <w:t>3008.59</w:t>
                </w:r>
              </w:p>
            </w:tc>
          </w:tr>
          <w:tr w:rsidR="004F0F3F" w14:paraId="16EC5A4A" w14:textId="77777777" w:rsidTr="00CA39B1">
            <w:trPr>
              <w:trHeight w:val="432"/>
            </w:trPr>
            <w:tc>
              <w:tcPr>
                <w:tcW w:w="2983" w:type="dxa"/>
                <w:tcBorders>
                  <w:left w:val="single" w:sz="4" w:space="0" w:color="D9D9D9" w:themeColor="background1" w:themeShade="D9"/>
                  <w:bottom w:val="single" w:sz="4" w:space="0" w:color="D9D9D9" w:themeColor="background1" w:themeShade="D9"/>
                </w:tcBorders>
                <w:shd w:val="clear" w:color="auto" w:fill="F7F7F7"/>
                <w:vAlign w:val="center"/>
              </w:tcPr>
              <w:p w14:paraId="3A09A3C1" w14:textId="77777777" w:rsidR="00D66F27" w:rsidRPr="00304676" w:rsidRDefault="00880CEC" w:rsidP="00D66F27">
                <w:pPr>
                  <w:widowControl/>
                  <w:autoSpaceDE/>
                  <w:autoSpaceDN/>
                  <w:adjustRightInd/>
                  <w:spacing w:before="20"/>
                  <w:rPr>
                    <w:rFonts w:asciiTheme="minorHAnsi" w:eastAsiaTheme="minorHAnsi" w:hAnsiTheme="minorHAnsi" w:cstheme="minorBidi"/>
                    <w:b/>
                    <w:color w:val="auto"/>
                    <w:sz w:val="22"/>
                    <w:szCs w:val="22"/>
                  </w:rPr>
                </w:pPr>
                <w:r w:rsidRPr="007D7863">
                  <w:rPr>
                    <w:rFonts w:asciiTheme="minorHAnsi" w:hAnsiTheme="minorHAnsi"/>
                    <w:b/>
                    <w:noProof/>
                    <w:sz w:val="22"/>
                    <w:szCs w:val="22"/>
                  </w:rPr>
                  <w:t>Total Operation Cost</w:t>
                </w:r>
              </w:p>
            </w:tc>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tcPr>
              <w:p w14:paraId="1EDBFC21" w14:textId="77777777" w:rsidR="00D66F27" w:rsidRPr="00C955F1" w:rsidRDefault="00880CEC" w:rsidP="00D66F27">
                <w:pPr>
                  <w:widowControl/>
                  <w:tabs>
                    <w:tab w:val="left" w:pos="204"/>
                    <w:tab w:val="right" w:pos="2686"/>
                  </w:tabs>
                  <w:autoSpaceDE/>
                  <w:autoSpaceDN/>
                  <w:adjustRightInd/>
                  <w:spacing w:before="20"/>
                  <w:jc w:val="right"/>
                  <w:rPr>
                    <w:rFonts w:asciiTheme="minorHAnsi" w:hAnsiTheme="minorHAnsi"/>
                    <w:noProof/>
                    <w:sz w:val="22"/>
                    <w:szCs w:val="22"/>
                  </w:rPr>
                </w:pPr>
                <w:r>
                  <w:rPr>
                    <w:rFonts w:asciiTheme="minorHAnsi" w:hAnsiTheme="minorHAnsi"/>
                    <w:noProof/>
                    <w:sz w:val="22"/>
                    <w:szCs w:val="22"/>
                  </w:rPr>
                  <w:t>479.10</w:t>
                </w:r>
              </w:p>
            </w:tc>
            <w:tc>
              <w:tcPr>
                <w:tcW w:w="2809" w:type="dxa"/>
                <w:tcBorders>
                  <w:left w:val="single" w:sz="4" w:space="0" w:color="D9D9D9" w:themeColor="background1" w:themeShade="D9"/>
                  <w:bottom w:val="single" w:sz="4" w:space="0" w:color="D9D9D9" w:themeColor="background1" w:themeShade="D9"/>
                </w:tcBorders>
                <w:shd w:val="clear" w:color="auto" w:fill="F7F7F7"/>
              </w:tcPr>
              <w:p w14:paraId="78644FBB" w14:textId="77777777" w:rsidR="00D66F27" w:rsidRPr="002D6BA7" w:rsidRDefault="00880CEC" w:rsidP="004F3EF1">
                <w:pPr>
                  <w:widowControl/>
                  <w:tabs>
                    <w:tab w:val="left" w:pos="204"/>
                    <w:tab w:val="right" w:pos="2596"/>
                  </w:tabs>
                  <w:autoSpaceDE/>
                  <w:autoSpaceDN/>
                  <w:adjustRightInd/>
                  <w:spacing w:before="20"/>
                  <w:jc w:val="right"/>
                  <w:rPr>
                    <w:rFonts w:asciiTheme="minorHAnsi" w:eastAsiaTheme="minorHAnsi" w:hAnsiTheme="minorHAnsi" w:cstheme="minorBidi"/>
                    <w:noProof/>
                    <w:color w:val="auto"/>
                    <w:sz w:val="22"/>
                    <w:szCs w:val="22"/>
                  </w:rPr>
                </w:pPr>
                <w:r>
                  <w:rPr>
                    <w:rFonts w:asciiTheme="minorHAnsi" w:eastAsiaTheme="minorHAnsi" w:hAnsiTheme="minorHAnsi" w:cstheme="minorBidi"/>
                    <w:noProof/>
                    <w:color w:val="auto"/>
                    <w:sz w:val="22"/>
                    <w:szCs w:val="22"/>
                  </w:rPr>
                  <w:t>489.00</w:t>
                </w:r>
              </w:p>
            </w:tc>
            <w:tc>
              <w:tcPr>
                <w:tcW w:w="2445" w:type="dxa"/>
                <w:tcBorders>
                  <w:bottom w:val="single" w:sz="4" w:space="0" w:color="D9D9D9" w:themeColor="background1" w:themeShade="D9"/>
                  <w:right w:val="single" w:sz="4" w:space="0" w:color="D9D9D9" w:themeColor="background1" w:themeShade="D9"/>
                </w:tcBorders>
                <w:shd w:val="clear" w:color="auto" w:fill="F7F7F7"/>
                <w:tcMar>
                  <w:left w:w="0" w:type="dxa"/>
                  <w:right w:w="0" w:type="dxa"/>
                </w:tcMar>
                <w:vAlign w:val="center"/>
              </w:tcPr>
              <w:p w14:paraId="3B53BFA8" w14:textId="77777777" w:rsidR="00D66F27" w:rsidRPr="00304676" w:rsidRDefault="00880CEC" w:rsidP="00D66F27">
                <w:pPr>
                  <w:widowControl/>
                  <w:tabs>
                    <w:tab w:val="left" w:pos="204"/>
                    <w:tab w:val="right" w:pos="2686"/>
                  </w:tabs>
                  <w:autoSpaceDE/>
                  <w:autoSpaceDN/>
                  <w:adjustRightInd/>
                  <w:spacing w:before="20"/>
                  <w:ind w:right="91"/>
                  <w:jc w:val="right"/>
                  <w:rPr>
                    <w:rFonts w:asciiTheme="minorHAnsi" w:eastAsiaTheme="minorHAnsi" w:hAnsiTheme="minorHAnsi" w:cstheme="minorBidi"/>
                    <w:color w:val="auto"/>
                    <w:sz w:val="22"/>
                    <w:szCs w:val="22"/>
                  </w:rPr>
                </w:pPr>
                <w:r>
                  <w:rPr>
                    <w:rFonts w:asciiTheme="minorHAnsi" w:hAnsiTheme="minorHAnsi"/>
                    <w:noProof/>
                    <w:sz w:val="22"/>
                    <w:szCs w:val="22"/>
                  </w:rPr>
                  <w:t>968.10</w:t>
                </w:r>
              </w:p>
            </w:tc>
          </w:tr>
          <w:tr w:rsidR="004F0F3F" w14:paraId="75755FE9" w14:textId="77777777" w:rsidTr="00CA39B1">
            <w:trPr>
              <w:trHeight w:val="432"/>
            </w:trPr>
            <w:tc>
              <w:tcPr>
                <w:tcW w:w="2983" w:type="dxa"/>
                <w:tcBorders>
                  <w:left w:val="single" w:sz="4" w:space="0" w:color="D9D9D9" w:themeColor="background1" w:themeShade="D9"/>
                  <w:bottom w:val="single" w:sz="4" w:space="0" w:color="D9D9D9" w:themeColor="background1" w:themeShade="D9"/>
                </w:tcBorders>
                <w:shd w:val="clear" w:color="auto" w:fill="F7F7F7"/>
                <w:vAlign w:val="center"/>
              </w:tcPr>
              <w:p w14:paraId="04507C96" w14:textId="77777777" w:rsidR="00D66F27" w:rsidRPr="00304676" w:rsidRDefault="00880CEC" w:rsidP="00D66F27">
                <w:pPr>
                  <w:widowControl/>
                  <w:autoSpaceDE/>
                  <w:autoSpaceDN/>
                  <w:adjustRightInd/>
                  <w:spacing w:before="20"/>
                  <w:ind w:left="795"/>
                  <w:rPr>
                    <w:rFonts w:asciiTheme="minorHAnsi" w:eastAsiaTheme="minorHAnsi" w:hAnsiTheme="minorHAnsi" w:cstheme="minorBidi"/>
                    <w:b/>
                    <w:color w:val="auto"/>
                    <w:sz w:val="22"/>
                    <w:szCs w:val="22"/>
                  </w:rPr>
                </w:pPr>
                <w:r w:rsidRPr="007D7863">
                  <w:rPr>
                    <w:rFonts w:asciiTheme="minorHAnsi" w:hAnsiTheme="minorHAnsi"/>
                    <w:noProof/>
                    <w:sz w:val="22"/>
                    <w:szCs w:val="22"/>
                  </w:rPr>
                  <w:t>Total Program Cost</w:t>
                </w:r>
              </w:p>
            </w:tc>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tcPr>
              <w:p w14:paraId="1EC846B5" w14:textId="77777777" w:rsidR="00D66F27" w:rsidRPr="00C955F1" w:rsidRDefault="00880CEC" w:rsidP="00D66F27">
                <w:pPr>
                  <w:widowControl/>
                  <w:tabs>
                    <w:tab w:val="left" w:pos="204"/>
                    <w:tab w:val="right" w:pos="2686"/>
                  </w:tabs>
                  <w:autoSpaceDE/>
                  <w:autoSpaceDN/>
                  <w:adjustRightInd/>
                  <w:spacing w:before="20"/>
                  <w:jc w:val="right"/>
                  <w:rPr>
                    <w:rFonts w:asciiTheme="minorHAnsi" w:hAnsiTheme="minorHAnsi"/>
                    <w:noProof/>
                    <w:sz w:val="22"/>
                    <w:szCs w:val="22"/>
                  </w:rPr>
                </w:pPr>
                <w:r>
                  <w:rPr>
                    <w:rFonts w:asciiTheme="minorHAnsi" w:hAnsiTheme="minorHAnsi"/>
                    <w:noProof/>
                    <w:sz w:val="22"/>
                    <w:szCs w:val="22"/>
                  </w:rPr>
                  <w:t>479.10</w:t>
                </w:r>
              </w:p>
            </w:tc>
            <w:tc>
              <w:tcPr>
                <w:tcW w:w="2809" w:type="dxa"/>
                <w:tcBorders>
                  <w:left w:val="single" w:sz="4" w:space="0" w:color="D9D9D9" w:themeColor="background1" w:themeShade="D9"/>
                  <w:bottom w:val="single" w:sz="4" w:space="0" w:color="D9D9D9" w:themeColor="background1" w:themeShade="D9"/>
                </w:tcBorders>
                <w:shd w:val="clear" w:color="auto" w:fill="F7F7F7"/>
              </w:tcPr>
              <w:p w14:paraId="044D5AC9" w14:textId="77777777" w:rsidR="00D66F27" w:rsidRPr="002D6BA7" w:rsidRDefault="00880CEC" w:rsidP="002D6BA7">
                <w:pPr>
                  <w:widowControl/>
                  <w:tabs>
                    <w:tab w:val="left" w:pos="204"/>
                    <w:tab w:val="right" w:pos="2686"/>
                  </w:tabs>
                  <w:autoSpaceDE/>
                  <w:autoSpaceDN/>
                  <w:adjustRightInd/>
                  <w:spacing w:before="20"/>
                  <w:jc w:val="right"/>
                  <w:rPr>
                    <w:rFonts w:asciiTheme="minorHAnsi" w:eastAsiaTheme="minorHAnsi" w:hAnsiTheme="minorHAnsi" w:cstheme="minorBidi"/>
                    <w:noProof/>
                    <w:color w:val="auto"/>
                    <w:sz w:val="22"/>
                    <w:szCs w:val="22"/>
                  </w:rPr>
                </w:pPr>
                <w:r>
                  <w:rPr>
                    <w:rFonts w:asciiTheme="minorHAnsi" w:eastAsiaTheme="minorHAnsi" w:hAnsiTheme="minorHAnsi" w:cstheme="minorBidi"/>
                    <w:noProof/>
                    <w:color w:val="auto"/>
                    <w:sz w:val="22"/>
                    <w:szCs w:val="22"/>
                  </w:rPr>
                  <w:t>489.00</w:t>
                </w:r>
              </w:p>
            </w:tc>
            <w:tc>
              <w:tcPr>
                <w:tcW w:w="2445" w:type="dxa"/>
                <w:tcBorders>
                  <w:bottom w:val="single" w:sz="4" w:space="0" w:color="D9D9D9" w:themeColor="background1" w:themeShade="D9"/>
                  <w:right w:val="single" w:sz="4" w:space="0" w:color="D9D9D9" w:themeColor="background1" w:themeShade="D9"/>
                </w:tcBorders>
                <w:shd w:val="clear" w:color="auto" w:fill="F7F7F7"/>
                <w:tcMar>
                  <w:left w:w="0" w:type="dxa"/>
                  <w:right w:w="0" w:type="dxa"/>
                </w:tcMar>
                <w:vAlign w:val="center"/>
              </w:tcPr>
              <w:p w14:paraId="26A07A02" w14:textId="77777777" w:rsidR="00D66F27" w:rsidRPr="00304676" w:rsidRDefault="00880CEC" w:rsidP="00D66F27">
                <w:pPr>
                  <w:widowControl/>
                  <w:tabs>
                    <w:tab w:val="left" w:pos="204"/>
                    <w:tab w:val="right" w:pos="2686"/>
                  </w:tabs>
                  <w:autoSpaceDE/>
                  <w:autoSpaceDN/>
                  <w:adjustRightInd/>
                  <w:spacing w:before="20"/>
                  <w:ind w:right="91"/>
                  <w:jc w:val="right"/>
                  <w:rPr>
                    <w:rFonts w:asciiTheme="minorHAnsi" w:eastAsiaTheme="minorHAnsi" w:hAnsiTheme="minorHAnsi" w:cstheme="minorBidi"/>
                    <w:color w:val="auto"/>
                    <w:sz w:val="22"/>
                    <w:szCs w:val="22"/>
                  </w:rPr>
                </w:pPr>
                <w:r>
                  <w:rPr>
                    <w:rFonts w:asciiTheme="minorHAnsi" w:hAnsiTheme="minorHAnsi"/>
                    <w:noProof/>
                    <w:sz w:val="22"/>
                    <w:szCs w:val="22"/>
                  </w:rPr>
                  <w:t>968.10</w:t>
                </w:r>
              </w:p>
            </w:tc>
          </w:tr>
          <w:tr w:rsidR="004F0F3F" w14:paraId="1B15633B" w14:textId="77777777" w:rsidTr="00CA39B1">
            <w:trPr>
              <w:trHeight w:val="432"/>
            </w:trPr>
            <w:tc>
              <w:tcPr>
                <w:tcW w:w="2983" w:type="dxa"/>
                <w:tcBorders>
                  <w:left w:val="single" w:sz="4" w:space="0" w:color="D9D9D9" w:themeColor="background1" w:themeShade="D9"/>
                  <w:bottom w:val="single" w:sz="4" w:space="0" w:color="D9D9D9" w:themeColor="background1" w:themeShade="D9"/>
                </w:tcBorders>
                <w:shd w:val="clear" w:color="auto" w:fill="F7F7F7"/>
                <w:vAlign w:val="center"/>
              </w:tcPr>
              <w:p w14:paraId="32ED6EE6" w14:textId="77777777" w:rsidR="00D66F27" w:rsidRPr="00304676" w:rsidRDefault="00880CEC" w:rsidP="00D66F27">
                <w:pPr>
                  <w:widowControl/>
                  <w:autoSpaceDE/>
                  <w:autoSpaceDN/>
                  <w:adjustRightInd/>
                  <w:spacing w:before="20"/>
                  <w:rPr>
                    <w:rFonts w:asciiTheme="minorHAnsi" w:eastAsiaTheme="minorHAnsi" w:hAnsiTheme="minorHAnsi" w:cstheme="minorBidi"/>
                    <w:b/>
                    <w:color w:val="auto"/>
                    <w:sz w:val="22"/>
                    <w:szCs w:val="22"/>
                  </w:rPr>
                </w:pPr>
                <w:r w:rsidRPr="00304676">
                  <w:rPr>
                    <w:rFonts w:asciiTheme="minorHAnsi" w:eastAsiaTheme="minorHAnsi" w:hAnsiTheme="minorHAnsi" w:cstheme="minorBidi"/>
                    <w:b/>
                    <w:color w:val="auto"/>
                    <w:sz w:val="22"/>
                    <w:szCs w:val="22"/>
                  </w:rPr>
                  <w:t>Total Financing</w:t>
                </w:r>
              </w:p>
            </w:tc>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tcPr>
              <w:p w14:paraId="59C42DC4" w14:textId="77777777" w:rsidR="00D66F27" w:rsidRPr="00C955F1" w:rsidRDefault="00880CEC" w:rsidP="0047528F">
                <w:pPr>
                  <w:widowControl/>
                  <w:tabs>
                    <w:tab w:val="left" w:pos="204"/>
                    <w:tab w:val="right" w:pos="2686"/>
                  </w:tabs>
                  <w:autoSpaceDE/>
                  <w:autoSpaceDN/>
                  <w:adjustRightInd/>
                  <w:spacing w:before="20"/>
                  <w:jc w:val="right"/>
                  <w:rPr>
                    <w:rFonts w:asciiTheme="minorHAnsi" w:hAnsiTheme="minorHAnsi"/>
                    <w:noProof/>
                    <w:sz w:val="22"/>
                    <w:szCs w:val="22"/>
                  </w:rPr>
                </w:pPr>
                <w:r>
                  <w:rPr>
                    <w:rFonts w:asciiTheme="minorHAnsi" w:hAnsiTheme="minorHAnsi"/>
                    <w:noProof/>
                    <w:sz w:val="22"/>
                    <w:szCs w:val="22"/>
                  </w:rPr>
                  <w:t>439.10</w:t>
                </w:r>
              </w:p>
            </w:tc>
            <w:tc>
              <w:tcPr>
                <w:tcW w:w="2809" w:type="dxa"/>
                <w:tcBorders>
                  <w:left w:val="single" w:sz="4" w:space="0" w:color="D9D9D9" w:themeColor="background1" w:themeShade="D9"/>
                  <w:bottom w:val="single" w:sz="4" w:space="0" w:color="D9D9D9" w:themeColor="background1" w:themeShade="D9"/>
                </w:tcBorders>
                <w:shd w:val="clear" w:color="auto" w:fill="F7F7F7"/>
              </w:tcPr>
              <w:p w14:paraId="561CAB97" w14:textId="77777777" w:rsidR="00D66F27" w:rsidRPr="002D6BA7" w:rsidRDefault="00880CEC" w:rsidP="00646411">
                <w:pPr>
                  <w:widowControl/>
                  <w:tabs>
                    <w:tab w:val="left" w:pos="204"/>
                    <w:tab w:val="right" w:pos="2686"/>
                  </w:tabs>
                  <w:autoSpaceDE/>
                  <w:autoSpaceDN/>
                  <w:adjustRightInd/>
                  <w:spacing w:before="20"/>
                  <w:jc w:val="right"/>
                  <w:rPr>
                    <w:rFonts w:asciiTheme="minorHAnsi" w:eastAsiaTheme="minorHAnsi" w:hAnsiTheme="minorHAnsi" w:cstheme="minorBidi"/>
                    <w:noProof/>
                    <w:color w:val="auto"/>
                    <w:sz w:val="22"/>
                    <w:szCs w:val="22"/>
                  </w:rPr>
                </w:pPr>
                <w:r>
                  <w:rPr>
                    <w:rFonts w:asciiTheme="minorHAnsi" w:eastAsiaTheme="minorHAnsi" w:hAnsiTheme="minorHAnsi" w:cstheme="minorBidi"/>
                    <w:noProof/>
                    <w:color w:val="auto"/>
                    <w:sz w:val="22"/>
                    <w:szCs w:val="22"/>
                  </w:rPr>
                  <w:t>489.00</w:t>
                </w:r>
              </w:p>
            </w:tc>
            <w:tc>
              <w:tcPr>
                <w:tcW w:w="2445" w:type="dxa"/>
                <w:tcBorders>
                  <w:bottom w:val="single" w:sz="4" w:space="0" w:color="D9D9D9" w:themeColor="background1" w:themeShade="D9"/>
                  <w:right w:val="single" w:sz="4" w:space="0" w:color="D9D9D9" w:themeColor="background1" w:themeShade="D9"/>
                </w:tcBorders>
                <w:shd w:val="clear" w:color="auto" w:fill="F7F7F7"/>
                <w:tcMar>
                  <w:left w:w="0" w:type="dxa"/>
                  <w:right w:w="0" w:type="dxa"/>
                </w:tcMar>
                <w:vAlign w:val="center"/>
              </w:tcPr>
              <w:p w14:paraId="24EFB592" w14:textId="77777777" w:rsidR="00D66F27" w:rsidRPr="00304676" w:rsidRDefault="00880CEC" w:rsidP="00D66F27">
                <w:pPr>
                  <w:widowControl/>
                  <w:tabs>
                    <w:tab w:val="left" w:pos="204"/>
                    <w:tab w:val="right" w:pos="2686"/>
                  </w:tabs>
                  <w:autoSpaceDE/>
                  <w:autoSpaceDN/>
                  <w:adjustRightInd/>
                  <w:spacing w:before="20"/>
                  <w:ind w:right="91"/>
                  <w:jc w:val="right"/>
                  <w:rPr>
                    <w:rFonts w:asciiTheme="minorHAnsi" w:eastAsiaTheme="minorHAnsi" w:hAnsiTheme="minorHAnsi" w:cstheme="minorBidi"/>
                    <w:color w:val="auto"/>
                    <w:sz w:val="22"/>
                    <w:szCs w:val="22"/>
                  </w:rPr>
                </w:pPr>
                <w:r>
                  <w:rPr>
                    <w:rFonts w:asciiTheme="minorHAnsi" w:eastAsiaTheme="minorHAnsi" w:hAnsiTheme="minorHAnsi" w:cstheme="minorBidi"/>
                    <w:noProof/>
                    <w:color w:val="auto"/>
                    <w:sz w:val="22"/>
                    <w:szCs w:val="22"/>
                  </w:rPr>
                  <w:t>928.10</w:t>
                </w:r>
              </w:p>
            </w:tc>
          </w:tr>
          <w:tr w:rsidR="004F0F3F" w14:paraId="7FBAE415" w14:textId="77777777" w:rsidTr="00CA39B1">
            <w:trPr>
              <w:trHeight w:val="432"/>
            </w:trPr>
            <w:tc>
              <w:tcPr>
                <w:tcW w:w="2983" w:type="dxa"/>
                <w:tcBorders>
                  <w:left w:val="single" w:sz="4" w:space="0" w:color="D9D9D9" w:themeColor="background1" w:themeShade="D9"/>
                  <w:bottom w:val="single" w:sz="4" w:space="0" w:color="D9D9D9" w:themeColor="background1" w:themeShade="D9"/>
                </w:tcBorders>
                <w:shd w:val="clear" w:color="auto" w:fill="F7F7F7"/>
                <w:vAlign w:val="center"/>
              </w:tcPr>
              <w:p w14:paraId="1E8C82F6" w14:textId="77777777" w:rsidR="00D66F27" w:rsidRPr="00304676" w:rsidRDefault="00880CEC" w:rsidP="00D66F27">
                <w:pPr>
                  <w:widowControl/>
                  <w:autoSpaceDE/>
                  <w:autoSpaceDN/>
                  <w:adjustRightInd/>
                  <w:spacing w:before="20"/>
                  <w:rPr>
                    <w:rFonts w:asciiTheme="minorHAnsi" w:eastAsiaTheme="minorHAnsi" w:hAnsiTheme="minorHAnsi" w:cstheme="minorBidi"/>
                    <w:b/>
                    <w:color w:val="auto"/>
                    <w:sz w:val="22"/>
                    <w:szCs w:val="22"/>
                  </w:rPr>
                </w:pPr>
                <w:r w:rsidRPr="00304676">
                  <w:rPr>
                    <w:rFonts w:asciiTheme="minorHAnsi" w:eastAsiaTheme="minorHAnsi" w:hAnsiTheme="minorHAnsi" w:cstheme="minorBidi"/>
                    <w:b/>
                    <w:color w:val="auto"/>
                    <w:sz w:val="22"/>
                    <w:szCs w:val="22"/>
                  </w:rPr>
                  <w:t>Financing Gap</w:t>
                </w:r>
              </w:p>
            </w:tc>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tcPr>
              <w:p w14:paraId="0F88D782" w14:textId="77777777" w:rsidR="00D66F27" w:rsidRPr="00C955F1" w:rsidRDefault="00880CEC" w:rsidP="0047528F">
                <w:pPr>
                  <w:widowControl/>
                  <w:tabs>
                    <w:tab w:val="left" w:pos="204"/>
                    <w:tab w:val="right" w:pos="2686"/>
                  </w:tabs>
                  <w:autoSpaceDE/>
                  <w:autoSpaceDN/>
                  <w:adjustRightInd/>
                  <w:spacing w:before="20"/>
                  <w:jc w:val="right"/>
                  <w:rPr>
                    <w:rFonts w:asciiTheme="minorHAnsi" w:hAnsiTheme="minorHAnsi"/>
                    <w:noProof/>
                    <w:sz w:val="22"/>
                    <w:szCs w:val="22"/>
                  </w:rPr>
                </w:pPr>
                <w:r>
                  <w:rPr>
                    <w:rFonts w:asciiTheme="minorHAnsi" w:hAnsiTheme="minorHAnsi"/>
                    <w:noProof/>
                    <w:sz w:val="22"/>
                    <w:szCs w:val="22"/>
                  </w:rPr>
                  <w:t>40.00</w:t>
                </w:r>
              </w:p>
            </w:tc>
            <w:tc>
              <w:tcPr>
                <w:tcW w:w="2809" w:type="dxa"/>
                <w:tcBorders>
                  <w:left w:val="single" w:sz="4" w:space="0" w:color="D9D9D9" w:themeColor="background1" w:themeShade="D9"/>
                  <w:bottom w:val="single" w:sz="4" w:space="0" w:color="D9D9D9" w:themeColor="background1" w:themeShade="D9"/>
                </w:tcBorders>
                <w:shd w:val="clear" w:color="auto" w:fill="F7F7F7"/>
              </w:tcPr>
              <w:p w14:paraId="0FC05C4A" w14:textId="77777777" w:rsidR="00D66F27" w:rsidRPr="002D6BA7" w:rsidRDefault="00880CEC" w:rsidP="00646411">
                <w:pPr>
                  <w:widowControl/>
                  <w:tabs>
                    <w:tab w:val="left" w:pos="204"/>
                    <w:tab w:val="right" w:pos="2686"/>
                  </w:tabs>
                  <w:autoSpaceDE/>
                  <w:autoSpaceDN/>
                  <w:adjustRightInd/>
                  <w:spacing w:before="20"/>
                  <w:jc w:val="right"/>
                  <w:rPr>
                    <w:rFonts w:asciiTheme="minorHAnsi" w:eastAsiaTheme="minorHAnsi" w:hAnsiTheme="minorHAnsi" w:cstheme="minorBidi"/>
                    <w:noProof/>
                    <w:color w:val="auto"/>
                    <w:sz w:val="22"/>
                    <w:szCs w:val="22"/>
                  </w:rPr>
                </w:pPr>
                <w:r>
                  <w:rPr>
                    <w:rFonts w:asciiTheme="minorHAnsi" w:eastAsiaTheme="minorHAnsi" w:hAnsiTheme="minorHAnsi" w:cstheme="minorBidi"/>
                    <w:noProof/>
                    <w:color w:val="auto"/>
                    <w:sz w:val="22"/>
                    <w:szCs w:val="22"/>
                  </w:rPr>
                  <w:t>0</w:t>
                </w:r>
              </w:p>
            </w:tc>
            <w:tc>
              <w:tcPr>
                <w:tcW w:w="2445" w:type="dxa"/>
                <w:tcBorders>
                  <w:bottom w:val="single" w:sz="4" w:space="0" w:color="D9D9D9" w:themeColor="background1" w:themeShade="D9"/>
                  <w:right w:val="single" w:sz="4" w:space="0" w:color="D9D9D9" w:themeColor="background1" w:themeShade="D9"/>
                </w:tcBorders>
                <w:shd w:val="clear" w:color="auto" w:fill="F7F7F7"/>
                <w:tcMar>
                  <w:left w:w="0" w:type="dxa"/>
                  <w:right w:w="0" w:type="dxa"/>
                </w:tcMar>
                <w:vAlign w:val="center"/>
              </w:tcPr>
              <w:p w14:paraId="61A12FFD" w14:textId="77777777" w:rsidR="00D66F27" w:rsidRPr="00304676" w:rsidRDefault="00880CEC" w:rsidP="00D66F27">
                <w:pPr>
                  <w:widowControl/>
                  <w:tabs>
                    <w:tab w:val="left" w:pos="204"/>
                    <w:tab w:val="right" w:pos="2686"/>
                  </w:tabs>
                  <w:autoSpaceDE/>
                  <w:autoSpaceDN/>
                  <w:adjustRightInd/>
                  <w:spacing w:before="20"/>
                  <w:ind w:right="91"/>
                  <w:jc w:val="right"/>
                  <w:rPr>
                    <w:rFonts w:asciiTheme="minorHAnsi" w:eastAsiaTheme="minorHAnsi" w:hAnsiTheme="minorHAnsi" w:cstheme="minorBidi"/>
                    <w:color w:val="auto"/>
                    <w:sz w:val="22"/>
                    <w:szCs w:val="22"/>
                  </w:rPr>
                </w:pPr>
                <w:r>
                  <w:rPr>
                    <w:rFonts w:asciiTheme="minorHAnsi" w:eastAsiaTheme="minorHAnsi" w:hAnsiTheme="minorHAnsi" w:cstheme="minorBidi"/>
                    <w:noProof/>
                    <w:color w:val="auto"/>
                    <w:sz w:val="22"/>
                    <w:szCs w:val="22"/>
                  </w:rPr>
                  <w:t>40.00</w:t>
                </w:r>
              </w:p>
            </w:tc>
          </w:tr>
          <w:tr w:rsidR="004F0F3F" w14:paraId="36488A2A" w14:textId="77777777" w:rsidTr="004E02B0">
            <w:trPr>
              <w:trHeight w:val="80"/>
            </w:trPr>
            <w:tc>
              <w:tcPr>
                <w:tcW w:w="10642" w:type="dxa"/>
                <w:gridSpan w:val="4"/>
                <w:tcBorders>
                  <w:left w:val="nil"/>
                  <w:bottom w:val="nil"/>
                  <w:right w:val="nil"/>
                </w:tcBorders>
                <w:shd w:val="clear" w:color="auto" w:fill="F7F7F7"/>
              </w:tcPr>
              <w:p w14:paraId="3FCCFE67" w14:textId="77777777" w:rsidR="00D66F27" w:rsidRPr="00304676" w:rsidRDefault="00D66F27" w:rsidP="00D66F27">
                <w:pPr>
                  <w:widowControl/>
                  <w:tabs>
                    <w:tab w:val="left" w:pos="204"/>
                    <w:tab w:val="right" w:pos="2844"/>
                  </w:tabs>
                  <w:autoSpaceDE/>
                  <w:autoSpaceDN/>
                  <w:adjustRightInd/>
                  <w:spacing w:line="160" w:lineRule="exact"/>
                  <w:jc w:val="right"/>
                  <w:rPr>
                    <w:rFonts w:asciiTheme="minorHAnsi" w:eastAsiaTheme="minorHAnsi" w:hAnsiTheme="minorHAnsi" w:cstheme="minorBidi"/>
                    <w:color w:val="auto"/>
                    <w:sz w:val="22"/>
                    <w:szCs w:val="22"/>
                  </w:rPr>
                </w:pPr>
              </w:p>
            </w:tc>
          </w:tr>
        </w:tbl>
        <w:p w14:paraId="17E93172" w14:textId="77777777" w:rsidR="00304676" w:rsidRDefault="00304676" w:rsidP="00F45566">
          <w:pPr>
            <w:widowControl/>
            <w:shd w:val="clear" w:color="auto" w:fill="F7F7F7"/>
            <w:ind w:left="-691" w:right="-518"/>
            <w:rPr>
              <w:rFonts w:asciiTheme="minorHAnsi" w:hAnsiTheme="minorHAnsi"/>
              <w:color w:val="767171" w:themeColor="background2" w:themeShade="80"/>
              <w:sz w:val="22"/>
              <w:szCs w:val="22"/>
            </w:rPr>
          </w:pPr>
        </w:p>
        <w:tbl>
          <w:tblPr>
            <w:tblStyle w:val="TableGrid"/>
            <w:tblW w:w="10642" w:type="dxa"/>
            <w:tblInd w:w="-720" w:type="dxa"/>
            <w:shd w:val="clear" w:color="auto" w:fill="F7F7F7"/>
            <w:tblLayout w:type="fixed"/>
            <w:tblLook w:val="04A0" w:firstRow="1" w:lastRow="0" w:firstColumn="1" w:lastColumn="0" w:noHBand="0" w:noVBand="1"/>
          </w:tblPr>
          <w:tblGrid>
            <w:gridCol w:w="6938"/>
            <w:gridCol w:w="3704"/>
          </w:tblGrid>
          <w:tr w:rsidR="004F0F3F" w14:paraId="60A44A19" w14:textId="77777777" w:rsidTr="00C91C37">
            <w:tc>
              <w:tcPr>
                <w:tcW w:w="10586" w:type="dxa"/>
                <w:gridSpan w:val="2"/>
                <w:tcBorders>
                  <w:top w:val="nil"/>
                  <w:left w:val="nil"/>
                  <w:bottom w:val="single" w:sz="4" w:space="0" w:color="D9D9D9" w:themeColor="background1" w:themeShade="D9"/>
                  <w:right w:val="nil"/>
                </w:tcBorders>
                <w:shd w:val="clear" w:color="auto" w:fill="F7F7F7"/>
              </w:tcPr>
              <w:p w14:paraId="681AA120" w14:textId="77777777" w:rsidR="00C91C37" w:rsidRPr="00A97DA8" w:rsidRDefault="00880CEC" w:rsidP="00982627">
                <w:pPr>
                  <w:keepNext/>
                  <w:widowControl/>
                  <w:shd w:val="clear" w:color="auto" w:fill="F7F7F7"/>
                  <w:tabs>
                    <w:tab w:val="left" w:pos="3709"/>
                  </w:tabs>
                  <w:autoSpaceDE/>
                  <w:autoSpaceDN/>
                  <w:adjustRightInd/>
                  <w:spacing w:after="160" w:line="259" w:lineRule="auto"/>
                  <w:ind w:left="-15" w:right="-504"/>
                  <w:rPr>
                    <w:rFonts w:asciiTheme="minorHAnsi" w:hAnsiTheme="minorHAnsi"/>
                    <w:b/>
                    <w:color w:val="172D5F"/>
                    <w:sz w:val="22"/>
                    <w:szCs w:val="22"/>
                  </w:rPr>
                </w:pPr>
                <w:r w:rsidRPr="00982627">
                  <w:rPr>
                    <w:rFonts w:asciiTheme="minorHAnsi" w:eastAsiaTheme="minorHAnsi" w:hAnsiTheme="minorHAnsi" w:cstheme="minorBidi"/>
                    <w:b/>
                    <w:bCs/>
                    <w:color w:val="002060"/>
                    <w:sz w:val="22"/>
                    <w:szCs w:val="22"/>
                  </w:rPr>
                  <w:t>DETAILS – Additional Financing</w:t>
                </w:r>
              </w:p>
            </w:tc>
          </w:tr>
          <w:tr w:rsidR="004F0F3F" w14:paraId="41159B30" w14:textId="77777777" w:rsidTr="00C91C37">
            <w:trPr>
              <w:trHeight w:val="512"/>
            </w:trPr>
            <w:tc>
              <w:tcPr>
                <w:tcW w:w="69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tcPr>
              <w:p w14:paraId="19BB9C7E" w14:textId="77777777" w:rsidR="00C91C37" w:rsidRPr="00704567" w:rsidRDefault="00880CEC" w:rsidP="00D81B56">
                <w:pPr>
                  <w:rPr>
                    <w:rFonts w:asciiTheme="minorHAnsi" w:eastAsiaTheme="minorHAnsi" w:hAnsiTheme="minorHAnsi" w:cstheme="minorBidi"/>
                    <w:color w:val="auto"/>
                    <w:sz w:val="22"/>
                    <w:szCs w:val="22"/>
                  </w:rPr>
                </w:pPr>
                <w:r>
                  <w:t xml:space="preserve">  </w:t>
                </w:r>
                <w:r w:rsidRPr="00F51274">
                  <w:rPr>
                    <w:rFonts w:asciiTheme="minorHAnsi" w:eastAsiaTheme="minorHAnsi" w:hAnsiTheme="minorHAnsi" w:cstheme="minorBidi"/>
                    <w:color w:val="auto"/>
                    <w:sz w:val="22"/>
                    <w:szCs w:val="22"/>
                  </w:rPr>
                  <w:fldChar w:fldCharType="begin"/>
                </w:r>
                <w:r w:rsidRPr="00F51274">
                  <w:rPr>
                    <w:rFonts w:asciiTheme="minorHAnsi" w:eastAsiaTheme="minorHAnsi" w:hAnsiTheme="minorHAnsi" w:cstheme="minorBidi"/>
                    <w:color w:val="auto"/>
                    <w:sz w:val="22"/>
                    <w:szCs w:val="22"/>
                  </w:rPr>
                  <w:instrText xml:space="preserve"> IF</w:instrText>
                </w:r>
                <w:r w:rsidRPr="00F51274">
                  <w:rPr>
                    <w:rFonts w:asciiTheme="minorHAnsi" w:eastAsiaTheme="minorHAnsi" w:hAnsiTheme="minorHAnsi" w:cstheme="minorBidi"/>
                    <w:noProof/>
                    <w:color w:val="auto"/>
                    <w:sz w:val="22"/>
                    <w:szCs w:val="22"/>
                  </w:rPr>
                  <w:instrText xml:space="preserve"> 1 </w:instrText>
                </w:r>
                <w:r w:rsidRPr="00F51274">
                  <w:rPr>
                    <w:rFonts w:asciiTheme="minorHAnsi" w:eastAsiaTheme="minorHAnsi" w:hAnsiTheme="minorHAnsi" w:cstheme="minorBidi"/>
                    <w:color w:val="auto"/>
                    <w:sz w:val="22"/>
                    <w:szCs w:val="22"/>
                  </w:rPr>
                  <w:instrText xml:space="preserve">="1" "  </w:instrText>
                </w:r>
                <w:r w:rsidRPr="00F51274">
                  <w:rPr>
                    <w:rFonts w:asciiTheme="minorHAnsi" w:eastAsiaTheme="minorHAnsi" w:hAnsiTheme="minorHAnsi" w:cstheme="minorBidi"/>
                    <w:color w:val="404040"/>
                    <w:sz w:val="22"/>
                    <w:szCs w:val="22"/>
                  </w:rPr>
                  <w:instrText xml:space="preserve">   </w:instrText>
                </w:r>
                <w:r w:rsidRPr="002F7868">
                  <w:rPr>
                    <w:rFonts w:asciiTheme="minorHAnsi" w:eastAsiaTheme="minorHAnsi" w:hAnsiTheme="minorHAnsi" w:cstheme="minorBidi"/>
                    <w:b/>
                    <w:noProof/>
                    <w:color w:val="auto"/>
                    <w:sz w:val="22"/>
                    <w:szCs w:val="22"/>
                  </w:rPr>
                  <w:instrText>Counterpart Funding</w:instrText>
                </w:r>
                <w:r w:rsidRPr="00F51274">
                  <w:rPr>
                    <w:rFonts w:asciiTheme="minorHAnsi" w:eastAsiaTheme="minorHAnsi" w:hAnsiTheme="minorHAnsi" w:cstheme="minorBidi"/>
                    <w:color w:val="auto"/>
                    <w:sz w:val="22"/>
                    <w:szCs w:val="22"/>
                  </w:rPr>
                  <w:instrText>" "</w:instrText>
                </w:r>
                <w:r w:rsidRPr="00F51274">
                  <w:rPr>
                    <w:rFonts w:asciiTheme="minorHAnsi" w:eastAsiaTheme="minorHAnsi" w:hAnsiTheme="minorHAnsi" w:cstheme="minorBidi"/>
                    <w:color w:val="auto"/>
                    <w:sz w:val="22"/>
                    <w:szCs w:val="22"/>
                  </w:rPr>
                  <w:fldChar w:fldCharType="begin"/>
                </w:r>
                <w:r w:rsidRPr="00F51274">
                  <w:rPr>
                    <w:rFonts w:asciiTheme="minorHAnsi" w:eastAsiaTheme="minorHAnsi" w:hAnsiTheme="minorHAnsi" w:cstheme="minorBidi"/>
                    <w:color w:val="auto"/>
                    <w:sz w:val="22"/>
                    <w:szCs w:val="22"/>
                  </w:rPr>
                  <w:instrText xml:space="preserve"> IF</w:instrText>
                </w:r>
                <w:r w:rsidRPr="00F51274">
                  <w:rPr>
                    <w:rFonts w:asciiTheme="minorHAnsi" w:eastAsiaTheme="minorHAnsi" w:hAnsiTheme="minorHAnsi" w:cstheme="minorBidi"/>
                    <w:color w:val="auto"/>
                    <w:sz w:val="22"/>
                    <w:szCs w:val="22"/>
                  </w:rPr>
                  <w:fldChar w:fldCharType="begin"/>
                </w:r>
                <w:r w:rsidRPr="00F51274">
                  <w:rPr>
                    <w:rFonts w:asciiTheme="minorHAnsi" w:eastAsiaTheme="minorHAnsi" w:hAnsiTheme="minorHAnsi" w:cstheme="minorBidi"/>
                    <w:color w:val="auto"/>
                    <w:sz w:val="22"/>
                    <w:szCs w:val="22"/>
                  </w:rPr>
                  <w:instrText xml:space="preserve"> MERGEFIELD  LEVEL  \* MERGEFORMAT </w:instrText>
                </w:r>
                <w:r w:rsidRPr="00F51274">
                  <w:rPr>
                    <w:rFonts w:asciiTheme="minorHAnsi" w:eastAsiaTheme="minorHAnsi" w:hAnsiTheme="minorHAnsi" w:cstheme="minorBidi"/>
                    <w:color w:val="auto"/>
                    <w:sz w:val="22"/>
                    <w:szCs w:val="22"/>
                  </w:rPr>
                  <w:fldChar w:fldCharType="separate"/>
                </w:r>
                <w:r w:rsidRPr="00F51274">
                  <w:rPr>
                    <w:rFonts w:asciiTheme="minorHAnsi" w:eastAsiaTheme="minorHAnsi" w:hAnsiTheme="minorHAnsi" w:cstheme="minorBidi"/>
                    <w:noProof/>
                    <w:color w:val="auto"/>
                    <w:sz w:val="22"/>
                    <w:szCs w:val="22"/>
                  </w:rPr>
                  <w:instrText>«LEVEL»</w:instrText>
                </w:r>
                <w:r w:rsidRPr="00F51274">
                  <w:rPr>
                    <w:rFonts w:asciiTheme="minorHAnsi" w:eastAsiaTheme="minorHAnsi" w:hAnsiTheme="minorHAnsi" w:cstheme="minorBidi"/>
                    <w:noProof/>
                    <w:color w:val="auto"/>
                    <w:sz w:val="22"/>
                    <w:szCs w:val="22"/>
                  </w:rPr>
                  <w:fldChar w:fldCharType="end"/>
                </w:r>
                <w:r w:rsidRPr="00F51274">
                  <w:rPr>
                    <w:rFonts w:asciiTheme="minorHAnsi" w:eastAsiaTheme="minorHAnsi" w:hAnsiTheme="minorHAnsi" w:cstheme="minorBidi"/>
                    <w:color w:val="auto"/>
                    <w:sz w:val="22"/>
                    <w:szCs w:val="22"/>
                  </w:rPr>
                  <w:instrText xml:space="preserve">="2" "          </w:instrText>
                </w:r>
                <w:r w:rsidRPr="00F51274">
                  <w:rPr>
                    <w:rFonts w:asciiTheme="minorHAnsi" w:eastAsiaTheme="minorHAnsi" w:hAnsiTheme="minorHAnsi" w:cstheme="minorBidi"/>
                    <w:color w:val="595959"/>
                    <w:sz w:val="21"/>
                    <w:szCs w:val="21"/>
                  </w:rPr>
                  <w:fldChar w:fldCharType="begin"/>
                </w:r>
                <w:r w:rsidRPr="00F51274">
                  <w:rPr>
                    <w:rFonts w:asciiTheme="minorHAnsi" w:eastAsiaTheme="minorHAnsi" w:hAnsiTheme="minorHAnsi" w:cstheme="minorBidi"/>
                    <w:color w:val="595959"/>
                    <w:sz w:val="21"/>
                    <w:szCs w:val="21"/>
                  </w:rPr>
                  <w:instrText xml:space="preserve"> MERGEFIELD  FINCR_NAME  \* MERGEFORMAT </w:instrText>
                </w:r>
                <w:r w:rsidRPr="00F51274">
                  <w:rPr>
                    <w:rFonts w:asciiTheme="minorHAnsi" w:eastAsiaTheme="minorHAnsi" w:hAnsiTheme="minorHAnsi" w:cstheme="minorBidi"/>
                    <w:color w:val="595959"/>
                    <w:sz w:val="21"/>
                    <w:szCs w:val="21"/>
                  </w:rPr>
                  <w:fldChar w:fldCharType="separate"/>
                </w:r>
                <w:r w:rsidRPr="00F51274">
                  <w:rPr>
                    <w:rFonts w:asciiTheme="minorHAnsi" w:eastAsiaTheme="minorHAnsi" w:hAnsiTheme="minorHAnsi" w:cstheme="minorBidi"/>
                    <w:noProof/>
                    <w:color w:val="595959"/>
                    <w:sz w:val="21"/>
                    <w:szCs w:val="21"/>
                  </w:rPr>
                  <w:instrText>«FINCR_NAME»</w:instrText>
                </w:r>
                <w:r w:rsidRPr="00F51274">
                  <w:rPr>
                    <w:rFonts w:asciiTheme="minorHAnsi" w:eastAsiaTheme="minorHAnsi" w:hAnsiTheme="minorHAnsi" w:cstheme="minorBidi"/>
                    <w:color w:val="595959"/>
                    <w:sz w:val="21"/>
                    <w:szCs w:val="21"/>
                  </w:rPr>
                  <w:fldChar w:fldCharType="end"/>
                </w:r>
                <w:r w:rsidRPr="00F51274">
                  <w:rPr>
                    <w:rFonts w:asciiTheme="minorHAnsi" w:eastAsiaTheme="minorHAnsi" w:hAnsiTheme="minorHAnsi" w:cstheme="minorBidi"/>
                    <w:color w:val="auto"/>
                    <w:sz w:val="22"/>
                    <w:szCs w:val="22"/>
                  </w:rPr>
                  <w:instrText>"  "</w:instrText>
                </w:r>
                <w:r w:rsidRPr="00F51274">
                  <w:rPr>
                    <w:rFonts w:asciiTheme="minorHAnsi" w:eastAsiaTheme="minorHAnsi" w:hAnsiTheme="minorHAnsi" w:cstheme="minorBidi"/>
                    <w:color w:val="auto"/>
                    <w:sz w:val="22"/>
                    <w:szCs w:val="22"/>
                  </w:rPr>
                  <w:fldChar w:fldCharType="begin"/>
                </w:r>
                <w:r w:rsidRPr="00F51274">
                  <w:rPr>
                    <w:rFonts w:asciiTheme="minorHAnsi" w:eastAsiaTheme="minorHAnsi" w:hAnsiTheme="minorHAnsi" w:cstheme="minorBidi"/>
                    <w:color w:val="auto"/>
                    <w:sz w:val="22"/>
                    <w:szCs w:val="22"/>
                  </w:rPr>
                  <w:instrText xml:space="preserve"> IF</w:instrText>
                </w:r>
                <w:r w:rsidRPr="00F51274">
                  <w:rPr>
                    <w:rFonts w:asciiTheme="minorHAnsi" w:eastAsiaTheme="minorHAnsi" w:hAnsiTheme="minorHAnsi" w:cstheme="minorBidi"/>
                    <w:color w:val="auto"/>
                    <w:sz w:val="22"/>
                    <w:szCs w:val="22"/>
                  </w:rPr>
                  <w:fldChar w:fldCharType="begin"/>
                </w:r>
                <w:r w:rsidRPr="00F51274">
                  <w:rPr>
                    <w:rFonts w:asciiTheme="minorHAnsi" w:eastAsiaTheme="minorHAnsi" w:hAnsiTheme="minorHAnsi" w:cstheme="minorBidi"/>
                    <w:color w:val="auto"/>
                    <w:sz w:val="22"/>
                    <w:szCs w:val="22"/>
                  </w:rPr>
                  <w:instrText xml:space="preserve"> MERGEFIELD  LEVEL  \* MERGEFORMAT </w:instrText>
                </w:r>
                <w:r w:rsidRPr="00F51274">
                  <w:rPr>
                    <w:rFonts w:asciiTheme="minorHAnsi" w:eastAsiaTheme="minorHAnsi" w:hAnsiTheme="minorHAnsi" w:cstheme="minorBidi"/>
                    <w:color w:val="auto"/>
                    <w:sz w:val="22"/>
                    <w:szCs w:val="22"/>
                  </w:rPr>
                  <w:fldChar w:fldCharType="separate"/>
                </w:r>
                <w:r w:rsidRPr="00F51274">
                  <w:rPr>
                    <w:rFonts w:asciiTheme="minorHAnsi" w:eastAsiaTheme="minorHAnsi" w:hAnsiTheme="minorHAnsi" w:cstheme="minorBidi"/>
                    <w:noProof/>
                    <w:color w:val="auto"/>
                    <w:sz w:val="22"/>
                    <w:szCs w:val="22"/>
                  </w:rPr>
                  <w:instrText>«LEVEL»</w:instrText>
                </w:r>
                <w:r w:rsidRPr="00F51274">
                  <w:rPr>
                    <w:rFonts w:asciiTheme="minorHAnsi" w:eastAsiaTheme="minorHAnsi" w:hAnsiTheme="minorHAnsi" w:cstheme="minorBidi"/>
                    <w:color w:val="auto"/>
                    <w:sz w:val="22"/>
                    <w:szCs w:val="22"/>
                  </w:rPr>
                  <w:fldChar w:fldCharType="end"/>
                </w:r>
                <w:r w:rsidRPr="00F51274">
                  <w:rPr>
                    <w:rFonts w:asciiTheme="minorHAnsi" w:eastAsiaTheme="minorHAnsi" w:hAnsiTheme="minorHAnsi" w:cstheme="minorBidi"/>
                    <w:color w:val="auto"/>
                    <w:sz w:val="22"/>
                    <w:szCs w:val="22"/>
                  </w:rPr>
                  <w:instrText xml:space="preserve">="3" "               </w:instrText>
                </w:r>
                <w:r w:rsidRPr="00F51274">
                  <w:rPr>
                    <w:rFonts w:asciiTheme="minorHAnsi" w:eastAsiaTheme="minorHAnsi" w:hAnsiTheme="minorHAnsi" w:cstheme="minorBidi"/>
                    <w:color w:val="7F7F7F"/>
                    <w:sz w:val="20"/>
                    <w:szCs w:val="20"/>
                  </w:rPr>
                  <w:fldChar w:fldCharType="begin"/>
                </w:r>
                <w:r w:rsidRPr="00F51274">
                  <w:rPr>
                    <w:rFonts w:asciiTheme="minorHAnsi" w:eastAsiaTheme="minorHAnsi" w:hAnsiTheme="minorHAnsi" w:cstheme="minorBidi"/>
                    <w:color w:val="7F7F7F"/>
                    <w:sz w:val="20"/>
                    <w:szCs w:val="20"/>
                  </w:rPr>
                  <w:instrText xml:space="preserve"> MERGEFIELD  FINCR_NAME  \* MERGEFORMAT </w:instrText>
                </w:r>
                <w:r w:rsidRPr="00F51274">
                  <w:rPr>
                    <w:rFonts w:asciiTheme="minorHAnsi" w:eastAsiaTheme="minorHAnsi" w:hAnsiTheme="minorHAnsi" w:cstheme="minorBidi"/>
                    <w:color w:val="7F7F7F"/>
                    <w:sz w:val="20"/>
                    <w:szCs w:val="20"/>
                  </w:rPr>
                  <w:fldChar w:fldCharType="separate"/>
                </w:r>
                <w:r w:rsidRPr="00F51274">
                  <w:rPr>
                    <w:rFonts w:asciiTheme="minorHAnsi" w:eastAsiaTheme="minorHAnsi" w:hAnsiTheme="minorHAnsi" w:cstheme="minorBidi"/>
                    <w:noProof/>
                    <w:color w:val="7F7F7F"/>
                    <w:sz w:val="20"/>
                    <w:szCs w:val="20"/>
                  </w:rPr>
                  <w:instrText>«FINCR_NAME»</w:instrText>
                </w:r>
                <w:r w:rsidRPr="00F51274">
                  <w:rPr>
                    <w:rFonts w:asciiTheme="minorHAnsi" w:eastAsiaTheme="minorHAnsi" w:hAnsiTheme="minorHAnsi" w:cstheme="minorBidi"/>
                    <w:color w:val="7F7F7F"/>
                    <w:sz w:val="20"/>
                    <w:szCs w:val="20"/>
                  </w:rPr>
                  <w:fldChar w:fldCharType="end"/>
                </w:r>
                <w:r w:rsidRPr="00F51274">
                  <w:rPr>
                    <w:rFonts w:asciiTheme="minorHAnsi" w:eastAsiaTheme="minorHAnsi" w:hAnsiTheme="minorHAnsi" w:cstheme="minorBidi"/>
                    <w:color w:val="auto"/>
                    <w:sz w:val="22"/>
                    <w:szCs w:val="22"/>
                  </w:rPr>
                  <w:instrText xml:space="preserve">" "                    </w:instrText>
                </w:r>
                <w:r w:rsidRPr="00F51274">
                  <w:rPr>
                    <w:rFonts w:asciiTheme="minorHAnsi" w:eastAsiaTheme="minorHAnsi" w:hAnsiTheme="minorHAnsi" w:cstheme="minorBidi"/>
                    <w:color w:val="7F7F7F"/>
                    <w:sz w:val="20"/>
                    <w:szCs w:val="20"/>
                  </w:rPr>
                  <w:fldChar w:fldCharType="begin"/>
                </w:r>
                <w:r w:rsidRPr="00F51274">
                  <w:rPr>
                    <w:rFonts w:asciiTheme="minorHAnsi" w:eastAsiaTheme="minorHAnsi" w:hAnsiTheme="minorHAnsi" w:cstheme="minorBidi"/>
                    <w:color w:val="7F7F7F"/>
                    <w:sz w:val="20"/>
                    <w:szCs w:val="20"/>
                  </w:rPr>
                  <w:instrText xml:space="preserve"> MERGEFIELD  FINCR_NAME  \* MERGEFORMAT </w:instrText>
                </w:r>
                <w:r w:rsidRPr="00F51274">
                  <w:rPr>
                    <w:rFonts w:asciiTheme="minorHAnsi" w:eastAsiaTheme="minorHAnsi" w:hAnsiTheme="minorHAnsi" w:cstheme="minorBidi"/>
                    <w:color w:val="7F7F7F"/>
                    <w:sz w:val="20"/>
                    <w:szCs w:val="20"/>
                  </w:rPr>
                  <w:fldChar w:fldCharType="separate"/>
                </w:r>
                <w:r w:rsidRPr="00F51274">
                  <w:rPr>
                    <w:rFonts w:asciiTheme="minorHAnsi" w:eastAsiaTheme="minorHAnsi" w:hAnsiTheme="minorHAnsi" w:cstheme="minorBidi"/>
                    <w:noProof/>
                    <w:color w:val="7F7F7F"/>
                    <w:sz w:val="20"/>
                    <w:szCs w:val="20"/>
                  </w:rPr>
                  <w:instrText>«FINCR_NAME»</w:instrText>
                </w:r>
                <w:r w:rsidRPr="00F51274">
                  <w:rPr>
                    <w:rFonts w:asciiTheme="minorHAnsi" w:eastAsiaTheme="minorHAnsi" w:hAnsiTheme="minorHAnsi" w:cstheme="minorBidi"/>
                    <w:color w:val="7F7F7F"/>
                    <w:sz w:val="20"/>
                    <w:szCs w:val="20"/>
                  </w:rPr>
                  <w:fldChar w:fldCharType="end"/>
                </w:r>
                <w:r w:rsidRPr="00F51274">
                  <w:rPr>
                    <w:rFonts w:asciiTheme="minorHAnsi" w:eastAsiaTheme="minorHAnsi" w:hAnsiTheme="minorHAnsi" w:cstheme="minorBidi"/>
                    <w:color w:val="auto"/>
                    <w:sz w:val="22"/>
                    <w:szCs w:val="22"/>
                  </w:rPr>
                  <w:instrText>"</w:instrText>
                </w:r>
                <w:r w:rsidRPr="00F51274">
                  <w:rPr>
                    <w:rFonts w:asciiTheme="minorHAnsi" w:eastAsiaTheme="minorHAnsi" w:hAnsiTheme="minorHAnsi" w:cstheme="minorBidi"/>
                    <w:color w:val="auto"/>
                    <w:sz w:val="22"/>
                    <w:szCs w:val="22"/>
                  </w:rPr>
                  <w:fldChar w:fldCharType="separate"/>
                </w:r>
                <w:r w:rsidRPr="00F51274">
                  <w:rPr>
                    <w:rFonts w:asciiTheme="minorHAnsi" w:eastAsiaTheme="minorHAnsi" w:hAnsiTheme="minorHAnsi" w:cstheme="minorBidi"/>
                    <w:noProof/>
                    <w:color w:val="auto"/>
                    <w:sz w:val="22"/>
                    <w:szCs w:val="22"/>
                  </w:rPr>
                  <w:instrText xml:space="preserve">                    </w:instrText>
                </w:r>
                <w:r w:rsidRPr="00F51274">
                  <w:rPr>
                    <w:rFonts w:asciiTheme="minorHAnsi" w:eastAsiaTheme="minorHAnsi" w:hAnsiTheme="minorHAnsi" w:cstheme="minorBidi"/>
                    <w:noProof/>
                    <w:color w:val="7F7F7F"/>
                    <w:sz w:val="20"/>
                    <w:szCs w:val="20"/>
                  </w:rPr>
                  <w:fldChar w:fldCharType="begin"/>
                </w:r>
                <w:r w:rsidRPr="00F51274">
                  <w:rPr>
                    <w:rFonts w:asciiTheme="minorHAnsi" w:eastAsiaTheme="minorHAnsi" w:hAnsiTheme="minorHAnsi" w:cstheme="minorBidi"/>
                    <w:noProof/>
                    <w:color w:val="7F7F7F"/>
                    <w:sz w:val="20"/>
                    <w:szCs w:val="20"/>
                  </w:rPr>
                  <w:instrText xml:space="preserve"> MERGEFIELD  FINCR_NAME  \* MERGEFORMAT </w:instrText>
                </w:r>
                <w:r w:rsidRPr="00F51274">
                  <w:rPr>
                    <w:rFonts w:asciiTheme="minorHAnsi" w:eastAsiaTheme="minorHAnsi" w:hAnsiTheme="minorHAnsi" w:cstheme="minorBidi"/>
                    <w:noProof/>
                    <w:color w:val="7F7F7F"/>
                    <w:sz w:val="20"/>
                    <w:szCs w:val="20"/>
                  </w:rPr>
                  <w:fldChar w:fldCharType="separate"/>
                </w:r>
                <w:r w:rsidRPr="00F51274">
                  <w:rPr>
                    <w:rFonts w:asciiTheme="minorHAnsi" w:eastAsiaTheme="minorHAnsi" w:hAnsiTheme="minorHAnsi" w:cstheme="minorBidi"/>
                    <w:noProof/>
                    <w:color w:val="7F7F7F"/>
                    <w:sz w:val="20"/>
                    <w:szCs w:val="20"/>
                  </w:rPr>
                  <w:instrText>«FINCR_NAME»</w:instrText>
                </w:r>
                <w:r w:rsidRPr="00F51274">
                  <w:rPr>
                    <w:rFonts w:asciiTheme="minorHAnsi" w:eastAsiaTheme="minorHAnsi" w:hAnsiTheme="minorHAnsi" w:cstheme="minorBidi"/>
                    <w:noProof/>
                    <w:color w:val="7F7F7F"/>
                    <w:sz w:val="20"/>
                    <w:szCs w:val="20"/>
                  </w:rPr>
                  <w:fldChar w:fldCharType="end"/>
                </w:r>
                <w:r w:rsidRPr="00F51274">
                  <w:rPr>
                    <w:rFonts w:asciiTheme="minorHAnsi" w:eastAsiaTheme="minorHAnsi" w:hAnsiTheme="minorHAnsi" w:cstheme="minorBidi"/>
                    <w:color w:val="auto"/>
                    <w:sz w:val="22"/>
                    <w:szCs w:val="22"/>
                  </w:rPr>
                  <w:fldChar w:fldCharType="end"/>
                </w:r>
                <w:r w:rsidRPr="00F51274">
                  <w:rPr>
                    <w:rFonts w:asciiTheme="minorHAnsi" w:eastAsiaTheme="minorHAnsi" w:hAnsiTheme="minorHAnsi" w:cstheme="minorBidi"/>
                    <w:color w:val="auto"/>
                    <w:sz w:val="22"/>
                    <w:szCs w:val="22"/>
                  </w:rPr>
                  <w:instrText xml:space="preserve">"  </w:instrText>
                </w:r>
                <w:r w:rsidRPr="00F51274">
                  <w:rPr>
                    <w:rFonts w:asciiTheme="minorHAnsi" w:eastAsiaTheme="minorHAnsi" w:hAnsiTheme="minorHAnsi" w:cstheme="minorBidi"/>
                    <w:color w:val="auto"/>
                    <w:sz w:val="22"/>
                    <w:szCs w:val="22"/>
                  </w:rPr>
                  <w:fldChar w:fldCharType="separate"/>
                </w:r>
                <w:r w:rsidRPr="00F51274">
                  <w:rPr>
                    <w:rFonts w:asciiTheme="minorHAnsi" w:eastAsiaTheme="minorHAnsi" w:hAnsiTheme="minorHAnsi" w:cstheme="minorBidi"/>
                    <w:noProof/>
                    <w:color w:val="auto"/>
                    <w:sz w:val="22"/>
                    <w:szCs w:val="22"/>
                  </w:rPr>
                  <w:instrText xml:space="preserve">                    </w:instrText>
                </w:r>
                <w:r w:rsidRPr="00F51274">
                  <w:rPr>
                    <w:rFonts w:asciiTheme="minorHAnsi" w:eastAsiaTheme="minorHAnsi" w:hAnsiTheme="minorHAnsi" w:cstheme="minorBidi"/>
                    <w:noProof/>
                    <w:color w:val="7F7F7F"/>
                    <w:sz w:val="20"/>
                    <w:szCs w:val="20"/>
                  </w:rPr>
                  <w:fldChar w:fldCharType="begin"/>
                </w:r>
                <w:r w:rsidRPr="00F51274">
                  <w:rPr>
                    <w:rFonts w:asciiTheme="minorHAnsi" w:eastAsiaTheme="minorHAnsi" w:hAnsiTheme="minorHAnsi" w:cstheme="minorBidi"/>
                    <w:noProof/>
                    <w:color w:val="7F7F7F"/>
                    <w:sz w:val="20"/>
                    <w:szCs w:val="20"/>
                  </w:rPr>
                  <w:instrText xml:space="preserve"> MERGEFIELD  FINCR_NAME  \* MERGEFORMAT </w:instrText>
                </w:r>
                <w:r w:rsidRPr="00F51274">
                  <w:rPr>
                    <w:rFonts w:asciiTheme="minorHAnsi" w:eastAsiaTheme="minorHAnsi" w:hAnsiTheme="minorHAnsi" w:cstheme="minorBidi"/>
                    <w:noProof/>
                    <w:color w:val="7F7F7F"/>
                    <w:sz w:val="20"/>
                    <w:szCs w:val="20"/>
                  </w:rPr>
                  <w:fldChar w:fldCharType="separate"/>
                </w:r>
                <w:r w:rsidRPr="00F51274">
                  <w:rPr>
                    <w:rFonts w:asciiTheme="minorHAnsi" w:eastAsiaTheme="minorHAnsi" w:hAnsiTheme="minorHAnsi" w:cstheme="minorBidi"/>
                    <w:noProof/>
                    <w:color w:val="7F7F7F"/>
                    <w:sz w:val="20"/>
                    <w:szCs w:val="20"/>
                  </w:rPr>
                  <w:instrText>«FINCR_NAME»</w:instrText>
                </w:r>
                <w:r w:rsidRPr="00F51274">
                  <w:rPr>
                    <w:rFonts w:asciiTheme="minorHAnsi" w:eastAsiaTheme="minorHAnsi" w:hAnsiTheme="minorHAnsi" w:cstheme="minorBidi"/>
                    <w:noProof/>
                    <w:color w:val="7F7F7F"/>
                    <w:sz w:val="20"/>
                    <w:szCs w:val="20"/>
                  </w:rPr>
                  <w:fldChar w:fldCharType="end"/>
                </w:r>
                <w:r w:rsidRPr="00F51274">
                  <w:rPr>
                    <w:rFonts w:asciiTheme="minorHAnsi" w:eastAsiaTheme="minorHAnsi" w:hAnsiTheme="minorHAnsi" w:cstheme="minorBidi"/>
                    <w:color w:val="auto"/>
                    <w:sz w:val="22"/>
                    <w:szCs w:val="22"/>
                  </w:rPr>
                  <w:fldChar w:fldCharType="end"/>
                </w:r>
                <w:r w:rsidRPr="00F51274">
                  <w:rPr>
                    <w:rFonts w:asciiTheme="minorHAnsi" w:eastAsiaTheme="minorHAnsi" w:hAnsiTheme="minorHAnsi" w:cstheme="minorBidi"/>
                    <w:color w:val="auto"/>
                    <w:sz w:val="22"/>
                    <w:szCs w:val="22"/>
                  </w:rPr>
                  <w:instrText xml:space="preserve">"  </w:instrText>
                </w:r>
                <w:r w:rsidRPr="00F51274">
                  <w:rPr>
                    <w:rFonts w:asciiTheme="minorHAnsi" w:eastAsiaTheme="minorHAnsi" w:hAnsiTheme="minorHAnsi" w:cstheme="minorBidi"/>
                    <w:color w:val="auto"/>
                    <w:sz w:val="22"/>
                    <w:szCs w:val="22"/>
                  </w:rPr>
                  <w:fldChar w:fldCharType="separate"/>
                </w:r>
                <w:r w:rsidRPr="00F51274">
                  <w:rPr>
                    <w:rFonts w:asciiTheme="minorHAnsi" w:eastAsiaTheme="minorHAnsi" w:hAnsiTheme="minorHAnsi" w:cstheme="minorBidi"/>
                    <w:color w:val="auto"/>
                    <w:sz w:val="22"/>
                    <w:szCs w:val="22"/>
                  </w:rPr>
                  <w:t xml:space="preserve">  </w:t>
                </w:r>
                <w:r w:rsidRPr="00F51274">
                  <w:rPr>
                    <w:rFonts w:asciiTheme="minorHAnsi" w:eastAsiaTheme="minorHAnsi" w:hAnsiTheme="minorHAnsi" w:cstheme="minorBidi"/>
                    <w:color w:val="404040"/>
                    <w:sz w:val="22"/>
                    <w:szCs w:val="22"/>
                  </w:rPr>
                  <w:t xml:space="preserve">   </w:t>
                </w:r>
                <w:r w:rsidRPr="002F7868">
                  <w:rPr>
                    <w:rFonts w:asciiTheme="minorHAnsi" w:eastAsiaTheme="minorHAnsi" w:hAnsiTheme="minorHAnsi" w:cstheme="minorBidi"/>
                    <w:b/>
                    <w:noProof/>
                    <w:color w:val="auto"/>
                    <w:sz w:val="22"/>
                    <w:szCs w:val="22"/>
                  </w:rPr>
                  <w:t>Counterpart Funding</w:t>
                </w:r>
                <w:r w:rsidRPr="00F51274">
                  <w:rPr>
                    <w:rFonts w:asciiTheme="minorHAnsi" w:eastAsiaTheme="minorHAnsi" w:hAnsiTheme="minorHAnsi" w:cstheme="minorBidi"/>
                    <w:color w:val="auto"/>
                    <w:sz w:val="22"/>
                    <w:szCs w:val="22"/>
                  </w:rPr>
                  <w:fldChar w:fldCharType="end"/>
                </w:r>
              </w:p>
            </w:tc>
            <w:tc>
              <w:tcPr>
                <w:tcW w:w="36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tcPr>
              <w:p w14:paraId="4D6F4778" w14:textId="77777777" w:rsidR="00C91C37" w:rsidRDefault="00880CEC" w:rsidP="00D81B56">
                <w:pPr>
                  <w:shd w:val="clear" w:color="auto" w:fill="F7F7F7"/>
                  <w:jc w:val="right"/>
                  <w:rPr>
                    <w:rFonts w:asciiTheme="minorHAnsi" w:hAnsiTheme="minorHAnsi"/>
                    <w:color w:val="767171" w:themeColor="background2" w:themeShade="80"/>
                    <w:sz w:val="22"/>
                    <w:szCs w:val="22"/>
                  </w:rPr>
                </w:pPr>
                <w:r w:rsidRPr="006D37F2">
                  <w:rPr>
                    <w:rFonts w:asciiTheme="minorHAnsi" w:hAnsiTheme="minorHAnsi"/>
                    <w:sz w:val="22"/>
                    <w:szCs w:val="22"/>
                  </w:rPr>
                  <w:fldChar w:fldCharType="begin"/>
                </w:r>
                <w:r w:rsidRPr="006D37F2">
                  <w:rPr>
                    <w:rFonts w:asciiTheme="minorHAnsi" w:hAnsiTheme="minorHAnsi"/>
                    <w:sz w:val="22"/>
                    <w:szCs w:val="22"/>
                  </w:rPr>
                  <w:instrText xml:space="preserve"> IF</w:instrText>
                </w:r>
                <w:r w:rsidRPr="006D37F2">
                  <w:rPr>
                    <w:rFonts w:asciiTheme="minorHAnsi" w:hAnsiTheme="minorHAnsi"/>
                    <w:noProof/>
                    <w:sz w:val="22"/>
                    <w:szCs w:val="22"/>
                  </w:rPr>
                  <w:instrText xml:space="preserve"> 1 </w:instrText>
                </w:r>
                <w:r w:rsidRPr="006D37F2">
                  <w:rPr>
                    <w:rFonts w:asciiTheme="minorHAnsi" w:hAnsiTheme="minorHAnsi"/>
                    <w:sz w:val="22"/>
                    <w:szCs w:val="22"/>
                  </w:rPr>
                  <w:instrText>="1" "</w:instrText>
                </w:r>
                <w:r w:rsidRPr="006D37F2">
                  <w:rPr>
                    <w:rFonts w:asciiTheme="minorHAnsi" w:hAnsiTheme="minorHAnsi"/>
                    <w:b/>
                    <w:noProof/>
                    <w:sz w:val="22"/>
                    <w:szCs w:val="22"/>
                  </w:rPr>
                  <w:instrText>409.00</w:instrText>
                </w:r>
                <w:r w:rsidRPr="006D37F2">
                  <w:rPr>
                    <w:rFonts w:asciiTheme="minorHAnsi" w:hAnsiTheme="minorHAnsi"/>
                    <w:sz w:val="22"/>
                    <w:szCs w:val="22"/>
                  </w:rPr>
                  <w:instrText>" "</w:instrText>
                </w:r>
                <w:r w:rsidRPr="006D37F2">
                  <w:rPr>
                    <w:rFonts w:asciiTheme="minorHAnsi" w:hAnsiTheme="minorHAnsi"/>
                    <w:sz w:val="22"/>
                    <w:szCs w:val="22"/>
                  </w:rPr>
                  <w:fldChar w:fldCharType="begin"/>
                </w:r>
                <w:r w:rsidRPr="006D37F2">
                  <w:rPr>
                    <w:rFonts w:asciiTheme="minorHAnsi" w:hAnsiTheme="minorHAnsi"/>
                    <w:sz w:val="22"/>
                    <w:szCs w:val="22"/>
                  </w:rPr>
                  <w:instrText xml:space="preserve"> IF</w:instrText>
                </w:r>
                <w:r w:rsidRPr="006D37F2">
                  <w:rPr>
                    <w:rFonts w:asciiTheme="minorHAnsi" w:hAnsiTheme="minorHAnsi"/>
                    <w:sz w:val="22"/>
                    <w:szCs w:val="22"/>
                  </w:rPr>
                  <w:fldChar w:fldCharType="begin"/>
                </w:r>
                <w:r w:rsidRPr="006D37F2">
                  <w:rPr>
                    <w:rFonts w:asciiTheme="minorHAnsi" w:hAnsiTheme="minorHAnsi"/>
                    <w:sz w:val="22"/>
                    <w:szCs w:val="22"/>
                  </w:rPr>
                  <w:instrText xml:space="preserve"> MERGEFIELD  LEVEL  \* MERGEFORMAT </w:instrText>
                </w:r>
                <w:r w:rsidRPr="006D37F2">
                  <w:rPr>
                    <w:rFonts w:asciiTheme="minorHAnsi" w:hAnsiTheme="minorHAnsi"/>
                    <w:sz w:val="22"/>
                    <w:szCs w:val="22"/>
                  </w:rPr>
                  <w:fldChar w:fldCharType="separate"/>
                </w:r>
                <w:r w:rsidRPr="006D37F2">
                  <w:rPr>
                    <w:rFonts w:asciiTheme="minorHAnsi" w:hAnsiTheme="minorHAnsi"/>
                    <w:noProof/>
                    <w:sz w:val="22"/>
                    <w:szCs w:val="22"/>
                  </w:rPr>
                  <w:instrText>«LEVEL»</w:instrText>
                </w:r>
                <w:r w:rsidRPr="006D37F2">
                  <w:rPr>
                    <w:rFonts w:asciiTheme="minorHAnsi" w:hAnsiTheme="minorHAnsi"/>
                    <w:noProof/>
                    <w:sz w:val="22"/>
                    <w:szCs w:val="22"/>
                  </w:rPr>
                  <w:fldChar w:fldCharType="end"/>
                </w:r>
                <w:r w:rsidRPr="006D37F2">
                  <w:rPr>
                    <w:rFonts w:asciiTheme="minorHAnsi" w:hAnsiTheme="minorHAnsi"/>
                    <w:sz w:val="22"/>
                    <w:szCs w:val="22"/>
                  </w:rPr>
                  <w:instrText xml:space="preserve">="2" "     </w:instrText>
                </w:r>
                <w:r w:rsidRPr="006D37F2">
                  <w:rPr>
                    <w:rFonts w:asciiTheme="minorHAnsi" w:hAnsiTheme="minorHAnsi"/>
                    <w:color w:val="595959"/>
                    <w:sz w:val="21"/>
                    <w:szCs w:val="21"/>
                  </w:rPr>
                  <w:fldChar w:fldCharType="begin"/>
                </w:r>
                <w:r w:rsidRPr="006D37F2">
                  <w:rPr>
                    <w:rFonts w:asciiTheme="minorHAnsi" w:hAnsiTheme="minorHAnsi"/>
                    <w:color w:val="595959"/>
                    <w:sz w:val="21"/>
                    <w:szCs w:val="21"/>
                  </w:rPr>
                  <w:instrText xml:space="preserve"> MERGEFIELD  FINCR_USD_AMT \# ,0.00 \* MERGEFORMAT </w:instrText>
                </w:r>
                <w:r w:rsidRPr="006D37F2">
                  <w:rPr>
                    <w:rFonts w:asciiTheme="minorHAnsi" w:hAnsiTheme="minorHAnsi"/>
                    <w:color w:val="595959"/>
                    <w:sz w:val="21"/>
                    <w:szCs w:val="21"/>
                  </w:rPr>
                  <w:fldChar w:fldCharType="separate"/>
                </w:r>
                <w:r w:rsidRPr="006D37F2">
                  <w:rPr>
                    <w:rFonts w:asciiTheme="minorHAnsi" w:hAnsiTheme="minorHAnsi"/>
                    <w:noProof/>
                    <w:color w:val="595959"/>
                    <w:sz w:val="21"/>
                    <w:szCs w:val="21"/>
                  </w:rPr>
                  <w:instrText>«FINCR_USD_AMT»</w:instrText>
                </w:r>
                <w:r w:rsidRPr="006D37F2">
                  <w:rPr>
                    <w:rFonts w:asciiTheme="minorHAnsi" w:hAnsiTheme="minorHAnsi"/>
                    <w:color w:val="595959"/>
                    <w:sz w:val="21"/>
                    <w:szCs w:val="21"/>
                  </w:rPr>
                  <w:fldChar w:fldCharType="end"/>
                </w:r>
                <w:r w:rsidRPr="006D37F2">
                  <w:rPr>
                    <w:rFonts w:asciiTheme="minorHAnsi" w:hAnsiTheme="minorHAnsi"/>
                    <w:sz w:val="22"/>
                    <w:szCs w:val="22"/>
                  </w:rPr>
                  <w:instrText>"  "</w:instrText>
                </w:r>
                <w:r w:rsidRPr="006D37F2">
                  <w:rPr>
                    <w:rFonts w:asciiTheme="minorHAnsi" w:hAnsiTheme="minorHAnsi"/>
                    <w:sz w:val="22"/>
                    <w:szCs w:val="22"/>
                  </w:rPr>
                  <w:fldChar w:fldCharType="begin"/>
                </w:r>
                <w:r w:rsidRPr="006D37F2">
                  <w:rPr>
                    <w:rFonts w:asciiTheme="minorHAnsi" w:hAnsiTheme="minorHAnsi"/>
                    <w:sz w:val="22"/>
                    <w:szCs w:val="22"/>
                  </w:rPr>
                  <w:instrText xml:space="preserve"> IF</w:instrText>
                </w:r>
                <w:r w:rsidRPr="006D37F2">
                  <w:rPr>
                    <w:rFonts w:asciiTheme="minorHAnsi" w:hAnsiTheme="minorHAnsi"/>
                    <w:sz w:val="22"/>
                    <w:szCs w:val="22"/>
                  </w:rPr>
                  <w:fldChar w:fldCharType="begin"/>
                </w:r>
                <w:r w:rsidRPr="006D37F2">
                  <w:rPr>
                    <w:rFonts w:asciiTheme="minorHAnsi" w:hAnsiTheme="minorHAnsi"/>
                    <w:sz w:val="22"/>
                    <w:szCs w:val="22"/>
                  </w:rPr>
                  <w:instrText xml:space="preserve"> MERGEFIELD  LEVEL  \* MERGEFORMAT </w:instrText>
                </w:r>
                <w:r w:rsidRPr="006D37F2">
                  <w:rPr>
                    <w:rFonts w:asciiTheme="minorHAnsi" w:hAnsiTheme="minorHAnsi"/>
                    <w:sz w:val="22"/>
                    <w:szCs w:val="22"/>
                  </w:rPr>
                  <w:fldChar w:fldCharType="separate"/>
                </w:r>
                <w:r w:rsidRPr="006D37F2">
                  <w:rPr>
                    <w:rFonts w:asciiTheme="minorHAnsi" w:hAnsiTheme="minorHAnsi"/>
                    <w:noProof/>
                    <w:sz w:val="22"/>
                    <w:szCs w:val="22"/>
                  </w:rPr>
                  <w:instrText>«LEVEL»</w:instrText>
                </w:r>
                <w:r w:rsidRPr="006D37F2">
                  <w:rPr>
                    <w:rFonts w:asciiTheme="minorHAnsi" w:hAnsiTheme="minorHAnsi"/>
                    <w:noProof/>
                    <w:sz w:val="22"/>
                    <w:szCs w:val="22"/>
                  </w:rPr>
                  <w:fldChar w:fldCharType="end"/>
                </w:r>
                <w:r w:rsidRPr="006D37F2">
                  <w:rPr>
                    <w:rFonts w:asciiTheme="minorHAnsi" w:hAnsiTheme="minorHAnsi"/>
                    <w:sz w:val="22"/>
                    <w:szCs w:val="22"/>
                  </w:rPr>
                  <w:instrText xml:space="preserve">="3" "               </w:instrText>
                </w:r>
                <w:r w:rsidRPr="006D37F2">
                  <w:rPr>
                    <w:rFonts w:asciiTheme="minorHAnsi" w:hAnsiTheme="minorHAnsi"/>
                    <w:color w:val="7F7F7F"/>
                    <w:sz w:val="20"/>
                    <w:szCs w:val="20"/>
                  </w:rPr>
                  <w:fldChar w:fldCharType="begin"/>
                </w:r>
                <w:r w:rsidRPr="006D37F2">
                  <w:rPr>
                    <w:rFonts w:asciiTheme="minorHAnsi" w:hAnsiTheme="minorHAnsi"/>
                    <w:color w:val="7F7F7F"/>
                    <w:sz w:val="20"/>
                    <w:szCs w:val="20"/>
                  </w:rPr>
                  <w:instrText xml:space="preserve"> MERGEFIELD  FINCR_USD_AMT \# ,0.00 \* MERGEFORMAT </w:instrText>
                </w:r>
                <w:r w:rsidRPr="006D37F2">
                  <w:rPr>
                    <w:rFonts w:asciiTheme="minorHAnsi" w:hAnsiTheme="minorHAnsi"/>
                    <w:color w:val="7F7F7F"/>
                    <w:sz w:val="20"/>
                    <w:szCs w:val="20"/>
                  </w:rPr>
                  <w:fldChar w:fldCharType="separate"/>
                </w:r>
                <w:r w:rsidRPr="006D37F2">
                  <w:rPr>
                    <w:rFonts w:asciiTheme="minorHAnsi" w:hAnsiTheme="minorHAnsi"/>
                    <w:noProof/>
                    <w:color w:val="7F7F7F"/>
                    <w:sz w:val="20"/>
                    <w:szCs w:val="20"/>
                  </w:rPr>
                  <w:instrText>«FINCR_USD_AMT»</w:instrText>
                </w:r>
                <w:r w:rsidRPr="006D37F2">
                  <w:rPr>
                    <w:rFonts w:asciiTheme="minorHAnsi" w:hAnsiTheme="minorHAnsi"/>
                    <w:color w:val="7F7F7F"/>
                    <w:sz w:val="20"/>
                    <w:szCs w:val="20"/>
                  </w:rPr>
                  <w:fldChar w:fldCharType="end"/>
                </w:r>
                <w:r w:rsidRPr="006D37F2">
                  <w:rPr>
                    <w:rFonts w:asciiTheme="minorHAnsi" w:hAnsiTheme="minorHAnsi"/>
                    <w:sz w:val="22"/>
                    <w:szCs w:val="22"/>
                  </w:rPr>
                  <w:instrText xml:space="preserve">" "               </w:instrText>
                </w:r>
                <w:r w:rsidRPr="006D37F2">
                  <w:rPr>
                    <w:rFonts w:asciiTheme="minorHAnsi" w:hAnsiTheme="minorHAnsi"/>
                    <w:color w:val="7F7F7F"/>
                    <w:sz w:val="20"/>
                    <w:szCs w:val="20"/>
                  </w:rPr>
                  <w:fldChar w:fldCharType="begin"/>
                </w:r>
                <w:r w:rsidRPr="006D37F2">
                  <w:rPr>
                    <w:rFonts w:asciiTheme="minorHAnsi" w:hAnsiTheme="minorHAnsi"/>
                    <w:color w:val="7F7F7F"/>
                    <w:sz w:val="20"/>
                    <w:szCs w:val="20"/>
                  </w:rPr>
                  <w:instrText xml:space="preserve"> MERGEFIELD  FINCR_USD_AMT \# ,0.00 \* MERGEFORMAT </w:instrText>
                </w:r>
                <w:r w:rsidRPr="006D37F2">
                  <w:rPr>
                    <w:rFonts w:asciiTheme="minorHAnsi" w:hAnsiTheme="minorHAnsi"/>
                    <w:color w:val="7F7F7F"/>
                    <w:sz w:val="20"/>
                    <w:szCs w:val="20"/>
                  </w:rPr>
                  <w:fldChar w:fldCharType="separate"/>
                </w:r>
                <w:r w:rsidRPr="006D37F2">
                  <w:rPr>
                    <w:rFonts w:asciiTheme="minorHAnsi" w:hAnsiTheme="minorHAnsi"/>
                    <w:noProof/>
                    <w:color w:val="7F7F7F"/>
                    <w:sz w:val="20"/>
                    <w:szCs w:val="20"/>
                  </w:rPr>
                  <w:instrText>«FINCR_USD_AMT»</w:instrText>
                </w:r>
                <w:r w:rsidRPr="006D37F2">
                  <w:rPr>
                    <w:rFonts w:asciiTheme="minorHAnsi" w:hAnsiTheme="minorHAnsi"/>
                    <w:color w:val="7F7F7F"/>
                    <w:sz w:val="20"/>
                    <w:szCs w:val="20"/>
                  </w:rPr>
                  <w:fldChar w:fldCharType="end"/>
                </w:r>
                <w:r w:rsidRPr="006D37F2">
                  <w:rPr>
                    <w:rFonts w:asciiTheme="minorHAnsi" w:hAnsiTheme="minorHAnsi"/>
                    <w:sz w:val="22"/>
                    <w:szCs w:val="22"/>
                  </w:rPr>
                  <w:instrText>"</w:instrText>
                </w:r>
                <w:r w:rsidRPr="006D37F2">
                  <w:rPr>
                    <w:rFonts w:asciiTheme="minorHAnsi" w:hAnsiTheme="minorHAnsi"/>
                    <w:sz w:val="22"/>
                    <w:szCs w:val="22"/>
                  </w:rPr>
                  <w:fldChar w:fldCharType="separate"/>
                </w:r>
                <w:r w:rsidRPr="006D37F2">
                  <w:rPr>
                    <w:rFonts w:asciiTheme="minorHAnsi" w:hAnsiTheme="minorHAnsi"/>
                    <w:noProof/>
                    <w:sz w:val="22"/>
                    <w:szCs w:val="22"/>
                  </w:rPr>
                  <w:instrText xml:space="preserve">                    </w:instrText>
                </w:r>
                <w:r w:rsidRPr="006D37F2">
                  <w:rPr>
                    <w:rFonts w:asciiTheme="minorHAnsi" w:hAnsiTheme="minorHAnsi"/>
                    <w:noProof/>
                    <w:color w:val="7F7F7F"/>
                    <w:sz w:val="22"/>
                    <w:szCs w:val="22"/>
                  </w:rPr>
                  <w:fldChar w:fldCharType="begin"/>
                </w:r>
                <w:r w:rsidRPr="006D37F2">
                  <w:rPr>
                    <w:rFonts w:asciiTheme="minorHAnsi" w:hAnsiTheme="minorHAnsi"/>
                    <w:noProof/>
                    <w:color w:val="7F7F7F"/>
                    <w:sz w:val="22"/>
                    <w:szCs w:val="22"/>
                  </w:rPr>
                  <w:instrText xml:space="preserve"> MERGEFIELD  FINCR_NAME  \* MERGEFORMAT </w:instrText>
                </w:r>
                <w:r w:rsidRPr="006D37F2">
                  <w:rPr>
                    <w:rFonts w:asciiTheme="minorHAnsi" w:hAnsiTheme="minorHAnsi"/>
                    <w:noProof/>
                    <w:color w:val="7F7F7F"/>
                    <w:sz w:val="22"/>
                    <w:szCs w:val="22"/>
                  </w:rPr>
                  <w:fldChar w:fldCharType="separate"/>
                </w:r>
                <w:r w:rsidRPr="006D37F2">
                  <w:rPr>
                    <w:rFonts w:asciiTheme="minorHAnsi" w:hAnsiTheme="minorHAnsi"/>
                    <w:noProof/>
                    <w:color w:val="7F7F7F"/>
                    <w:sz w:val="22"/>
                    <w:szCs w:val="22"/>
                  </w:rPr>
                  <w:instrText>«FINCR_NAME»</w:instrText>
                </w:r>
                <w:r w:rsidRPr="006D37F2">
                  <w:rPr>
                    <w:rFonts w:asciiTheme="minorHAnsi" w:hAnsiTheme="minorHAnsi"/>
                    <w:noProof/>
                    <w:color w:val="7F7F7F"/>
                    <w:sz w:val="22"/>
                    <w:szCs w:val="22"/>
                  </w:rPr>
                  <w:fldChar w:fldCharType="end"/>
                </w:r>
                <w:r w:rsidRPr="006D37F2">
                  <w:rPr>
                    <w:rFonts w:asciiTheme="minorHAnsi" w:hAnsiTheme="minorHAnsi"/>
                    <w:sz w:val="22"/>
                    <w:szCs w:val="22"/>
                  </w:rPr>
                  <w:fldChar w:fldCharType="end"/>
                </w:r>
                <w:r w:rsidRPr="006D37F2">
                  <w:rPr>
                    <w:rFonts w:asciiTheme="minorHAnsi" w:hAnsiTheme="minorHAnsi"/>
                    <w:sz w:val="22"/>
                    <w:szCs w:val="22"/>
                  </w:rPr>
                  <w:instrText xml:space="preserve">"  </w:instrText>
                </w:r>
                <w:r w:rsidRPr="006D37F2">
                  <w:rPr>
                    <w:rFonts w:asciiTheme="minorHAnsi" w:hAnsiTheme="minorHAnsi"/>
                    <w:sz w:val="22"/>
                    <w:szCs w:val="22"/>
                  </w:rPr>
                  <w:fldChar w:fldCharType="separate"/>
                </w:r>
                <w:r w:rsidRPr="006D37F2">
                  <w:rPr>
                    <w:rFonts w:asciiTheme="minorHAnsi" w:hAnsiTheme="minorHAnsi"/>
                    <w:noProof/>
                    <w:sz w:val="22"/>
                    <w:szCs w:val="22"/>
                  </w:rPr>
                  <w:instrText xml:space="preserve">                    </w:instrText>
                </w:r>
                <w:r w:rsidRPr="006D37F2">
                  <w:rPr>
                    <w:rFonts w:asciiTheme="minorHAnsi" w:hAnsiTheme="minorHAnsi"/>
                    <w:noProof/>
                    <w:color w:val="7F7F7F"/>
                    <w:sz w:val="22"/>
                    <w:szCs w:val="22"/>
                  </w:rPr>
                  <w:fldChar w:fldCharType="begin"/>
                </w:r>
                <w:r w:rsidRPr="006D37F2">
                  <w:rPr>
                    <w:rFonts w:asciiTheme="minorHAnsi" w:hAnsiTheme="minorHAnsi"/>
                    <w:noProof/>
                    <w:color w:val="7F7F7F"/>
                    <w:sz w:val="22"/>
                    <w:szCs w:val="22"/>
                  </w:rPr>
                  <w:instrText xml:space="preserve"> MERGEFIELD  FINCR_NAME  \* MERGEFORMAT </w:instrText>
                </w:r>
                <w:r w:rsidRPr="006D37F2">
                  <w:rPr>
                    <w:rFonts w:asciiTheme="minorHAnsi" w:hAnsiTheme="minorHAnsi"/>
                    <w:noProof/>
                    <w:color w:val="7F7F7F"/>
                    <w:sz w:val="22"/>
                    <w:szCs w:val="22"/>
                  </w:rPr>
                  <w:fldChar w:fldCharType="separate"/>
                </w:r>
                <w:r w:rsidRPr="006D37F2">
                  <w:rPr>
                    <w:rFonts w:asciiTheme="minorHAnsi" w:hAnsiTheme="minorHAnsi"/>
                    <w:noProof/>
                    <w:color w:val="7F7F7F"/>
                    <w:sz w:val="22"/>
                    <w:szCs w:val="22"/>
                  </w:rPr>
                  <w:instrText>«FINCR_NAME»</w:instrText>
                </w:r>
                <w:r w:rsidRPr="006D37F2">
                  <w:rPr>
                    <w:rFonts w:asciiTheme="minorHAnsi" w:hAnsiTheme="minorHAnsi"/>
                    <w:noProof/>
                    <w:color w:val="7F7F7F"/>
                    <w:sz w:val="22"/>
                    <w:szCs w:val="22"/>
                  </w:rPr>
                  <w:fldChar w:fldCharType="end"/>
                </w:r>
                <w:r w:rsidRPr="006D37F2">
                  <w:rPr>
                    <w:rFonts w:asciiTheme="minorHAnsi" w:hAnsiTheme="minorHAnsi"/>
                    <w:sz w:val="22"/>
                    <w:szCs w:val="22"/>
                  </w:rPr>
                  <w:fldChar w:fldCharType="end"/>
                </w:r>
                <w:r w:rsidRPr="006D37F2">
                  <w:rPr>
                    <w:rFonts w:asciiTheme="minorHAnsi" w:hAnsiTheme="minorHAnsi"/>
                    <w:sz w:val="22"/>
                    <w:szCs w:val="22"/>
                  </w:rPr>
                  <w:instrText xml:space="preserve">"  </w:instrText>
                </w:r>
                <w:r w:rsidRPr="006D37F2">
                  <w:rPr>
                    <w:rFonts w:asciiTheme="minorHAnsi" w:hAnsiTheme="minorHAnsi"/>
                    <w:sz w:val="22"/>
                    <w:szCs w:val="22"/>
                  </w:rPr>
                  <w:fldChar w:fldCharType="separate"/>
                </w:r>
                <w:r w:rsidRPr="006D37F2">
                  <w:rPr>
                    <w:rFonts w:asciiTheme="minorHAnsi" w:hAnsiTheme="minorHAnsi"/>
                    <w:b/>
                    <w:noProof/>
                    <w:sz w:val="22"/>
                    <w:szCs w:val="22"/>
                  </w:rPr>
                  <w:t>409.00</w:t>
                </w:r>
                <w:r w:rsidRPr="006D37F2">
                  <w:rPr>
                    <w:rFonts w:asciiTheme="minorHAnsi" w:hAnsiTheme="minorHAnsi"/>
                    <w:sz w:val="22"/>
                    <w:szCs w:val="22"/>
                  </w:rPr>
                  <w:fldChar w:fldCharType="end"/>
                </w:r>
                <w:r>
                  <w:rPr>
                    <w:rFonts w:asciiTheme="minorHAnsi" w:hAnsiTheme="minorHAnsi"/>
                    <w:sz w:val="22"/>
                    <w:szCs w:val="22"/>
                  </w:rPr>
                  <w:t xml:space="preserve"> </w:t>
                </w:r>
              </w:p>
            </w:tc>
          </w:tr>
          <w:tr w:rsidR="004F0F3F" w14:paraId="098F27A7" w14:textId="77777777" w:rsidTr="00C91C37">
            <w:trPr>
              <w:trHeight w:val="512"/>
            </w:trPr>
            <w:tc>
              <w:tcPr>
                <w:tcW w:w="69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tcPr>
              <w:p w14:paraId="74EF5D0C" w14:textId="77777777" w:rsidR="00C91C37" w:rsidRPr="00704567" w:rsidRDefault="00880CEC" w:rsidP="00D81B56">
                <w:pPr>
                  <w:rPr>
                    <w:rFonts w:asciiTheme="minorHAnsi" w:eastAsiaTheme="minorHAnsi" w:hAnsiTheme="minorHAnsi" w:cstheme="minorBidi"/>
                    <w:color w:val="auto"/>
                    <w:sz w:val="22"/>
                    <w:szCs w:val="22"/>
                  </w:rPr>
                </w:pPr>
                <w:r>
                  <w:t xml:space="preserve">  </w:t>
                </w:r>
                <w:r w:rsidRPr="00F51274">
                  <w:rPr>
                    <w:rFonts w:asciiTheme="minorHAnsi" w:eastAsiaTheme="minorHAnsi" w:hAnsiTheme="minorHAnsi" w:cstheme="minorBidi"/>
                    <w:color w:val="auto"/>
                    <w:sz w:val="22"/>
                    <w:szCs w:val="22"/>
                  </w:rPr>
                  <w:fldChar w:fldCharType="begin"/>
                </w:r>
                <w:r w:rsidRPr="00F51274">
                  <w:rPr>
                    <w:rFonts w:asciiTheme="minorHAnsi" w:eastAsiaTheme="minorHAnsi" w:hAnsiTheme="minorHAnsi" w:cstheme="minorBidi"/>
                    <w:color w:val="auto"/>
                    <w:sz w:val="22"/>
                    <w:szCs w:val="22"/>
                  </w:rPr>
                  <w:instrText xml:space="preserve"> IF</w:instrText>
                </w:r>
                <w:r w:rsidRPr="00F51274">
                  <w:rPr>
                    <w:rFonts w:asciiTheme="minorHAnsi" w:eastAsiaTheme="minorHAnsi" w:hAnsiTheme="minorHAnsi" w:cstheme="minorBidi"/>
                    <w:noProof/>
                    <w:color w:val="auto"/>
                    <w:sz w:val="22"/>
                    <w:szCs w:val="22"/>
                  </w:rPr>
                  <w:instrText xml:space="preserve"> 2 </w:instrText>
                </w:r>
                <w:r w:rsidRPr="00F51274">
                  <w:rPr>
                    <w:rFonts w:asciiTheme="minorHAnsi" w:eastAsiaTheme="minorHAnsi" w:hAnsiTheme="minorHAnsi" w:cstheme="minorBidi"/>
                    <w:color w:val="auto"/>
                    <w:sz w:val="22"/>
                    <w:szCs w:val="22"/>
                  </w:rPr>
                  <w:instrText xml:space="preserve">="1" "  </w:instrText>
                </w:r>
                <w:r w:rsidRPr="00F51274">
                  <w:rPr>
                    <w:rFonts w:asciiTheme="minorHAnsi" w:eastAsiaTheme="minorHAnsi" w:hAnsiTheme="minorHAnsi" w:cstheme="minorBidi"/>
                    <w:color w:val="404040"/>
                    <w:sz w:val="22"/>
                    <w:szCs w:val="22"/>
                  </w:rPr>
                  <w:instrText xml:space="preserve">   </w:instrText>
                </w:r>
                <w:r w:rsidRPr="002F7868">
                  <w:rPr>
                    <w:rFonts w:asciiTheme="minorHAnsi" w:eastAsiaTheme="minorHAnsi" w:hAnsiTheme="minorHAnsi" w:cstheme="minorBidi"/>
                    <w:b/>
                    <w:color w:val="auto"/>
                    <w:sz w:val="22"/>
                    <w:szCs w:val="22"/>
                  </w:rPr>
                  <w:fldChar w:fldCharType="begin"/>
                </w:r>
                <w:r w:rsidRPr="002F7868">
                  <w:rPr>
                    <w:rFonts w:asciiTheme="minorHAnsi" w:eastAsiaTheme="minorHAnsi" w:hAnsiTheme="minorHAnsi" w:cstheme="minorBidi"/>
                    <w:b/>
                    <w:color w:val="auto"/>
                    <w:sz w:val="22"/>
                    <w:szCs w:val="22"/>
                  </w:rPr>
                  <w:instrText xml:space="preserve"> MERGEFIELD  FINCR_NAME  \* MERGEFORMAT </w:instrText>
                </w:r>
                <w:r w:rsidRPr="002F7868">
                  <w:rPr>
                    <w:rFonts w:asciiTheme="minorHAnsi" w:eastAsiaTheme="minorHAnsi" w:hAnsiTheme="minorHAnsi" w:cstheme="minorBidi"/>
                    <w:b/>
                    <w:color w:val="auto"/>
                    <w:sz w:val="22"/>
                    <w:szCs w:val="22"/>
                  </w:rPr>
                  <w:fldChar w:fldCharType="separate"/>
                </w:r>
                <w:r w:rsidRPr="002F7868">
                  <w:rPr>
                    <w:rFonts w:asciiTheme="minorHAnsi" w:eastAsiaTheme="minorHAnsi" w:hAnsiTheme="minorHAnsi" w:cstheme="minorBidi"/>
                    <w:b/>
                    <w:noProof/>
                    <w:color w:val="auto"/>
                    <w:sz w:val="22"/>
                    <w:szCs w:val="22"/>
                  </w:rPr>
                  <w:instrText>«FINCR_NAME»</w:instrText>
                </w:r>
                <w:r w:rsidRPr="002F7868">
                  <w:rPr>
                    <w:rFonts w:asciiTheme="minorHAnsi" w:eastAsiaTheme="minorHAnsi" w:hAnsiTheme="minorHAnsi" w:cstheme="minorBidi"/>
                    <w:b/>
                    <w:color w:val="auto"/>
                    <w:sz w:val="22"/>
                    <w:szCs w:val="22"/>
                  </w:rPr>
                  <w:fldChar w:fldCharType="end"/>
                </w:r>
                <w:r w:rsidRPr="00F51274">
                  <w:rPr>
                    <w:rFonts w:asciiTheme="minorHAnsi" w:eastAsiaTheme="minorHAnsi" w:hAnsiTheme="minorHAnsi" w:cstheme="minorBidi"/>
                    <w:color w:val="auto"/>
                    <w:sz w:val="22"/>
                    <w:szCs w:val="22"/>
                  </w:rPr>
                  <w:instrText>" "</w:instrText>
                </w:r>
                <w:r w:rsidRPr="00F51274">
                  <w:rPr>
                    <w:rFonts w:asciiTheme="minorHAnsi" w:eastAsiaTheme="minorHAnsi" w:hAnsiTheme="minorHAnsi" w:cstheme="minorBidi"/>
                    <w:color w:val="auto"/>
                    <w:sz w:val="22"/>
                    <w:szCs w:val="22"/>
                  </w:rPr>
                  <w:fldChar w:fldCharType="begin"/>
                </w:r>
                <w:r w:rsidRPr="00F51274">
                  <w:rPr>
                    <w:rFonts w:asciiTheme="minorHAnsi" w:eastAsiaTheme="minorHAnsi" w:hAnsiTheme="minorHAnsi" w:cstheme="minorBidi"/>
                    <w:color w:val="auto"/>
                    <w:sz w:val="22"/>
                    <w:szCs w:val="22"/>
                  </w:rPr>
                  <w:instrText xml:space="preserve"> IF</w:instrText>
                </w:r>
                <w:r w:rsidRPr="00F51274">
                  <w:rPr>
                    <w:rFonts w:asciiTheme="minorHAnsi" w:eastAsiaTheme="minorHAnsi" w:hAnsiTheme="minorHAnsi" w:cstheme="minorBidi"/>
                    <w:noProof/>
                    <w:color w:val="auto"/>
                    <w:sz w:val="22"/>
                    <w:szCs w:val="22"/>
                  </w:rPr>
                  <w:instrText xml:space="preserve"> 2 </w:instrText>
                </w:r>
                <w:r w:rsidRPr="00F51274">
                  <w:rPr>
                    <w:rFonts w:asciiTheme="minorHAnsi" w:eastAsiaTheme="minorHAnsi" w:hAnsiTheme="minorHAnsi" w:cstheme="minorBidi"/>
                    <w:color w:val="auto"/>
                    <w:sz w:val="22"/>
                    <w:szCs w:val="22"/>
                  </w:rPr>
                  <w:instrText xml:space="preserve">="2" "          </w:instrText>
                </w:r>
                <w:r w:rsidRPr="00F51274">
                  <w:rPr>
                    <w:rFonts w:asciiTheme="minorHAnsi" w:eastAsiaTheme="minorHAnsi" w:hAnsiTheme="minorHAnsi" w:cstheme="minorBidi"/>
                    <w:noProof/>
                    <w:color w:val="595959"/>
                    <w:sz w:val="21"/>
                    <w:szCs w:val="21"/>
                  </w:rPr>
                  <w:instrText>Borrower/Recipient</w:instrText>
                </w:r>
                <w:r w:rsidRPr="00F51274">
                  <w:rPr>
                    <w:rFonts w:asciiTheme="minorHAnsi" w:eastAsiaTheme="minorHAnsi" w:hAnsiTheme="minorHAnsi" w:cstheme="minorBidi"/>
                    <w:color w:val="auto"/>
                    <w:sz w:val="22"/>
                    <w:szCs w:val="22"/>
                  </w:rPr>
                  <w:instrText>"  "</w:instrText>
                </w:r>
                <w:r w:rsidRPr="00F51274">
                  <w:rPr>
                    <w:rFonts w:asciiTheme="minorHAnsi" w:eastAsiaTheme="minorHAnsi" w:hAnsiTheme="minorHAnsi" w:cstheme="minorBidi"/>
                    <w:color w:val="auto"/>
                    <w:sz w:val="22"/>
                    <w:szCs w:val="22"/>
                  </w:rPr>
                  <w:fldChar w:fldCharType="begin"/>
                </w:r>
                <w:r w:rsidRPr="00F51274">
                  <w:rPr>
                    <w:rFonts w:asciiTheme="minorHAnsi" w:eastAsiaTheme="minorHAnsi" w:hAnsiTheme="minorHAnsi" w:cstheme="minorBidi"/>
                    <w:color w:val="auto"/>
                    <w:sz w:val="22"/>
                    <w:szCs w:val="22"/>
                  </w:rPr>
                  <w:instrText xml:space="preserve"> IF</w:instrText>
                </w:r>
                <w:r w:rsidRPr="00F51274">
                  <w:rPr>
                    <w:rFonts w:asciiTheme="minorHAnsi" w:eastAsiaTheme="minorHAnsi" w:hAnsiTheme="minorHAnsi" w:cstheme="minorBidi"/>
                    <w:color w:val="auto"/>
                    <w:sz w:val="22"/>
                    <w:szCs w:val="22"/>
                  </w:rPr>
                  <w:fldChar w:fldCharType="begin"/>
                </w:r>
                <w:r w:rsidRPr="00F51274">
                  <w:rPr>
                    <w:rFonts w:asciiTheme="minorHAnsi" w:eastAsiaTheme="minorHAnsi" w:hAnsiTheme="minorHAnsi" w:cstheme="minorBidi"/>
                    <w:color w:val="auto"/>
                    <w:sz w:val="22"/>
                    <w:szCs w:val="22"/>
                  </w:rPr>
                  <w:instrText xml:space="preserve"> MERGEFIELD  LEVEL  \* MERGEFORMAT </w:instrText>
                </w:r>
                <w:r w:rsidRPr="00F51274">
                  <w:rPr>
                    <w:rFonts w:asciiTheme="minorHAnsi" w:eastAsiaTheme="minorHAnsi" w:hAnsiTheme="minorHAnsi" w:cstheme="minorBidi"/>
                    <w:color w:val="auto"/>
                    <w:sz w:val="22"/>
                    <w:szCs w:val="22"/>
                  </w:rPr>
                  <w:fldChar w:fldCharType="separate"/>
                </w:r>
                <w:r w:rsidRPr="00F51274">
                  <w:rPr>
                    <w:rFonts w:asciiTheme="minorHAnsi" w:eastAsiaTheme="minorHAnsi" w:hAnsiTheme="minorHAnsi" w:cstheme="minorBidi"/>
                    <w:noProof/>
                    <w:color w:val="auto"/>
                    <w:sz w:val="22"/>
                    <w:szCs w:val="22"/>
                  </w:rPr>
                  <w:instrText>«LEVEL»</w:instrText>
                </w:r>
                <w:r w:rsidRPr="00F51274">
                  <w:rPr>
                    <w:rFonts w:asciiTheme="minorHAnsi" w:eastAsiaTheme="minorHAnsi" w:hAnsiTheme="minorHAnsi" w:cstheme="minorBidi"/>
                    <w:color w:val="auto"/>
                    <w:sz w:val="22"/>
                    <w:szCs w:val="22"/>
                  </w:rPr>
                  <w:fldChar w:fldCharType="end"/>
                </w:r>
                <w:r w:rsidRPr="00F51274">
                  <w:rPr>
                    <w:rFonts w:asciiTheme="minorHAnsi" w:eastAsiaTheme="minorHAnsi" w:hAnsiTheme="minorHAnsi" w:cstheme="minorBidi"/>
                    <w:color w:val="auto"/>
                    <w:sz w:val="22"/>
                    <w:szCs w:val="22"/>
                  </w:rPr>
                  <w:instrText xml:space="preserve">="3" "               </w:instrText>
                </w:r>
                <w:r w:rsidRPr="00F51274">
                  <w:rPr>
                    <w:rFonts w:asciiTheme="minorHAnsi" w:eastAsiaTheme="minorHAnsi" w:hAnsiTheme="minorHAnsi" w:cstheme="minorBidi"/>
                    <w:color w:val="7F7F7F"/>
                    <w:sz w:val="20"/>
                    <w:szCs w:val="20"/>
                  </w:rPr>
                  <w:fldChar w:fldCharType="begin"/>
                </w:r>
                <w:r w:rsidRPr="00F51274">
                  <w:rPr>
                    <w:rFonts w:asciiTheme="minorHAnsi" w:eastAsiaTheme="minorHAnsi" w:hAnsiTheme="minorHAnsi" w:cstheme="minorBidi"/>
                    <w:color w:val="7F7F7F"/>
                    <w:sz w:val="20"/>
                    <w:szCs w:val="20"/>
                  </w:rPr>
                  <w:instrText xml:space="preserve"> MERGEFIELD  FINCR_NAME  \* MERGEFORMAT </w:instrText>
                </w:r>
                <w:r w:rsidRPr="00F51274">
                  <w:rPr>
                    <w:rFonts w:asciiTheme="minorHAnsi" w:eastAsiaTheme="minorHAnsi" w:hAnsiTheme="minorHAnsi" w:cstheme="minorBidi"/>
                    <w:color w:val="7F7F7F"/>
                    <w:sz w:val="20"/>
                    <w:szCs w:val="20"/>
                  </w:rPr>
                  <w:fldChar w:fldCharType="separate"/>
                </w:r>
                <w:r w:rsidRPr="00F51274">
                  <w:rPr>
                    <w:rFonts w:asciiTheme="minorHAnsi" w:eastAsiaTheme="minorHAnsi" w:hAnsiTheme="minorHAnsi" w:cstheme="minorBidi"/>
                    <w:noProof/>
                    <w:color w:val="7F7F7F"/>
                    <w:sz w:val="20"/>
                    <w:szCs w:val="20"/>
                  </w:rPr>
                  <w:instrText>«FINCR_NAME»</w:instrText>
                </w:r>
                <w:r w:rsidRPr="00F51274">
                  <w:rPr>
                    <w:rFonts w:asciiTheme="minorHAnsi" w:eastAsiaTheme="minorHAnsi" w:hAnsiTheme="minorHAnsi" w:cstheme="minorBidi"/>
                    <w:color w:val="7F7F7F"/>
                    <w:sz w:val="20"/>
                    <w:szCs w:val="20"/>
                  </w:rPr>
                  <w:fldChar w:fldCharType="end"/>
                </w:r>
                <w:r w:rsidRPr="00F51274">
                  <w:rPr>
                    <w:rFonts w:asciiTheme="minorHAnsi" w:eastAsiaTheme="minorHAnsi" w:hAnsiTheme="minorHAnsi" w:cstheme="minorBidi"/>
                    <w:color w:val="auto"/>
                    <w:sz w:val="22"/>
                    <w:szCs w:val="22"/>
                  </w:rPr>
                  <w:instrText xml:space="preserve">" "                    </w:instrText>
                </w:r>
                <w:r w:rsidRPr="00F51274">
                  <w:rPr>
                    <w:rFonts w:asciiTheme="minorHAnsi" w:eastAsiaTheme="minorHAnsi" w:hAnsiTheme="minorHAnsi" w:cstheme="minorBidi"/>
                    <w:color w:val="7F7F7F"/>
                    <w:sz w:val="20"/>
                    <w:szCs w:val="20"/>
                  </w:rPr>
                  <w:fldChar w:fldCharType="begin"/>
                </w:r>
                <w:r w:rsidRPr="00F51274">
                  <w:rPr>
                    <w:rFonts w:asciiTheme="minorHAnsi" w:eastAsiaTheme="minorHAnsi" w:hAnsiTheme="minorHAnsi" w:cstheme="minorBidi"/>
                    <w:color w:val="7F7F7F"/>
                    <w:sz w:val="20"/>
                    <w:szCs w:val="20"/>
                  </w:rPr>
                  <w:instrText xml:space="preserve"> MERGEFIELD  FINCR_NAME  \* MERGEFORMAT </w:instrText>
                </w:r>
                <w:r w:rsidRPr="00F51274">
                  <w:rPr>
                    <w:rFonts w:asciiTheme="minorHAnsi" w:eastAsiaTheme="minorHAnsi" w:hAnsiTheme="minorHAnsi" w:cstheme="minorBidi"/>
                    <w:color w:val="7F7F7F"/>
                    <w:sz w:val="20"/>
                    <w:szCs w:val="20"/>
                  </w:rPr>
                  <w:fldChar w:fldCharType="separate"/>
                </w:r>
                <w:r w:rsidRPr="00F51274">
                  <w:rPr>
                    <w:rFonts w:asciiTheme="minorHAnsi" w:eastAsiaTheme="minorHAnsi" w:hAnsiTheme="minorHAnsi" w:cstheme="minorBidi"/>
                    <w:noProof/>
                    <w:color w:val="7F7F7F"/>
                    <w:sz w:val="20"/>
                    <w:szCs w:val="20"/>
                  </w:rPr>
                  <w:instrText>«FINCR_NAME»</w:instrText>
                </w:r>
                <w:r w:rsidRPr="00F51274">
                  <w:rPr>
                    <w:rFonts w:asciiTheme="minorHAnsi" w:eastAsiaTheme="minorHAnsi" w:hAnsiTheme="minorHAnsi" w:cstheme="minorBidi"/>
                    <w:color w:val="7F7F7F"/>
                    <w:sz w:val="20"/>
                    <w:szCs w:val="20"/>
                  </w:rPr>
                  <w:fldChar w:fldCharType="end"/>
                </w:r>
                <w:r w:rsidRPr="00F51274">
                  <w:rPr>
                    <w:rFonts w:asciiTheme="minorHAnsi" w:eastAsiaTheme="minorHAnsi" w:hAnsiTheme="minorHAnsi" w:cstheme="minorBidi"/>
                    <w:color w:val="auto"/>
                    <w:sz w:val="22"/>
                    <w:szCs w:val="22"/>
                  </w:rPr>
                  <w:instrText>"</w:instrText>
                </w:r>
                <w:r w:rsidRPr="00F51274">
                  <w:rPr>
                    <w:rFonts w:asciiTheme="minorHAnsi" w:eastAsiaTheme="minorHAnsi" w:hAnsiTheme="minorHAnsi" w:cstheme="minorBidi"/>
                    <w:color w:val="auto"/>
                    <w:sz w:val="22"/>
                    <w:szCs w:val="22"/>
                  </w:rPr>
                  <w:fldChar w:fldCharType="separate"/>
                </w:r>
                <w:r w:rsidRPr="00F51274">
                  <w:rPr>
                    <w:rFonts w:asciiTheme="minorHAnsi" w:eastAsiaTheme="minorHAnsi" w:hAnsiTheme="minorHAnsi" w:cstheme="minorBidi"/>
                    <w:noProof/>
                    <w:color w:val="auto"/>
                    <w:sz w:val="22"/>
                    <w:szCs w:val="22"/>
                  </w:rPr>
                  <w:instrText xml:space="preserve">                    </w:instrText>
                </w:r>
                <w:r w:rsidRPr="00F51274">
                  <w:rPr>
                    <w:rFonts w:asciiTheme="minorHAnsi" w:eastAsiaTheme="minorHAnsi" w:hAnsiTheme="minorHAnsi" w:cstheme="minorBidi"/>
                    <w:noProof/>
                    <w:color w:val="7F7F7F"/>
                    <w:sz w:val="20"/>
                    <w:szCs w:val="20"/>
                  </w:rPr>
                  <w:fldChar w:fldCharType="begin"/>
                </w:r>
                <w:r w:rsidRPr="00F51274">
                  <w:rPr>
                    <w:rFonts w:asciiTheme="minorHAnsi" w:eastAsiaTheme="minorHAnsi" w:hAnsiTheme="minorHAnsi" w:cstheme="minorBidi"/>
                    <w:noProof/>
                    <w:color w:val="7F7F7F"/>
                    <w:sz w:val="20"/>
                    <w:szCs w:val="20"/>
                  </w:rPr>
                  <w:instrText xml:space="preserve"> MERGEFIELD  FINCR_NAME  \* MERGEFORMAT </w:instrText>
                </w:r>
                <w:r w:rsidRPr="00F51274">
                  <w:rPr>
                    <w:rFonts w:asciiTheme="minorHAnsi" w:eastAsiaTheme="minorHAnsi" w:hAnsiTheme="minorHAnsi" w:cstheme="minorBidi"/>
                    <w:noProof/>
                    <w:color w:val="7F7F7F"/>
                    <w:sz w:val="20"/>
                    <w:szCs w:val="20"/>
                  </w:rPr>
                  <w:fldChar w:fldCharType="separate"/>
                </w:r>
                <w:r w:rsidRPr="00F51274">
                  <w:rPr>
                    <w:rFonts w:asciiTheme="minorHAnsi" w:eastAsiaTheme="minorHAnsi" w:hAnsiTheme="minorHAnsi" w:cstheme="minorBidi"/>
                    <w:noProof/>
                    <w:color w:val="7F7F7F"/>
                    <w:sz w:val="20"/>
                    <w:szCs w:val="20"/>
                  </w:rPr>
                  <w:instrText>«FINCR_NAME»</w:instrText>
                </w:r>
                <w:r w:rsidRPr="00F51274">
                  <w:rPr>
                    <w:rFonts w:asciiTheme="minorHAnsi" w:eastAsiaTheme="minorHAnsi" w:hAnsiTheme="minorHAnsi" w:cstheme="minorBidi"/>
                    <w:noProof/>
                    <w:color w:val="7F7F7F"/>
                    <w:sz w:val="20"/>
                    <w:szCs w:val="20"/>
                  </w:rPr>
                  <w:fldChar w:fldCharType="end"/>
                </w:r>
                <w:r w:rsidRPr="00F51274">
                  <w:rPr>
                    <w:rFonts w:asciiTheme="minorHAnsi" w:eastAsiaTheme="minorHAnsi" w:hAnsiTheme="minorHAnsi" w:cstheme="minorBidi"/>
                    <w:color w:val="auto"/>
                    <w:sz w:val="22"/>
                    <w:szCs w:val="22"/>
                  </w:rPr>
                  <w:fldChar w:fldCharType="end"/>
                </w:r>
                <w:r w:rsidRPr="00F51274">
                  <w:rPr>
                    <w:rFonts w:asciiTheme="minorHAnsi" w:eastAsiaTheme="minorHAnsi" w:hAnsiTheme="minorHAnsi" w:cstheme="minorBidi"/>
                    <w:color w:val="auto"/>
                    <w:sz w:val="22"/>
                    <w:szCs w:val="22"/>
                  </w:rPr>
                  <w:instrText xml:space="preserve">"  </w:instrText>
                </w:r>
                <w:r w:rsidRPr="00F51274">
                  <w:rPr>
                    <w:rFonts w:asciiTheme="minorHAnsi" w:eastAsiaTheme="minorHAnsi" w:hAnsiTheme="minorHAnsi" w:cstheme="minorBidi"/>
                    <w:color w:val="auto"/>
                    <w:sz w:val="22"/>
                    <w:szCs w:val="22"/>
                  </w:rPr>
                  <w:fldChar w:fldCharType="separate"/>
                </w:r>
                <w:r w:rsidRPr="00F51274">
                  <w:rPr>
                    <w:rFonts w:asciiTheme="minorHAnsi" w:eastAsiaTheme="minorHAnsi" w:hAnsiTheme="minorHAnsi" w:cstheme="minorBidi"/>
                    <w:color w:val="auto"/>
                    <w:sz w:val="22"/>
                    <w:szCs w:val="22"/>
                  </w:rPr>
                  <w:instrText xml:space="preserve">          </w:instrText>
                </w:r>
                <w:r w:rsidRPr="00F51274">
                  <w:rPr>
                    <w:rFonts w:asciiTheme="minorHAnsi" w:eastAsiaTheme="minorHAnsi" w:hAnsiTheme="minorHAnsi" w:cstheme="minorBidi"/>
                    <w:noProof/>
                    <w:color w:val="595959"/>
                    <w:sz w:val="21"/>
                    <w:szCs w:val="21"/>
                  </w:rPr>
                  <w:instrText>Borrower/Recipient</w:instrText>
                </w:r>
                <w:r w:rsidRPr="00F51274">
                  <w:rPr>
                    <w:rFonts w:asciiTheme="minorHAnsi" w:eastAsiaTheme="minorHAnsi" w:hAnsiTheme="minorHAnsi" w:cstheme="minorBidi"/>
                    <w:color w:val="auto"/>
                    <w:sz w:val="22"/>
                    <w:szCs w:val="22"/>
                  </w:rPr>
                  <w:fldChar w:fldCharType="end"/>
                </w:r>
                <w:r w:rsidRPr="00F51274">
                  <w:rPr>
                    <w:rFonts w:asciiTheme="minorHAnsi" w:eastAsiaTheme="minorHAnsi" w:hAnsiTheme="minorHAnsi" w:cstheme="minorBidi"/>
                    <w:color w:val="auto"/>
                    <w:sz w:val="22"/>
                    <w:szCs w:val="22"/>
                  </w:rPr>
                  <w:instrText xml:space="preserve">"  </w:instrText>
                </w:r>
                <w:r w:rsidRPr="00F51274">
                  <w:rPr>
                    <w:rFonts w:asciiTheme="minorHAnsi" w:eastAsiaTheme="minorHAnsi" w:hAnsiTheme="minorHAnsi" w:cstheme="minorBidi"/>
                    <w:color w:val="auto"/>
                    <w:sz w:val="22"/>
                    <w:szCs w:val="22"/>
                  </w:rPr>
                  <w:fldChar w:fldCharType="separate"/>
                </w:r>
                <w:r w:rsidRPr="00F51274">
                  <w:rPr>
                    <w:rFonts w:asciiTheme="minorHAnsi" w:eastAsiaTheme="minorHAnsi" w:hAnsiTheme="minorHAnsi" w:cstheme="minorBidi"/>
                    <w:color w:val="auto"/>
                    <w:sz w:val="22"/>
                    <w:szCs w:val="22"/>
                  </w:rPr>
                  <w:t xml:space="preserve">          </w:t>
                </w:r>
                <w:r w:rsidRPr="00F51274">
                  <w:rPr>
                    <w:rFonts w:asciiTheme="minorHAnsi" w:eastAsiaTheme="minorHAnsi" w:hAnsiTheme="minorHAnsi" w:cstheme="minorBidi"/>
                    <w:noProof/>
                    <w:color w:val="595959"/>
                    <w:sz w:val="21"/>
                    <w:szCs w:val="21"/>
                  </w:rPr>
                  <w:t>Borrower/Recipient</w:t>
                </w:r>
                <w:r w:rsidRPr="00F51274">
                  <w:rPr>
                    <w:rFonts w:asciiTheme="minorHAnsi" w:eastAsiaTheme="minorHAnsi" w:hAnsiTheme="minorHAnsi" w:cstheme="minorBidi"/>
                    <w:color w:val="auto"/>
                    <w:sz w:val="22"/>
                    <w:szCs w:val="22"/>
                  </w:rPr>
                  <w:fldChar w:fldCharType="end"/>
                </w:r>
              </w:p>
            </w:tc>
            <w:tc>
              <w:tcPr>
                <w:tcW w:w="36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tcPr>
              <w:p w14:paraId="1DD182AF" w14:textId="77777777" w:rsidR="00C91C37" w:rsidRDefault="00880CEC" w:rsidP="00D81B56">
                <w:pPr>
                  <w:shd w:val="clear" w:color="auto" w:fill="F7F7F7"/>
                  <w:jc w:val="right"/>
                  <w:rPr>
                    <w:rFonts w:asciiTheme="minorHAnsi" w:hAnsiTheme="minorHAnsi"/>
                    <w:color w:val="767171" w:themeColor="background2" w:themeShade="80"/>
                    <w:sz w:val="22"/>
                    <w:szCs w:val="22"/>
                  </w:rPr>
                </w:pPr>
                <w:r w:rsidRPr="006D37F2">
                  <w:rPr>
                    <w:rFonts w:asciiTheme="minorHAnsi" w:hAnsiTheme="minorHAnsi"/>
                    <w:sz w:val="22"/>
                    <w:szCs w:val="22"/>
                  </w:rPr>
                  <w:fldChar w:fldCharType="begin"/>
                </w:r>
                <w:r w:rsidRPr="006D37F2">
                  <w:rPr>
                    <w:rFonts w:asciiTheme="minorHAnsi" w:hAnsiTheme="minorHAnsi"/>
                    <w:sz w:val="22"/>
                    <w:szCs w:val="22"/>
                  </w:rPr>
                  <w:instrText xml:space="preserve"> IF</w:instrText>
                </w:r>
                <w:r w:rsidRPr="006D37F2">
                  <w:rPr>
                    <w:rFonts w:asciiTheme="minorHAnsi" w:hAnsiTheme="minorHAnsi"/>
                    <w:noProof/>
                    <w:sz w:val="22"/>
                    <w:szCs w:val="22"/>
                  </w:rPr>
                  <w:instrText xml:space="preserve"> 2 </w:instrText>
                </w:r>
                <w:r w:rsidRPr="006D37F2">
                  <w:rPr>
                    <w:rFonts w:asciiTheme="minorHAnsi" w:hAnsiTheme="minorHAnsi"/>
                    <w:sz w:val="22"/>
                    <w:szCs w:val="22"/>
                  </w:rPr>
                  <w:instrText>="1" "</w:instrText>
                </w:r>
                <w:r w:rsidRPr="006D37F2">
                  <w:rPr>
                    <w:rFonts w:asciiTheme="minorHAnsi" w:hAnsiTheme="minorHAnsi"/>
                    <w:b/>
                    <w:sz w:val="22"/>
                    <w:szCs w:val="22"/>
                  </w:rPr>
                  <w:fldChar w:fldCharType="begin"/>
                </w:r>
                <w:r w:rsidRPr="006D37F2">
                  <w:rPr>
                    <w:rFonts w:asciiTheme="minorHAnsi" w:hAnsiTheme="minorHAnsi"/>
                    <w:b/>
                    <w:sz w:val="22"/>
                    <w:szCs w:val="22"/>
                  </w:rPr>
                  <w:instrText xml:space="preserve"> MERGEFIELD  FINCR_USD_AMT \# ,0.00 \* MERGEFORMAT </w:instrText>
                </w:r>
                <w:r w:rsidRPr="006D37F2">
                  <w:rPr>
                    <w:rFonts w:asciiTheme="minorHAnsi" w:hAnsiTheme="minorHAnsi"/>
                    <w:b/>
                    <w:sz w:val="22"/>
                    <w:szCs w:val="22"/>
                  </w:rPr>
                  <w:fldChar w:fldCharType="separate"/>
                </w:r>
                <w:r w:rsidRPr="006D37F2">
                  <w:rPr>
                    <w:rFonts w:asciiTheme="minorHAnsi" w:hAnsiTheme="minorHAnsi"/>
                    <w:b/>
                    <w:noProof/>
                    <w:sz w:val="22"/>
                    <w:szCs w:val="22"/>
                  </w:rPr>
                  <w:instrText>«FINCR_USD_AMT»</w:instrText>
                </w:r>
                <w:r w:rsidRPr="006D37F2">
                  <w:rPr>
                    <w:rFonts w:asciiTheme="minorHAnsi" w:hAnsiTheme="minorHAnsi"/>
                    <w:b/>
                    <w:sz w:val="22"/>
                    <w:szCs w:val="22"/>
                  </w:rPr>
                  <w:fldChar w:fldCharType="end"/>
                </w:r>
                <w:r w:rsidRPr="006D37F2">
                  <w:rPr>
                    <w:rFonts w:asciiTheme="minorHAnsi" w:hAnsiTheme="minorHAnsi"/>
                    <w:sz w:val="22"/>
                    <w:szCs w:val="22"/>
                  </w:rPr>
                  <w:instrText>" "</w:instrText>
                </w:r>
                <w:r w:rsidRPr="006D37F2">
                  <w:rPr>
                    <w:rFonts w:asciiTheme="minorHAnsi" w:hAnsiTheme="minorHAnsi"/>
                    <w:sz w:val="22"/>
                    <w:szCs w:val="22"/>
                  </w:rPr>
                  <w:fldChar w:fldCharType="begin"/>
                </w:r>
                <w:r w:rsidRPr="006D37F2">
                  <w:rPr>
                    <w:rFonts w:asciiTheme="minorHAnsi" w:hAnsiTheme="minorHAnsi"/>
                    <w:sz w:val="22"/>
                    <w:szCs w:val="22"/>
                  </w:rPr>
                  <w:instrText xml:space="preserve"> IF</w:instrText>
                </w:r>
                <w:r w:rsidRPr="006D37F2">
                  <w:rPr>
                    <w:rFonts w:asciiTheme="minorHAnsi" w:hAnsiTheme="minorHAnsi"/>
                    <w:noProof/>
                    <w:sz w:val="22"/>
                    <w:szCs w:val="22"/>
                  </w:rPr>
                  <w:instrText xml:space="preserve"> 2 </w:instrText>
                </w:r>
                <w:r w:rsidRPr="006D37F2">
                  <w:rPr>
                    <w:rFonts w:asciiTheme="minorHAnsi" w:hAnsiTheme="minorHAnsi"/>
                    <w:sz w:val="22"/>
                    <w:szCs w:val="22"/>
                  </w:rPr>
                  <w:instrText xml:space="preserve">="2" "     </w:instrText>
                </w:r>
                <w:r w:rsidRPr="006D37F2">
                  <w:rPr>
                    <w:rFonts w:asciiTheme="minorHAnsi" w:hAnsiTheme="minorHAnsi"/>
                    <w:noProof/>
                    <w:color w:val="595959"/>
                    <w:sz w:val="21"/>
                    <w:szCs w:val="21"/>
                  </w:rPr>
                  <w:instrText>409.00</w:instrText>
                </w:r>
                <w:r w:rsidRPr="006D37F2">
                  <w:rPr>
                    <w:rFonts w:asciiTheme="minorHAnsi" w:hAnsiTheme="minorHAnsi"/>
                    <w:sz w:val="22"/>
                    <w:szCs w:val="22"/>
                  </w:rPr>
                  <w:instrText>"  "</w:instrText>
                </w:r>
                <w:r w:rsidRPr="006D37F2">
                  <w:rPr>
                    <w:rFonts w:asciiTheme="minorHAnsi" w:hAnsiTheme="minorHAnsi"/>
                    <w:sz w:val="22"/>
                    <w:szCs w:val="22"/>
                  </w:rPr>
                  <w:fldChar w:fldCharType="begin"/>
                </w:r>
                <w:r w:rsidRPr="006D37F2">
                  <w:rPr>
                    <w:rFonts w:asciiTheme="minorHAnsi" w:hAnsiTheme="minorHAnsi"/>
                    <w:sz w:val="22"/>
                    <w:szCs w:val="22"/>
                  </w:rPr>
                  <w:instrText xml:space="preserve"> IF</w:instrText>
                </w:r>
                <w:r w:rsidRPr="006D37F2">
                  <w:rPr>
                    <w:rFonts w:asciiTheme="minorHAnsi" w:hAnsiTheme="minorHAnsi"/>
                    <w:sz w:val="22"/>
                    <w:szCs w:val="22"/>
                  </w:rPr>
                  <w:fldChar w:fldCharType="begin"/>
                </w:r>
                <w:r w:rsidRPr="006D37F2">
                  <w:rPr>
                    <w:rFonts w:asciiTheme="minorHAnsi" w:hAnsiTheme="minorHAnsi"/>
                    <w:sz w:val="22"/>
                    <w:szCs w:val="22"/>
                  </w:rPr>
                  <w:instrText xml:space="preserve"> MERGEFIELD  LEVEL  \* MERGEFORMAT </w:instrText>
                </w:r>
                <w:r w:rsidRPr="006D37F2">
                  <w:rPr>
                    <w:rFonts w:asciiTheme="minorHAnsi" w:hAnsiTheme="minorHAnsi"/>
                    <w:sz w:val="22"/>
                    <w:szCs w:val="22"/>
                  </w:rPr>
                  <w:fldChar w:fldCharType="separate"/>
                </w:r>
                <w:r w:rsidRPr="006D37F2">
                  <w:rPr>
                    <w:rFonts w:asciiTheme="minorHAnsi" w:hAnsiTheme="minorHAnsi"/>
                    <w:noProof/>
                    <w:sz w:val="22"/>
                    <w:szCs w:val="22"/>
                  </w:rPr>
                  <w:instrText>«LEVEL»</w:instrText>
                </w:r>
                <w:r w:rsidRPr="006D37F2">
                  <w:rPr>
                    <w:rFonts w:asciiTheme="minorHAnsi" w:hAnsiTheme="minorHAnsi"/>
                    <w:noProof/>
                    <w:sz w:val="22"/>
                    <w:szCs w:val="22"/>
                  </w:rPr>
                  <w:fldChar w:fldCharType="end"/>
                </w:r>
                <w:r w:rsidRPr="006D37F2">
                  <w:rPr>
                    <w:rFonts w:asciiTheme="minorHAnsi" w:hAnsiTheme="minorHAnsi"/>
                    <w:sz w:val="22"/>
                    <w:szCs w:val="22"/>
                  </w:rPr>
                  <w:instrText xml:space="preserve">="3" "               </w:instrText>
                </w:r>
                <w:r w:rsidRPr="006D37F2">
                  <w:rPr>
                    <w:rFonts w:asciiTheme="minorHAnsi" w:hAnsiTheme="minorHAnsi"/>
                    <w:color w:val="7F7F7F"/>
                    <w:sz w:val="20"/>
                    <w:szCs w:val="20"/>
                  </w:rPr>
                  <w:fldChar w:fldCharType="begin"/>
                </w:r>
                <w:r w:rsidRPr="006D37F2">
                  <w:rPr>
                    <w:rFonts w:asciiTheme="minorHAnsi" w:hAnsiTheme="minorHAnsi"/>
                    <w:color w:val="7F7F7F"/>
                    <w:sz w:val="20"/>
                    <w:szCs w:val="20"/>
                  </w:rPr>
                  <w:instrText xml:space="preserve"> MERGEFIELD  FINCR_USD_AMT \# ,0.00 \* MERGEFORMAT </w:instrText>
                </w:r>
                <w:r w:rsidRPr="006D37F2">
                  <w:rPr>
                    <w:rFonts w:asciiTheme="minorHAnsi" w:hAnsiTheme="minorHAnsi"/>
                    <w:color w:val="7F7F7F"/>
                    <w:sz w:val="20"/>
                    <w:szCs w:val="20"/>
                  </w:rPr>
                  <w:fldChar w:fldCharType="separate"/>
                </w:r>
                <w:r w:rsidRPr="006D37F2">
                  <w:rPr>
                    <w:rFonts w:asciiTheme="minorHAnsi" w:hAnsiTheme="minorHAnsi"/>
                    <w:noProof/>
                    <w:color w:val="7F7F7F"/>
                    <w:sz w:val="20"/>
                    <w:szCs w:val="20"/>
                  </w:rPr>
                  <w:instrText>«FINCR_USD_AMT»</w:instrText>
                </w:r>
                <w:r w:rsidRPr="006D37F2">
                  <w:rPr>
                    <w:rFonts w:asciiTheme="minorHAnsi" w:hAnsiTheme="minorHAnsi"/>
                    <w:color w:val="7F7F7F"/>
                    <w:sz w:val="20"/>
                    <w:szCs w:val="20"/>
                  </w:rPr>
                  <w:fldChar w:fldCharType="end"/>
                </w:r>
                <w:r w:rsidRPr="006D37F2">
                  <w:rPr>
                    <w:rFonts w:asciiTheme="minorHAnsi" w:hAnsiTheme="minorHAnsi"/>
                    <w:sz w:val="22"/>
                    <w:szCs w:val="22"/>
                  </w:rPr>
                  <w:instrText xml:space="preserve">" "               </w:instrText>
                </w:r>
                <w:r w:rsidRPr="006D37F2">
                  <w:rPr>
                    <w:rFonts w:asciiTheme="minorHAnsi" w:hAnsiTheme="minorHAnsi"/>
                    <w:color w:val="7F7F7F"/>
                    <w:sz w:val="20"/>
                    <w:szCs w:val="20"/>
                  </w:rPr>
                  <w:fldChar w:fldCharType="begin"/>
                </w:r>
                <w:r w:rsidRPr="006D37F2">
                  <w:rPr>
                    <w:rFonts w:asciiTheme="minorHAnsi" w:hAnsiTheme="minorHAnsi"/>
                    <w:color w:val="7F7F7F"/>
                    <w:sz w:val="20"/>
                    <w:szCs w:val="20"/>
                  </w:rPr>
                  <w:instrText xml:space="preserve"> MERGEFIELD  FINCR_USD_AMT \# ,0.00 \* MERGEFORMAT </w:instrText>
                </w:r>
                <w:r w:rsidRPr="006D37F2">
                  <w:rPr>
                    <w:rFonts w:asciiTheme="minorHAnsi" w:hAnsiTheme="minorHAnsi"/>
                    <w:color w:val="7F7F7F"/>
                    <w:sz w:val="20"/>
                    <w:szCs w:val="20"/>
                  </w:rPr>
                  <w:fldChar w:fldCharType="separate"/>
                </w:r>
                <w:r w:rsidRPr="006D37F2">
                  <w:rPr>
                    <w:rFonts w:asciiTheme="minorHAnsi" w:hAnsiTheme="minorHAnsi"/>
                    <w:noProof/>
                    <w:color w:val="7F7F7F"/>
                    <w:sz w:val="20"/>
                    <w:szCs w:val="20"/>
                  </w:rPr>
                  <w:instrText>«FINCR_USD_AMT»</w:instrText>
                </w:r>
                <w:r w:rsidRPr="006D37F2">
                  <w:rPr>
                    <w:rFonts w:asciiTheme="minorHAnsi" w:hAnsiTheme="minorHAnsi"/>
                    <w:color w:val="7F7F7F"/>
                    <w:sz w:val="20"/>
                    <w:szCs w:val="20"/>
                  </w:rPr>
                  <w:fldChar w:fldCharType="end"/>
                </w:r>
                <w:r w:rsidRPr="006D37F2">
                  <w:rPr>
                    <w:rFonts w:asciiTheme="minorHAnsi" w:hAnsiTheme="minorHAnsi"/>
                    <w:sz w:val="22"/>
                    <w:szCs w:val="22"/>
                  </w:rPr>
                  <w:instrText>"</w:instrText>
                </w:r>
                <w:r w:rsidRPr="006D37F2">
                  <w:rPr>
                    <w:rFonts w:asciiTheme="minorHAnsi" w:hAnsiTheme="minorHAnsi"/>
                    <w:sz w:val="22"/>
                    <w:szCs w:val="22"/>
                  </w:rPr>
                  <w:fldChar w:fldCharType="separate"/>
                </w:r>
                <w:r w:rsidRPr="006D37F2">
                  <w:rPr>
                    <w:rFonts w:asciiTheme="minorHAnsi" w:hAnsiTheme="minorHAnsi"/>
                    <w:noProof/>
                    <w:sz w:val="22"/>
                    <w:szCs w:val="22"/>
                  </w:rPr>
                  <w:instrText xml:space="preserve">                    </w:instrText>
                </w:r>
                <w:r w:rsidRPr="006D37F2">
                  <w:rPr>
                    <w:rFonts w:asciiTheme="minorHAnsi" w:hAnsiTheme="minorHAnsi"/>
                    <w:noProof/>
                    <w:color w:val="7F7F7F"/>
                    <w:sz w:val="22"/>
                    <w:szCs w:val="22"/>
                  </w:rPr>
                  <w:fldChar w:fldCharType="begin"/>
                </w:r>
                <w:r w:rsidRPr="006D37F2">
                  <w:rPr>
                    <w:rFonts w:asciiTheme="minorHAnsi" w:hAnsiTheme="minorHAnsi"/>
                    <w:noProof/>
                    <w:color w:val="7F7F7F"/>
                    <w:sz w:val="22"/>
                    <w:szCs w:val="22"/>
                  </w:rPr>
                  <w:instrText xml:space="preserve"> MERGEFIELD  FINCR_NAME  \* MERGEFORMAT </w:instrText>
                </w:r>
                <w:r w:rsidRPr="006D37F2">
                  <w:rPr>
                    <w:rFonts w:asciiTheme="minorHAnsi" w:hAnsiTheme="minorHAnsi"/>
                    <w:noProof/>
                    <w:color w:val="7F7F7F"/>
                    <w:sz w:val="22"/>
                    <w:szCs w:val="22"/>
                  </w:rPr>
                  <w:fldChar w:fldCharType="separate"/>
                </w:r>
                <w:r w:rsidRPr="006D37F2">
                  <w:rPr>
                    <w:rFonts w:asciiTheme="minorHAnsi" w:hAnsiTheme="minorHAnsi"/>
                    <w:noProof/>
                    <w:color w:val="7F7F7F"/>
                    <w:sz w:val="22"/>
                    <w:szCs w:val="22"/>
                  </w:rPr>
                  <w:instrText>«FINCR_NAME»</w:instrText>
                </w:r>
                <w:r w:rsidRPr="006D37F2">
                  <w:rPr>
                    <w:rFonts w:asciiTheme="minorHAnsi" w:hAnsiTheme="minorHAnsi"/>
                    <w:noProof/>
                    <w:color w:val="7F7F7F"/>
                    <w:sz w:val="22"/>
                    <w:szCs w:val="22"/>
                  </w:rPr>
                  <w:fldChar w:fldCharType="end"/>
                </w:r>
                <w:r w:rsidRPr="006D37F2">
                  <w:rPr>
                    <w:rFonts w:asciiTheme="minorHAnsi" w:hAnsiTheme="minorHAnsi"/>
                    <w:sz w:val="22"/>
                    <w:szCs w:val="22"/>
                  </w:rPr>
                  <w:fldChar w:fldCharType="end"/>
                </w:r>
                <w:r w:rsidRPr="006D37F2">
                  <w:rPr>
                    <w:rFonts w:asciiTheme="minorHAnsi" w:hAnsiTheme="minorHAnsi"/>
                    <w:sz w:val="22"/>
                    <w:szCs w:val="22"/>
                  </w:rPr>
                  <w:instrText xml:space="preserve">"  </w:instrText>
                </w:r>
                <w:r w:rsidRPr="006D37F2">
                  <w:rPr>
                    <w:rFonts w:asciiTheme="minorHAnsi" w:hAnsiTheme="minorHAnsi"/>
                    <w:sz w:val="22"/>
                    <w:szCs w:val="22"/>
                  </w:rPr>
                  <w:fldChar w:fldCharType="separate"/>
                </w:r>
                <w:r w:rsidRPr="006D37F2">
                  <w:rPr>
                    <w:rFonts w:asciiTheme="minorHAnsi" w:hAnsiTheme="minorHAnsi"/>
                    <w:sz w:val="22"/>
                    <w:szCs w:val="22"/>
                  </w:rPr>
                  <w:instrText xml:space="preserve">     </w:instrText>
                </w:r>
                <w:r w:rsidRPr="006D37F2">
                  <w:rPr>
                    <w:rFonts w:asciiTheme="minorHAnsi" w:hAnsiTheme="minorHAnsi"/>
                    <w:noProof/>
                    <w:color w:val="595959"/>
                    <w:sz w:val="21"/>
                    <w:szCs w:val="21"/>
                  </w:rPr>
                  <w:instrText>409.00</w:instrText>
                </w:r>
                <w:r w:rsidRPr="006D37F2">
                  <w:rPr>
                    <w:rFonts w:asciiTheme="minorHAnsi" w:hAnsiTheme="minorHAnsi"/>
                    <w:sz w:val="22"/>
                    <w:szCs w:val="22"/>
                  </w:rPr>
                  <w:fldChar w:fldCharType="end"/>
                </w:r>
                <w:r w:rsidRPr="006D37F2">
                  <w:rPr>
                    <w:rFonts w:asciiTheme="minorHAnsi" w:hAnsiTheme="minorHAnsi"/>
                    <w:sz w:val="22"/>
                    <w:szCs w:val="22"/>
                  </w:rPr>
                  <w:instrText xml:space="preserve">"  </w:instrText>
                </w:r>
                <w:r w:rsidRPr="006D37F2">
                  <w:rPr>
                    <w:rFonts w:asciiTheme="minorHAnsi" w:hAnsiTheme="minorHAnsi"/>
                    <w:sz w:val="22"/>
                    <w:szCs w:val="22"/>
                  </w:rPr>
                  <w:fldChar w:fldCharType="separate"/>
                </w:r>
                <w:r w:rsidRPr="006D37F2">
                  <w:rPr>
                    <w:rFonts w:asciiTheme="minorHAnsi" w:hAnsiTheme="minorHAnsi"/>
                    <w:sz w:val="22"/>
                    <w:szCs w:val="22"/>
                  </w:rPr>
                  <w:t xml:space="preserve">     </w:t>
                </w:r>
                <w:r w:rsidRPr="006D37F2">
                  <w:rPr>
                    <w:rFonts w:asciiTheme="minorHAnsi" w:hAnsiTheme="minorHAnsi"/>
                    <w:noProof/>
                    <w:color w:val="595959"/>
                    <w:sz w:val="21"/>
                    <w:szCs w:val="21"/>
                  </w:rPr>
                  <w:t>409.00</w:t>
                </w:r>
                <w:r w:rsidRPr="006D37F2">
                  <w:rPr>
                    <w:rFonts w:asciiTheme="minorHAnsi" w:hAnsiTheme="minorHAnsi"/>
                    <w:sz w:val="22"/>
                    <w:szCs w:val="22"/>
                  </w:rPr>
                  <w:fldChar w:fldCharType="end"/>
                </w:r>
                <w:r>
                  <w:rPr>
                    <w:rFonts w:asciiTheme="minorHAnsi" w:hAnsiTheme="minorHAnsi"/>
                    <w:sz w:val="22"/>
                    <w:szCs w:val="22"/>
                  </w:rPr>
                  <w:t xml:space="preserve"> </w:t>
                </w:r>
              </w:p>
            </w:tc>
          </w:tr>
          <w:tr w:rsidR="004F0F3F" w14:paraId="4294A87A" w14:textId="77777777" w:rsidTr="00C91C37">
            <w:trPr>
              <w:trHeight w:val="512"/>
            </w:trPr>
            <w:tc>
              <w:tcPr>
                <w:tcW w:w="69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tcPr>
              <w:p w14:paraId="53F0EE5C" w14:textId="77777777" w:rsidR="00C91C37" w:rsidRPr="00704567" w:rsidRDefault="00880CEC" w:rsidP="00D81B56">
                <w:pPr>
                  <w:rPr>
                    <w:rFonts w:asciiTheme="minorHAnsi" w:eastAsiaTheme="minorHAnsi" w:hAnsiTheme="minorHAnsi" w:cstheme="minorBidi"/>
                    <w:color w:val="auto"/>
                    <w:sz w:val="22"/>
                    <w:szCs w:val="22"/>
                  </w:rPr>
                </w:pPr>
                <w:r>
                  <w:t xml:space="preserve">  </w:t>
                </w:r>
                <w:r w:rsidRPr="00F51274">
                  <w:rPr>
                    <w:rFonts w:asciiTheme="minorHAnsi" w:eastAsiaTheme="minorHAnsi" w:hAnsiTheme="minorHAnsi" w:cstheme="minorBidi"/>
                    <w:color w:val="auto"/>
                    <w:sz w:val="22"/>
                    <w:szCs w:val="22"/>
                  </w:rPr>
                  <w:fldChar w:fldCharType="begin"/>
                </w:r>
                <w:r w:rsidRPr="00F51274">
                  <w:rPr>
                    <w:rFonts w:asciiTheme="minorHAnsi" w:eastAsiaTheme="minorHAnsi" w:hAnsiTheme="minorHAnsi" w:cstheme="minorBidi"/>
                    <w:color w:val="auto"/>
                    <w:sz w:val="22"/>
                    <w:szCs w:val="22"/>
                  </w:rPr>
                  <w:instrText xml:space="preserve"> IF</w:instrText>
                </w:r>
                <w:r w:rsidRPr="00F51274">
                  <w:rPr>
                    <w:rFonts w:asciiTheme="minorHAnsi" w:eastAsiaTheme="minorHAnsi" w:hAnsiTheme="minorHAnsi" w:cstheme="minorBidi"/>
                    <w:noProof/>
                    <w:color w:val="auto"/>
                    <w:sz w:val="22"/>
                    <w:szCs w:val="22"/>
                  </w:rPr>
                  <w:instrText xml:space="preserve"> 1 </w:instrText>
                </w:r>
                <w:r w:rsidRPr="00F51274">
                  <w:rPr>
                    <w:rFonts w:asciiTheme="minorHAnsi" w:eastAsiaTheme="minorHAnsi" w:hAnsiTheme="minorHAnsi" w:cstheme="minorBidi"/>
                    <w:color w:val="auto"/>
                    <w:sz w:val="22"/>
                    <w:szCs w:val="22"/>
                  </w:rPr>
                  <w:instrText xml:space="preserve">="1" "  </w:instrText>
                </w:r>
                <w:r w:rsidRPr="00F51274">
                  <w:rPr>
                    <w:rFonts w:asciiTheme="minorHAnsi" w:eastAsiaTheme="minorHAnsi" w:hAnsiTheme="minorHAnsi" w:cstheme="minorBidi"/>
                    <w:color w:val="404040"/>
                    <w:sz w:val="22"/>
                    <w:szCs w:val="22"/>
                  </w:rPr>
                  <w:instrText xml:space="preserve">   </w:instrText>
                </w:r>
                <w:r w:rsidRPr="002F7868">
                  <w:rPr>
                    <w:rFonts w:asciiTheme="minorHAnsi" w:eastAsiaTheme="minorHAnsi" w:hAnsiTheme="minorHAnsi" w:cstheme="minorBidi"/>
                    <w:b/>
                    <w:noProof/>
                    <w:color w:val="auto"/>
                    <w:sz w:val="22"/>
                    <w:szCs w:val="22"/>
                  </w:rPr>
                  <w:instrText>International Development Association (IDA)</w:instrText>
                </w:r>
                <w:r w:rsidRPr="00F51274">
                  <w:rPr>
                    <w:rFonts w:asciiTheme="minorHAnsi" w:eastAsiaTheme="minorHAnsi" w:hAnsiTheme="minorHAnsi" w:cstheme="minorBidi"/>
                    <w:color w:val="auto"/>
                    <w:sz w:val="22"/>
                    <w:szCs w:val="22"/>
                  </w:rPr>
                  <w:instrText>" "</w:instrText>
                </w:r>
                <w:r w:rsidRPr="00F51274">
                  <w:rPr>
                    <w:rFonts w:asciiTheme="minorHAnsi" w:eastAsiaTheme="minorHAnsi" w:hAnsiTheme="minorHAnsi" w:cstheme="minorBidi"/>
                    <w:color w:val="auto"/>
                    <w:sz w:val="22"/>
                    <w:szCs w:val="22"/>
                  </w:rPr>
                  <w:fldChar w:fldCharType="begin"/>
                </w:r>
                <w:r w:rsidRPr="00F51274">
                  <w:rPr>
                    <w:rFonts w:asciiTheme="minorHAnsi" w:eastAsiaTheme="minorHAnsi" w:hAnsiTheme="minorHAnsi" w:cstheme="minorBidi"/>
                    <w:color w:val="auto"/>
                    <w:sz w:val="22"/>
                    <w:szCs w:val="22"/>
                  </w:rPr>
                  <w:instrText xml:space="preserve"> IF</w:instrText>
                </w:r>
                <w:r w:rsidRPr="00F51274">
                  <w:rPr>
                    <w:rFonts w:asciiTheme="minorHAnsi" w:eastAsiaTheme="minorHAnsi" w:hAnsiTheme="minorHAnsi" w:cstheme="minorBidi"/>
                    <w:color w:val="auto"/>
                    <w:sz w:val="22"/>
                    <w:szCs w:val="22"/>
                  </w:rPr>
                  <w:fldChar w:fldCharType="begin"/>
                </w:r>
                <w:r w:rsidRPr="00F51274">
                  <w:rPr>
                    <w:rFonts w:asciiTheme="minorHAnsi" w:eastAsiaTheme="minorHAnsi" w:hAnsiTheme="minorHAnsi" w:cstheme="minorBidi"/>
                    <w:color w:val="auto"/>
                    <w:sz w:val="22"/>
                    <w:szCs w:val="22"/>
                  </w:rPr>
                  <w:instrText xml:space="preserve"> MERGEFIELD  LEVEL  \* MERGEFORMAT </w:instrText>
                </w:r>
                <w:r w:rsidRPr="00F51274">
                  <w:rPr>
                    <w:rFonts w:asciiTheme="minorHAnsi" w:eastAsiaTheme="minorHAnsi" w:hAnsiTheme="minorHAnsi" w:cstheme="minorBidi"/>
                    <w:color w:val="auto"/>
                    <w:sz w:val="22"/>
                    <w:szCs w:val="22"/>
                  </w:rPr>
                  <w:fldChar w:fldCharType="separate"/>
                </w:r>
                <w:r w:rsidRPr="00F51274">
                  <w:rPr>
                    <w:rFonts w:asciiTheme="minorHAnsi" w:eastAsiaTheme="minorHAnsi" w:hAnsiTheme="minorHAnsi" w:cstheme="minorBidi"/>
                    <w:noProof/>
                    <w:color w:val="auto"/>
                    <w:sz w:val="22"/>
                    <w:szCs w:val="22"/>
                  </w:rPr>
                  <w:instrText>«LEVEL»</w:instrText>
                </w:r>
                <w:r w:rsidRPr="00F51274">
                  <w:rPr>
                    <w:rFonts w:asciiTheme="minorHAnsi" w:eastAsiaTheme="minorHAnsi" w:hAnsiTheme="minorHAnsi" w:cstheme="minorBidi"/>
                    <w:noProof/>
                    <w:color w:val="auto"/>
                    <w:sz w:val="22"/>
                    <w:szCs w:val="22"/>
                  </w:rPr>
                  <w:fldChar w:fldCharType="end"/>
                </w:r>
                <w:r w:rsidRPr="00F51274">
                  <w:rPr>
                    <w:rFonts w:asciiTheme="minorHAnsi" w:eastAsiaTheme="minorHAnsi" w:hAnsiTheme="minorHAnsi" w:cstheme="minorBidi"/>
                    <w:color w:val="auto"/>
                    <w:sz w:val="22"/>
                    <w:szCs w:val="22"/>
                  </w:rPr>
                  <w:instrText xml:space="preserve">="2" "          </w:instrText>
                </w:r>
                <w:r w:rsidRPr="00F51274">
                  <w:rPr>
                    <w:rFonts w:asciiTheme="minorHAnsi" w:eastAsiaTheme="minorHAnsi" w:hAnsiTheme="minorHAnsi" w:cstheme="minorBidi"/>
                    <w:color w:val="595959"/>
                    <w:sz w:val="21"/>
                    <w:szCs w:val="21"/>
                  </w:rPr>
                  <w:fldChar w:fldCharType="begin"/>
                </w:r>
                <w:r w:rsidRPr="00F51274">
                  <w:rPr>
                    <w:rFonts w:asciiTheme="minorHAnsi" w:eastAsiaTheme="minorHAnsi" w:hAnsiTheme="minorHAnsi" w:cstheme="minorBidi"/>
                    <w:color w:val="595959"/>
                    <w:sz w:val="21"/>
                    <w:szCs w:val="21"/>
                  </w:rPr>
                  <w:instrText xml:space="preserve"> MERGEFIELD  FINCR_NAME  \* MERGEFORMAT </w:instrText>
                </w:r>
                <w:r w:rsidRPr="00F51274">
                  <w:rPr>
                    <w:rFonts w:asciiTheme="minorHAnsi" w:eastAsiaTheme="minorHAnsi" w:hAnsiTheme="minorHAnsi" w:cstheme="minorBidi"/>
                    <w:color w:val="595959"/>
                    <w:sz w:val="21"/>
                    <w:szCs w:val="21"/>
                  </w:rPr>
                  <w:fldChar w:fldCharType="separate"/>
                </w:r>
                <w:r w:rsidRPr="00F51274">
                  <w:rPr>
                    <w:rFonts w:asciiTheme="minorHAnsi" w:eastAsiaTheme="minorHAnsi" w:hAnsiTheme="minorHAnsi" w:cstheme="minorBidi"/>
                    <w:noProof/>
                    <w:color w:val="595959"/>
                    <w:sz w:val="21"/>
                    <w:szCs w:val="21"/>
                  </w:rPr>
                  <w:instrText>«FINCR_NAME»</w:instrText>
                </w:r>
                <w:r w:rsidRPr="00F51274">
                  <w:rPr>
                    <w:rFonts w:asciiTheme="minorHAnsi" w:eastAsiaTheme="minorHAnsi" w:hAnsiTheme="minorHAnsi" w:cstheme="minorBidi"/>
                    <w:color w:val="595959"/>
                    <w:sz w:val="21"/>
                    <w:szCs w:val="21"/>
                  </w:rPr>
                  <w:fldChar w:fldCharType="end"/>
                </w:r>
                <w:r w:rsidRPr="00F51274">
                  <w:rPr>
                    <w:rFonts w:asciiTheme="minorHAnsi" w:eastAsiaTheme="minorHAnsi" w:hAnsiTheme="minorHAnsi" w:cstheme="minorBidi"/>
                    <w:color w:val="auto"/>
                    <w:sz w:val="22"/>
                    <w:szCs w:val="22"/>
                  </w:rPr>
                  <w:instrText>"  "</w:instrText>
                </w:r>
                <w:r w:rsidRPr="00F51274">
                  <w:rPr>
                    <w:rFonts w:asciiTheme="minorHAnsi" w:eastAsiaTheme="minorHAnsi" w:hAnsiTheme="minorHAnsi" w:cstheme="minorBidi"/>
                    <w:color w:val="auto"/>
                    <w:sz w:val="22"/>
                    <w:szCs w:val="22"/>
                  </w:rPr>
                  <w:fldChar w:fldCharType="begin"/>
                </w:r>
                <w:r w:rsidRPr="00F51274">
                  <w:rPr>
                    <w:rFonts w:asciiTheme="minorHAnsi" w:eastAsiaTheme="minorHAnsi" w:hAnsiTheme="minorHAnsi" w:cstheme="minorBidi"/>
                    <w:color w:val="auto"/>
                    <w:sz w:val="22"/>
                    <w:szCs w:val="22"/>
                  </w:rPr>
                  <w:instrText xml:space="preserve"> IF</w:instrText>
                </w:r>
                <w:r w:rsidRPr="00F51274">
                  <w:rPr>
                    <w:rFonts w:asciiTheme="minorHAnsi" w:eastAsiaTheme="minorHAnsi" w:hAnsiTheme="minorHAnsi" w:cstheme="minorBidi"/>
                    <w:color w:val="auto"/>
                    <w:sz w:val="22"/>
                    <w:szCs w:val="22"/>
                  </w:rPr>
                  <w:fldChar w:fldCharType="begin"/>
                </w:r>
                <w:r w:rsidRPr="00F51274">
                  <w:rPr>
                    <w:rFonts w:asciiTheme="minorHAnsi" w:eastAsiaTheme="minorHAnsi" w:hAnsiTheme="minorHAnsi" w:cstheme="minorBidi"/>
                    <w:color w:val="auto"/>
                    <w:sz w:val="22"/>
                    <w:szCs w:val="22"/>
                  </w:rPr>
                  <w:instrText xml:space="preserve"> MERGEFIELD  LEVEL  \* MERGEFORMAT </w:instrText>
                </w:r>
                <w:r w:rsidRPr="00F51274">
                  <w:rPr>
                    <w:rFonts w:asciiTheme="minorHAnsi" w:eastAsiaTheme="minorHAnsi" w:hAnsiTheme="minorHAnsi" w:cstheme="minorBidi"/>
                    <w:color w:val="auto"/>
                    <w:sz w:val="22"/>
                    <w:szCs w:val="22"/>
                  </w:rPr>
                  <w:fldChar w:fldCharType="separate"/>
                </w:r>
                <w:r w:rsidRPr="00F51274">
                  <w:rPr>
                    <w:rFonts w:asciiTheme="minorHAnsi" w:eastAsiaTheme="minorHAnsi" w:hAnsiTheme="minorHAnsi" w:cstheme="minorBidi"/>
                    <w:noProof/>
                    <w:color w:val="auto"/>
                    <w:sz w:val="22"/>
                    <w:szCs w:val="22"/>
                  </w:rPr>
                  <w:instrText>«LEVEL»</w:instrText>
                </w:r>
                <w:r w:rsidRPr="00F51274">
                  <w:rPr>
                    <w:rFonts w:asciiTheme="minorHAnsi" w:eastAsiaTheme="minorHAnsi" w:hAnsiTheme="minorHAnsi" w:cstheme="minorBidi"/>
                    <w:color w:val="auto"/>
                    <w:sz w:val="22"/>
                    <w:szCs w:val="22"/>
                  </w:rPr>
                  <w:fldChar w:fldCharType="end"/>
                </w:r>
                <w:r w:rsidRPr="00F51274">
                  <w:rPr>
                    <w:rFonts w:asciiTheme="minorHAnsi" w:eastAsiaTheme="minorHAnsi" w:hAnsiTheme="minorHAnsi" w:cstheme="minorBidi"/>
                    <w:color w:val="auto"/>
                    <w:sz w:val="22"/>
                    <w:szCs w:val="22"/>
                  </w:rPr>
                  <w:instrText xml:space="preserve">="3" "               </w:instrText>
                </w:r>
                <w:r w:rsidRPr="00F51274">
                  <w:rPr>
                    <w:rFonts w:asciiTheme="minorHAnsi" w:eastAsiaTheme="minorHAnsi" w:hAnsiTheme="minorHAnsi" w:cstheme="minorBidi"/>
                    <w:color w:val="7F7F7F"/>
                    <w:sz w:val="20"/>
                    <w:szCs w:val="20"/>
                  </w:rPr>
                  <w:fldChar w:fldCharType="begin"/>
                </w:r>
                <w:r w:rsidRPr="00F51274">
                  <w:rPr>
                    <w:rFonts w:asciiTheme="minorHAnsi" w:eastAsiaTheme="minorHAnsi" w:hAnsiTheme="minorHAnsi" w:cstheme="minorBidi"/>
                    <w:color w:val="7F7F7F"/>
                    <w:sz w:val="20"/>
                    <w:szCs w:val="20"/>
                  </w:rPr>
                  <w:instrText xml:space="preserve"> MERGEFIELD  FINCR_NAME  \* MERGEFORMAT </w:instrText>
                </w:r>
                <w:r w:rsidRPr="00F51274">
                  <w:rPr>
                    <w:rFonts w:asciiTheme="minorHAnsi" w:eastAsiaTheme="minorHAnsi" w:hAnsiTheme="minorHAnsi" w:cstheme="minorBidi"/>
                    <w:color w:val="7F7F7F"/>
                    <w:sz w:val="20"/>
                    <w:szCs w:val="20"/>
                  </w:rPr>
                  <w:fldChar w:fldCharType="separate"/>
                </w:r>
                <w:r w:rsidRPr="00F51274">
                  <w:rPr>
                    <w:rFonts w:asciiTheme="minorHAnsi" w:eastAsiaTheme="minorHAnsi" w:hAnsiTheme="minorHAnsi" w:cstheme="minorBidi"/>
                    <w:noProof/>
                    <w:color w:val="7F7F7F"/>
                    <w:sz w:val="20"/>
                    <w:szCs w:val="20"/>
                  </w:rPr>
                  <w:instrText>«FINCR_NAME»</w:instrText>
                </w:r>
                <w:r w:rsidRPr="00F51274">
                  <w:rPr>
                    <w:rFonts w:asciiTheme="minorHAnsi" w:eastAsiaTheme="minorHAnsi" w:hAnsiTheme="minorHAnsi" w:cstheme="minorBidi"/>
                    <w:color w:val="7F7F7F"/>
                    <w:sz w:val="20"/>
                    <w:szCs w:val="20"/>
                  </w:rPr>
                  <w:fldChar w:fldCharType="end"/>
                </w:r>
                <w:r w:rsidRPr="00F51274">
                  <w:rPr>
                    <w:rFonts w:asciiTheme="minorHAnsi" w:eastAsiaTheme="minorHAnsi" w:hAnsiTheme="minorHAnsi" w:cstheme="minorBidi"/>
                    <w:color w:val="auto"/>
                    <w:sz w:val="22"/>
                    <w:szCs w:val="22"/>
                  </w:rPr>
                  <w:instrText xml:space="preserve">" "                    </w:instrText>
                </w:r>
                <w:r w:rsidRPr="00F51274">
                  <w:rPr>
                    <w:rFonts w:asciiTheme="minorHAnsi" w:eastAsiaTheme="minorHAnsi" w:hAnsiTheme="minorHAnsi" w:cstheme="minorBidi"/>
                    <w:color w:val="7F7F7F"/>
                    <w:sz w:val="20"/>
                    <w:szCs w:val="20"/>
                  </w:rPr>
                  <w:fldChar w:fldCharType="begin"/>
                </w:r>
                <w:r w:rsidRPr="00F51274">
                  <w:rPr>
                    <w:rFonts w:asciiTheme="minorHAnsi" w:eastAsiaTheme="minorHAnsi" w:hAnsiTheme="minorHAnsi" w:cstheme="minorBidi"/>
                    <w:color w:val="7F7F7F"/>
                    <w:sz w:val="20"/>
                    <w:szCs w:val="20"/>
                  </w:rPr>
                  <w:instrText xml:space="preserve"> MERGEFIELD  FINCR_NAME  \* MERGEFORMAT </w:instrText>
                </w:r>
                <w:r w:rsidRPr="00F51274">
                  <w:rPr>
                    <w:rFonts w:asciiTheme="minorHAnsi" w:eastAsiaTheme="minorHAnsi" w:hAnsiTheme="minorHAnsi" w:cstheme="minorBidi"/>
                    <w:color w:val="7F7F7F"/>
                    <w:sz w:val="20"/>
                    <w:szCs w:val="20"/>
                  </w:rPr>
                  <w:fldChar w:fldCharType="separate"/>
                </w:r>
                <w:r w:rsidRPr="00F51274">
                  <w:rPr>
                    <w:rFonts w:asciiTheme="minorHAnsi" w:eastAsiaTheme="minorHAnsi" w:hAnsiTheme="minorHAnsi" w:cstheme="minorBidi"/>
                    <w:noProof/>
                    <w:color w:val="7F7F7F"/>
                    <w:sz w:val="20"/>
                    <w:szCs w:val="20"/>
                  </w:rPr>
                  <w:instrText>«FINCR_NAME»</w:instrText>
                </w:r>
                <w:r w:rsidRPr="00F51274">
                  <w:rPr>
                    <w:rFonts w:asciiTheme="minorHAnsi" w:eastAsiaTheme="minorHAnsi" w:hAnsiTheme="minorHAnsi" w:cstheme="minorBidi"/>
                    <w:color w:val="7F7F7F"/>
                    <w:sz w:val="20"/>
                    <w:szCs w:val="20"/>
                  </w:rPr>
                  <w:fldChar w:fldCharType="end"/>
                </w:r>
                <w:r w:rsidRPr="00F51274">
                  <w:rPr>
                    <w:rFonts w:asciiTheme="minorHAnsi" w:eastAsiaTheme="minorHAnsi" w:hAnsiTheme="minorHAnsi" w:cstheme="minorBidi"/>
                    <w:color w:val="auto"/>
                    <w:sz w:val="22"/>
                    <w:szCs w:val="22"/>
                  </w:rPr>
                  <w:instrText>"</w:instrText>
                </w:r>
                <w:r w:rsidRPr="00F51274">
                  <w:rPr>
                    <w:rFonts w:asciiTheme="minorHAnsi" w:eastAsiaTheme="minorHAnsi" w:hAnsiTheme="minorHAnsi" w:cstheme="minorBidi"/>
                    <w:color w:val="auto"/>
                    <w:sz w:val="22"/>
                    <w:szCs w:val="22"/>
                  </w:rPr>
                  <w:fldChar w:fldCharType="separate"/>
                </w:r>
                <w:r w:rsidRPr="00F51274">
                  <w:rPr>
                    <w:rFonts w:asciiTheme="minorHAnsi" w:eastAsiaTheme="minorHAnsi" w:hAnsiTheme="minorHAnsi" w:cstheme="minorBidi"/>
                    <w:noProof/>
                    <w:color w:val="auto"/>
                    <w:sz w:val="22"/>
                    <w:szCs w:val="22"/>
                  </w:rPr>
                  <w:instrText xml:space="preserve">                    </w:instrText>
                </w:r>
                <w:r w:rsidRPr="00F51274">
                  <w:rPr>
                    <w:rFonts w:asciiTheme="minorHAnsi" w:eastAsiaTheme="minorHAnsi" w:hAnsiTheme="minorHAnsi" w:cstheme="minorBidi"/>
                    <w:noProof/>
                    <w:color w:val="7F7F7F"/>
                    <w:sz w:val="20"/>
                    <w:szCs w:val="20"/>
                  </w:rPr>
                  <w:fldChar w:fldCharType="begin"/>
                </w:r>
                <w:r w:rsidRPr="00F51274">
                  <w:rPr>
                    <w:rFonts w:asciiTheme="minorHAnsi" w:eastAsiaTheme="minorHAnsi" w:hAnsiTheme="minorHAnsi" w:cstheme="minorBidi"/>
                    <w:noProof/>
                    <w:color w:val="7F7F7F"/>
                    <w:sz w:val="20"/>
                    <w:szCs w:val="20"/>
                  </w:rPr>
                  <w:instrText xml:space="preserve"> MERGEFIELD  FINCR_NAME  \* MERGEFORMAT </w:instrText>
                </w:r>
                <w:r w:rsidRPr="00F51274">
                  <w:rPr>
                    <w:rFonts w:asciiTheme="minorHAnsi" w:eastAsiaTheme="minorHAnsi" w:hAnsiTheme="minorHAnsi" w:cstheme="minorBidi"/>
                    <w:noProof/>
                    <w:color w:val="7F7F7F"/>
                    <w:sz w:val="20"/>
                    <w:szCs w:val="20"/>
                  </w:rPr>
                  <w:fldChar w:fldCharType="separate"/>
                </w:r>
                <w:r w:rsidRPr="00F51274">
                  <w:rPr>
                    <w:rFonts w:asciiTheme="minorHAnsi" w:eastAsiaTheme="minorHAnsi" w:hAnsiTheme="minorHAnsi" w:cstheme="minorBidi"/>
                    <w:noProof/>
                    <w:color w:val="7F7F7F"/>
                    <w:sz w:val="20"/>
                    <w:szCs w:val="20"/>
                  </w:rPr>
                  <w:instrText>«FINCR_NAME»</w:instrText>
                </w:r>
                <w:r w:rsidRPr="00F51274">
                  <w:rPr>
                    <w:rFonts w:asciiTheme="minorHAnsi" w:eastAsiaTheme="minorHAnsi" w:hAnsiTheme="minorHAnsi" w:cstheme="minorBidi"/>
                    <w:noProof/>
                    <w:color w:val="7F7F7F"/>
                    <w:sz w:val="20"/>
                    <w:szCs w:val="20"/>
                  </w:rPr>
                  <w:fldChar w:fldCharType="end"/>
                </w:r>
                <w:r w:rsidRPr="00F51274">
                  <w:rPr>
                    <w:rFonts w:asciiTheme="minorHAnsi" w:eastAsiaTheme="minorHAnsi" w:hAnsiTheme="minorHAnsi" w:cstheme="minorBidi"/>
                    <w:color w:val="auto"/>
                    <w:sz w:val="22"/>
                    <w:szCs w:val="22"/>
                  </w:rPr>
                  <w:fldChar w:fldCharType="end"/>
                </w:r>
                <w:r w:rsidRPr="00F51274">
                  <w:rPr>
                    <w:rFonts w:asciiTheme="minorHAnsi" w:eastAsiaTheme="minorHAnsi" w:hAnsiTheme="minorHAnsi" w:cstheme="minorBidi"/>
                    <w:color w:val="auto"/>
                    <w:sz w:val="22"/>
                    <w:szCs w:val="22"/>
                  </w:rPr>
                  <w:instrText xml:space="preserve">"  </w:instrText>
                </w:r>
                <w:r w:rsidRPr="00F51274">
                  <w:rPr>
                    <w:rFonts w:asciiTheme="minorHAnsi" w:eastAsiaTheme="minorHAnsi" w:hAnsiTheme="minorHAnsi" w:cstheme="minorBidi"/>
                    <w:color w:val="auto"/>
                    <w:sz w:val="22"/>
                    <w:szCs w:val="22"/>
                  </w:rPr>
                  <w:fldChar w:fldCharType="separate"/>
                </w:r>
                <w:r w:rsidRPr="00F51274">
                  <w:rPr>
                    <w:rFonts w:asciiTheme="minorHAnsi" w:eastAsiaTheme="minorHAnsi" w:hAnsiTheme="minorHAnsi" w:cstheme="minorBidi"/>
                    <w:noProof/>
                    <w:color w:val="auto"/>
                    <w:sz w:val="22"/>
                    <w:szCs w:val="22"/>
                  </w:rPr>
                  <w:instrText xml:space="preserve">                    </w:instrText>
                </w:r>
                <w:r w:rsidRPr="00F51274">
                  <w:rPr>
                    <w:rFonts w:asciiTheme="minorHAnsi" w:eastAsiaTheme="minorHAnsi" w:hAnsiTheme="minorHAnsi" w:cstheme="minorBidi"/>
                    <w:noProof/>
                    <w:color w:val="7F7F7F"/>
                    <w:sz w:val="20"/>
                    <w:szCs w:val="20"/>
                  </w:rPr>
                  <w:fldChar w:fldCharType="begin"/>
                </w:r>
                <w:r w:rsidRPr="00F51274">
                  <w:rPr>
                    <w:rFonts w:asciiTheme="minorHAnsi" w:eastAsiaTheme="minorHAnsi" w:hAnsiTheme="minorHAnsi" w:cstheme="minorBidi"/>
                    <w:noProof/>
                    <w:color w:val="7F7F7F"/>
                    <w:sz w:val="20"/>
                    <w:szCs w:val="20"/>
                  </w:rPr>
                  <w:instrText xml:space="preserve"> MERGEFIELD  FINCR_NAME  \* MERGEFORMAT </w:instrText>
                </w:r>
                <w:r w:rsidRPr="00F51274">
                  <w:rPr>
                    <w:rFonts w:asciiTheme="minorHAnsi" w:eastAsiaTheme="minorHAnsi" w:hAnsiTheme="minorHAnsi" w:cstheme="minorBidi"/>
                    <w:noProof/>
                    <w:color w:val="7F7F7F"/>
                    <w:sz w:val="20"/>
                    <w:szCs w:val="20"/>
                  </w:rPr>
                  <w:fldChar w:fldCharType="separate"/>
                </w:r>
                <w:r w:rsidRPr="00F51274">
                  <w:rPr>
                    <w:rFonts w:asciiTheme="minorHAnsi" w:eastAsiaTheme="minorHAnsi" w:hAnsiTheme="minorHAnsi" w:cstheme="minorBidi"/>
                    <w:noProof/>
                    <w:color w:val="7F7F7F"/>
                    <w:sz w:val="20"/>
                    <w:szCs w:val="20"/>
                  </w:rPr>
                  <w:instrText>«FINCR_NAME»</w:instrText>
                </w:r>
                <w:r w:rsidRPr="00F51274">
                  <w:rPr>
                    <w:rFonts w:asciiTheme="minorHAnsi" w:eastAsiaTheme="minorHAnsi" w:hAnsiTheme="minorHAnsi" w:cstheme="minorBidi"/>
                    <w:noProof/>
                    <w:color w:val="7F7F7F"/>
                    <w:sz w:val="20"/>
                    <w:szCs w:val="20"/>
                  </w:rPr>
                  <w:fldChar w:fldCharType="end"/>
                </w:r>
                <w:r w:rsidRPr="00F51274">
                  <w:rPr>
                    <w:rFonts w:asciiTheme="minorHAnsi" w:eastAsiaTheme="minorHAnsi" w:hAnsiTheme="minorHAnsi" w:cstheme="minorBidi"/>
                    <w:color w:val="auto"/>
                    <w:sz w:val="22"/>
                    <w:szCs w:val="22"/>
                  </w:rPr>
                  <w:fldChar w:fldCharType="end"/>
                </w:r>
                <w:r w:rsidRPr="00F51274">
                  <w:rPr>
                    <w:rFonts w:asciiTheme="minorHAnsi" w:eastAsiaTheme="minorHAnsi" w:hAnsiTheme="minorHAnsi" w:cstheme="minorBidi"/>
                    <w:color w:val="auto"/>
                    <w:sz w:val="22"/>
                    <w:szCs w:val="22"/>
                  </w:rPr>
                  <w:instrText xml:space="preserve">"  </w:instrText>
                </w:r>
                <w:r w:rsidRPr="00F51274">
                  <w:rPr>
                    <w:rFonts w:asciiTheme="minorHAnsi" w:eastAsiaTheme="minorHAnsi" w:hAnsiTheme="minorHAnsi" w:cstheme="minorBidi"/>
                    <w:color w:val="auto"/>
                    <w:sz w:val="22"/>
                    <w:szCs w:val="22"/>
                  </w:rPr>
                  <w:fldChar w:fldCharType="separate"/>
                </w:r>
                <w:r w:rsidRPr="00F51274">
                  <w:rPr>
                    <w:rFonts w:asciiTheme="minorHAnsi" w:eastAsiaTheme="minorHAnsi" w:hAnsiTheme="minorHAnsi" w:cstheme="minorBidi"/>
                    <w:color w:val="auto"/>
                    <w:sz w:val="22"/>
                    <w:szCs w:val="22"/>
                  </w:rPr>
                  <w:t xml:space="preserve">  </w:t>
                </w:r>
                <w:r w:rsidRPr="00F51274">
                  <w:rPr>
                    <w:rFonts w:asciiTheme="minorHAnsi" w:eastAsiaTheme="minorHAnsi" w:hAnsiTheme="minorHAnsi" w:cstheme="minorBidi"/>
                    <w:color w:val="404040"/>
                    <w:sz w:val="22"/>
                    <w:szCs w:val="22"/>
                  </w:rPr>
                  <w:t xml:space="preserve">   </w:t>
                </w:r>
                <w:r w:rsidRPr="002F7868">
                  <w:rPr>
                    <w:rFonts w:asciiTheme="minorHAnsi" w:eastAsiaTheme="minorHAnsi" w:hAnsiTheme="minorHAnsi" w:cstheme="minorBidi"/>
                    <w:b/>
                    <w:noProof/>
                    <w:color w:val="auto"/>
                    <w:sz w:val="22"/>
                    <w:szCs w:val="22"/>
                  </w:rPr>
                  <w:t>International Development Association (IDA)</w:t>
                </w:r>
                <w:r w:rsidRPr="00F51274">
                  <w:rPr>
                    <w:rFonts w:asciiTheme="minorHAnsi" w:eastAsiaTheme="minorHAnsi" w:hAnsiTheme="minorHAnsi" w:cstheme="minorBidi"/>
                    <w:color w:val="auto"/>
                    <w:sz w:val="22"/>
                    <w:szCs w:val="22"/>
                  </w:rPr>
                  <w:fldChar w:fldCharType="end"/>
                </w:r>
              </w:p>
            </w:tc>
            <w:tc>
              <w:tcPr>
                <w:tcW w:w="36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tcPr>
              <w:p w14:paraId="5CF51E34" w14:textId="77777777" w:rsidR="00C91C37" w:rsidRDefault="00880CEC" w:rsidP="00D81B56">
                <w:pPr>
                  <w:shd w:val="clear" w:color="auto" w:fill="F7F7F7"/>
                  <w:jc w:val="right"/>
                  <w:rPr>
                    <w:rFonts w:asciiTheme="minorHAnsi" w:hAnsiTheme="minorHAnsi"/>
                    <w:color w:val="767171" w:themeColor="background2" w:themeShade="80"/>
                    <w:sz w:val="22"/>
                    <w:szCs w:val="22"/>
                  </w:rPr>
                </w:pPr>
                <w:r w:rsidRPr="006D37F2">
                  <w:rPr>
                    <w:rFonts w:asciiTheme="minorHAnsi" w:hAnsiTheme="minorHAnsi"/>
                    <w:sz w:val="22"/>
                    <w:szCs w:val="22"/>
                  </w:rPr>
                  <w:fldChar w:fldCharType="begin"/>
                </w:r>
                <w:r w:rsidRPr="006D37F2">
                  <w:rPr>
                    <w:rFonts w:asciiTheme="minorHAnsi" w:hAnsiTheme="minorHAnsi"/>
                    <w:sz w:val="22"/>
                    <w:szCs w:val="22"/>
                  </w:rPr>
                  <w:instrText xml:space="preserve"> IF</w:instrText>
                </w:r>
                <w:r w:rsidRPr="006D37F2">
                  <w:rPr>
                    <w:rFonts w:asciiTheme="minorHAnsi" w:hAnsiTheme="minorHAnsi"/>
                    <w:noProof/>
                    <w:sz w:val="22"/>
                    <w:szCs w:val="22"/>
                  </w:rPr>
                  <w:instrText xml:space="preserve"> 1 </w:instrText>
                </w:r>
                <w:r w:rsidRPr="006D37F2">
                  <w:rPr>
                    <w:rFonts w:asciiTheme="minorHAnsi" w:hAnsiTheme="minorHAnsi"/>
                    <w:sz w:val="22"/>
                    <w:szCs w:val="22"/>
                  </w:rPr>
                  <w:instrText>="1" "</w:instrText>
                </w:r>
                <w:r w:rsidRPr="006D37F2">
                  <w:rPr>
                    <w:rFonts w:asciiTheme="minorHAnsi" w:hAnsiTheme="minorHAnsi"/>
                    <w:b/>
                    <w:noProof/>
                    <w:sz w:val="22"/>
                    <w:szCs w:val="22"/>
                  </w:rPr>
                  <w:instrText>80.00</w:instrText>
                </w:r>
                <w:r w:rsidRPr="006D37F2">
                  <w:rPr>
                    <w:rFonts w:asciiTheme="minorHAnsi" w:hAnsiTheme="minorHAnsi"/>
                    <w:sz w:val="22"/>
                    <w:szCs w:val="22"/>
                  </w:rPr>
                  <w:instrText>" "</w:instrText>
                </w:r>
                <w:r w:rsidRPr="006D37F2">
                  <w:rPr>
                    <w:rFonts w:asciiTheme="minorHAnsi" w:hAnsiTheme="minorHAnsi"/>
                    <w:sz w:val="22"/>
                    <w:szCs w:val="22"/>
                  </w:rPr>
                  <w:fldChar w:fldCharType="begin"/>
                </w:r>
                <w:r w:rsidRPr="006D37F2">
                  <w:rPr>
                    <w:rFonts w:asciiTheme="minorHAnsi" w:hAnsiTheme="minorHAnsi"/>
                    <w:sz w:val="22"/>
                    <w:szCs w:val="22"/>
                  </w:rPr>
                  <w:instrText xml:space="preserve"> IF</w:instrText>
                </w:r>
                <w:r w:rsidRPr="006D37F2">
                  <w:rPr>
                    <w:rFonts w:asciiTheme="minorHAnsi" w:hAnsiTheme="minorHAnsi"/>
                    <w:sz w:val="22"/>
                    <w:szCs w:val="22"/>
                  </w:rPr>
                  <w:fldChar w:fldCharType="begin"/>
                </w:r>
                <w:r w:rsidRPr="006D37F2">
                  <w:rPr>
                    <w:rFonts w:asciiTheme="minorHAnsi" w:hAnsiTheme="minorHAnsi"/>
                    <w:sz w:val="22"/>
                    <w:szCs w:val="22"/>
                  </w:rPr>
                  <w:instrText xml:space="preserve"> MERGEFIELD  LEVEL  \* MERGEFORMAT </w:instrText>
                </w:r>
                <w:r w:rsidRPr="006D37F2">
                  <w:rPr>
                    <w:rFonts w:asciiTheme="minorHAnsi" w:hAnsiTheme="minorHAnsi"/>
                    <w:sz w:val="22"/>
                    <w:szCs w:val="22"/>
                  </w:rPr>
                  <w:fldChar w:fldCharType="separate"/>
                </w:r>
                <w:r w:rsidRPr="006D37F2">
                  <w:rPr>
                    <w:rFonts w:asciiTheme="minorHAnsi" w:hAnsiTheme="minorHAnsi"/>
                    <w:noProof/>
                    <w:sz w:val="22"/>
                    <w:szCs w:val="22"/>
                  </w:rPr>
                  <w:instrText>«LEVEL»</w:instrText>
                </w:r>
                <w:r w:rsidRPr="006D37F2">
                  <w:rPr>
                    <w:rFonts w:asciiTheme="minorHAnsi" w:hAnsiTheme="minorHAnsi"/>
                    <w:noProof/>
                    <w:sz w:val="22"/>
                    <w:szCs w:val="22"/>
                  </w:rPr>
                  <w:fldChar w:fldCharType="end"/>
                </w:r>
                <w:r w:rsidRPr="006D37F2">
                  <w:rPr>
                    <w:rFonts w:asciiTheme="minorHAnsi" w:hAnsiTheme="minorHAnsi"/>
                    <w:sz w:val="22"/>
                    <w:szCs w:val="22"/>
                  </w:rPr>
                  <w:instrText xml:space="preserve">="2" "     </w:instrText>
                </w:r>
                <w:r w:rsidRPr="006D37F2">
                  <w:rPr>
                    <w:rFonts w:asciiTheme="minorHAnsi" w:hAnsiTheme="minorHAnsi"/>
                    <w:color w:val="595959"/>
                    <w:sz w:val="21"/>
                    <w:szCs w:val="21"/>
                  </w:rPr>
                  <w:fldChar w:fldCharType="begin"/>
                </w:r>
                <w:r w:rsidRPr="006D37F2">
                  <w:rPr>
                    <w:rFonts w:asciiTheme="minorHAnsi" w:hAnsiTheme="minorHAnsi"/>
                    <w:color w:val="595959"/>
                    <w:sz w:val="21"/>
                    <w:szCs w:val="21"/>
                  </w:rPr>
                  <w:instrText xml:space="preserve"> MERGEFIELD  FINCR_USD_AMT \# ,0.00 \* MERGEFORMAT </w:instrText>
                </w:r>
                <w:r w:rsidRPr="006D37F2">
                  <w:rPr>
                    <w:rFonts w:asciiTheme="minorHAnsi" w:hAnsiTheme="minorHAnsi"/>
                    <w:color w:val="595959"/>
                    <w:sz w:val="21"/>
                    <w:szCs w:val="21"/>
                  </w:rPr>
                  <w:fldChar w:fldCharType="separate"/>
                </w:r>
                <w:r w:rsidRPr="006D37F2">
                  <w:rPr>
                    <w:rFonts w:asciiTheme="minorHAnsi" w:hAnsiTheme="minorHAnsi"/>
                    <w:noProof/>
                    <w:color w:val="595959"/>
                    <w:sz w:val="21"/>
                    <w:szCs w:val="21"/>
                  </w:rPr>
                  <w:instrText>«FINCR_USD_AMT»</w:instrText>
                </w:r>
                <w:r w:rsidRPr="006D37F2">
                  <w:rPr>
                    <w:rFonts w:asciiTheme="minorHAnsi" w:hAnsiTheme="minorHAnsi"/>
                    <w:color w:val="595959"/>
                    <w:sz w:val="21"/>
                    <w:szCs w:val="21"/>
                  </w:rPr>
                  <w:fldChar w:fldCharType="end"/>
                </w:r>
                <w:r w:rsidRPr="006D37F2">
                  <w:rPr>
                    <w:rFonts w:asciiTheme="minorHAnsi" w:hAnsiTheme="minorHAnsi"/>
                    <w:sz w:val="22"/>
                    <w:szCs w:val="22"/>
                  </w:rPr>
                  <w:instrText>"  "</w:instrText>
                </w:r>
                <w:r w:rsidRPr="006D37F2">
                  <w:rPr>
                    <w:rFonts w:asciiTheme="minorHAnsi" w:hAnsiTheme="minorHAnsi"/>
                    <w:sz w:val="22"/>
                    <w:szCs w:val="22"/>
                  </w:rPr>
                  <w:fldChar w:fldCharType="begin"/>
                </w:r>
                <w:r w:rsidRPr="006D37F2">
                  <w:rPr>
                    <w:rFonts w:asciiTheme="minorHAnsi" w:hAnsiTheme="minorHAnsi"/>
                    <w:sz w:val="22"/>
                    <w:szCs w:val="22"/>
                  </w:rPr>
                  <w:instrText xml:space="preserve"> IF</w:instrText>
                </w:r>
                <w:r w:rsidRPr="006D37F2">
                  <w:rPr>
                    <w:rFonts w:asciiTheme="minorHAnsi" w:hAnsiTheme="minorHAnsi"/>
                    <w:sz w:val="22"/>
                    <w:szCs w:val="22"/>
                  </w:rPr>
                  <w:fldChar w:fldCharType="begin"/>
                </w:r>
                <w:r w:rsidRPr="006D37F2">
                  <w:rPr>
                    <w:rFonts w:asciiTheme="minorHAnsi" w:hAnsiTheme="minorHAnsi"/>
                    <w:sz w:val="22"/>
                    <w:szCs w:val="22"/>
                  </w:rPr>
                  <w:instrText xml:space="preserve"> MERGEFIELD  LEVEL  \* MERGEFORMAT </w:instrText>
                </w:r>
                <w:r w:rsidRPr="006D37F2">
                  <w:rPr>
                    <w:rFonts w:asciiTheme="minorHAnsi" w:hAnsiTheme="minorHAnsi"/>
                    <w:sz w:val="22"/>
                    <w:szCs w:val="22"/>
                  </w:rPr>
                  <w:fldChar w:fldCharType="separate"/>
                </w:r>
                <w:r w:rsidRPr="006D37F2">
                  <w:rPr>
                    <w:rFonts w:asciiTheme="minorHAnsi" w:hAnsiTheme="minorHAnsi"/>
                    <w:noProof/>
                    <w:sz w:val="22"/>
                    <w:szCs w:val="22"/>
                  </w:rPr>
                  <w:instrText>«LEVEL»</w:instrText>
                </w:r>
                <w:r w:rsidRPr="006D37F2">
                  <w:rPr>
                    <w:rFonts w:asciiTheme="minorHAnsi" w:hAnsiTheme="minorHAnsi"/>
                    <w:noProof/>
                    <w:sz w:val="22"/>
                    <w:szCs w:val="22"/>
                  </w:rPr>
                  <w:fldChar w:fldCharType="end"/>
                </w:r>
                <w:r w:rsidRPr="006D37F2">
                  <w:rPr>
                    <w:rFonts w:asciiTheme="minorHAnsi" w:hAnsiTheme="minorHAnsi"/>
                    <w:sz w:val="22"/>
                    <w:szCs w:val="22"/>
                  </w:rPr>
                  <w:instrText xml:space="preserve">="3" "               </w:instrText>
                </w:r>
                <w:r w:rsidRPr="006D37F2">
                  <w:rPr>
                    <w:rFonts w:asciiTheme="minorHAnsi" w:hAnsiTheme="minorHAnsi"/>
                    <w:color w:val="7F7F7F"/>
                    <w:sz w:val="20"/>
                    <w:szCs w:val="20"/>
                  </w:rPr>
                  <w:fldChar w:fldCharType="begin"/>
                </w:r>
                <w:r w:rsidRPr="006D37F2">
                  <w:rPr>
                    <w:rFonts w:asciiTheme="minorHAnsi" w:hAnsiTheme="minorHAnsi"/>
                    <w:color w:val="7F7F7F"/>
                    <w:sz w:val="20"/>
                    <w:szCs w:val="20"/>
                  </w:rPr>
                  <w:instrText xml:space="preserve"> MERGEFIELD  FINCR_USD_AMT \# ,0.00 \* MERGEFORMAT </w:instrText>
                </w:r>
                <w:r w:rsidRPr="006D37F2">
                  <w:rPr>
                    <w:rFonts w:asciiTheme="minorHAnsi" w:hAnsiTheme="minorHAnsi"/>
                    <w:color w:val="7F7F7F"/>
                    <w:sz w:val="20"/>
                    <w:szCs w:val="20"/>
                  </w:rPr>
                  <w:fldChar w:fldCharType="separate"/>
                </w:r>
                <w:r w:rsidRPr="006D37F2">
                  <w:rPr>
                    <w:rFonts w:asciiTheme="minorHAnsi" w:hAnsiTheme="minorHAnsi"/>
                    <w:noProof/>
                    <w:color w:val="7F7F7F"/>
                    <w:sz w:val="20"/>
                    <w:szCs w:val="20"/>
                  </w:rPr>
                  <w:instrText>«FINCR_USD_AMT»</w:instrText>
                </w:r>
                <w:r w:rsidRPr="006D37F2">
                  <w:rPr>
                    <w:rFonts w:asciiTheme="minorHAnsi" w:hAnsiTheme="minorHAnsi"/>
                    <w:color w:val="7F7F7F"/>
                    <w:sz w:val="20"/>
                    <w:szCs w:val="20"/>
                  </w:rPr>
                  <w:fldChar w:fldCharType="end"/>
                </w:r>
                <w:r w:rsidRPr="006D37F2">
                  <w:rPr>
                    <w:rFonts w:asciiTheme="minorHAnsi" w:hAnsiTheme="minorHAnsi"/>
                    <w:sz w:val="22"/>
                    <w:szCs w:val="22"/>
                  </w:rPr>
                  <w:instrText xml:space="preserve">" "               </w:instrText>
                </w:r>
                <w:r w:rsidRPr="006D37F2">
                  <w:rPr>
                    <w:rFonts w:asciiTheme="minorHAnsi" w:hAnsiTheme="minorHAnsi"/>
                    <w:color w:val="7F7F7F"/>
                    <w:sz w:val="20"/>
                    <w:szCs w:val="20"/>
                  </w:rPr>
                  <w:fldChar w:fldCharType="begin"/>
                </w:r>
                <w:r w:rsidRPr="006D37F2">
                  <w:rPr>
                    <w:rFonts w:asciiTheme="minorHAnsi" w:hAnsiTheme="minorHAnsi"/>
                    <w:color w:val="7F7F7F"/>
                    <w:sz w:val="20"/>
                    <w:szCs w:val="20"/>
                  </w:rPr>
                  <w:instrText xml:space="preserve"> MERGEFIELD  FINCR_USD_AMT \# ,0.00 \* MERGEFORMAT </w:instrText>
                </w:r>
                <w:r w:rsidRPr="006D37F2">
                  <w:rPr>
                    <w:rFonts w:asciiTheme="minorHAnsi" w:hAnsiTheme="minorHAnsi"/>
                    <w:color w:val="7F7F7F"/>
                    <w:sz w:val="20"/>
                    <w:szCs w:val="20"/>
                  </w:rPr>
                  <w:fldChar w:fldCharType="separate"/>
                </w:r>
                <w:r w:rsidRPr="006D37F2">
                  <w:rPr>
                    <w:rFonts w:asciiTheme="minorHAnsi" w:hAnsiTheme="minorHAnsi"/>
                    <w:noProof/>
                    <w:color w:val="7F7F7F"/>
                    <w:sz w:val="20"/>
                    <w:szCs w:val="20"/>
                  </w:rPr>
                  <w:instrText>«FINCR_USD_AMT»</w:instrText>
                </w:r>
                <w:r w:rsidRPr="006D37F2">
                  <w:rPr>
                    <w:rFonts w:asciiTheme="minorHAnsi" w:hAnsiTheme="minorHAnsi"/>
                    <w:color w:val="7F7F7F"/>
                    <w:sz w:val="20"/>
                    <w:szCs w:val="20"/>
                  </w:rPr>
                  <w:fldChar w:fldCharType="end"/>
                </w:r>
                <w:r w:rsidRPr="006D37F2">
                  <w:rPr>
                    <w:rFonts w:asciiTheme="minorHAnsi" w:hAnsiTheme="minorHAnsi"/>
                    <w:sz w:val="22"/>
                    <w:szCs w:val="22"/>
                  </w:rPr>
                  <w:instrText>"</w:instrText>
                </w:r>
                <w:r w:rsidRPr="006D37F2">
                  <w:rPr>
                    <w:rFonts w:asciiTheme="minorHAnsi" w:hAnsiTheme="minorHAnsi"/>
                    <w:sz w:val="22"/>
                    <w:szCs w:val="22"/>
                  </w:rPr>
                  <w:fldChar w:fldCharType="separate"/>
                </w:r>
                <w:r w:rsidRPr="006D37F2">
                  <w:rPr>
                    <w:rFonts w:asciiTheme="minorHAnsi" w:hAnsiTheme="minorHAnsi"/>
                    <w:noProof/>
                    <w:sz w:val="22"/>
                    <w:szCs w:val="22"/>
                  </w:rPr>
                  <w:instrText xml:space="preserve">                    </w:instrText>
                </w:r>
                <w:r w:rsidRPr="006D37F2">
                  <w:rPr>
                    <w:rFonts w:asciiTheme="minorHAnsi" w:hAnsiTheme="minorHAnsi"/>
                    <w:noProof/>
                    <w:color w:val="7F7F7F"/>
                    <w:sz w:val="22"/>
                    <w:szCs w:val="22"/>
                  </w:rPr>
                  <w:fldChar w:fldCharType="begin"/>
                </w:r>
                <w:r w:rsidRPr="006D37F2">
                  <w:rPr>
                    <w:rFonts w:asciiTheme="minorHAnsi" w:hAnsiTheme="minorHAnsi"/>
                    <w:noProof/>
                    <w:color w:val="7F7F7F"/>
                    <w:sz w:val="22"/>
                    <w:szCs w:val="22"/>
                  </w:rPr>
                  <w:instrText xml:space="preserve"> MERGEFIELD  FINCR_NAME  \* MERGEFORMAT </w:instrText>
                </w:r>
                <w:r w:rsidRPr="006D37F2">
                  <w:rPr>
                    <w:rFonts w:asciiTheme="minorHAnsi" w:hAnsiTheme="minorHAnsi"/>
                    <w:noProof/>
                    <w:color w:val="7F7F7F"/>
                    <w:sz w:val="22"/>
                    <w:szCs w:val="22"/>
                  </w:rPr>
                  <w:fldChar w:fldCharType="separate"/>
                </w:r>
                <w:r w:rsidRPr="006D37F2">
                  <w:rPr>
                    <w:rFonts w:asciiTheme="minorHAnsi" w:hAnsiTheme="minorHAnsi"/>
                    <w:noProof/>
                    <w:color w:val="7F7F7F"/>
                    <w:sz w:val="22"/>
                    <w:szCs w:val="22"/>
                  </w:rPr>
                  <w:instrText>«FINCR_NAME»</w:instrText>
                </w:r>
                <w:r w:rsidRPr="006D37F2">
                  <w:rPr>
                    <w:rFonts w:asciiTheme="minorHAnsi" w:hAnsiTheme="minorHAnsi"/>
                    <w:noProof/>
                    <w:color w:val="7F7F7F"/>
                    <w:sz w:val="22"/>
                    <w:szCs w:val="22"/>
                  </w:rPr>
                  <w:fldChar w:fldCharType="end"/>
                </w:r>
                <w:r w:rsidRPr="006D37F2">
                  <w:rPr>
                    <w:rFonts w:asciiTheme="minorHAnsi" w:hAnsiTheme="minorHAnsi"/>
                    <w:sz w:val="22"/>
                    <w:szCs w:val="22"/>
                  </w:rPr>
                  <w:fldChar w:fldCharType="end"/>
                </w:r>
                <w:r w:rsidRPr="006D37F2">
                  <w:rPr>
                    <w:rFonts w:asciiTheme="minorHAnsi" w:hAnsiTheme="minorHAnsi"/>
                    <w:sz w:val="22"/>
                    <w:szCs w:val="22"/>
                  </w:rPr>
                  <w:instrText xml:space="preserve">"  </w:instrText>
                </w:r>
                <w:r w:rsidRPr="006D37F2">
                  <w:rPr>
                    <w:rFonts w:asciiTheme="minorHAnsi" w:hAnsiTheme="minorHAnsi"/>
                    <w:sz w:val="22"/>
                    <w:szCs w:val="22"/>
                  </w:rPr>
                  <w:fldChar w:fldCharType="separate"/>
                </w:r>
                <w:r w:rsidRPr="006D37F2">
                  <w:rPr>
                    <w:rFonts w:asciiTheme="minorHAnsi" w:hAnsiTheme="minorHAnsi"/>
                    <w:noProof/>
                    <w:sz w:val="22"/>
                    <w:szCs w:val="22"/>
                  </w:rPr>
                  <w:instrText xml:space="preserve">                    </w:instrText>
                </w:r>
                <w:r w:rsidRPr="006D37F2">
                  <w:rPr>
                    <w:rFonts w:asciiTheme="minorHAnsi" w:hAnsiTheme="minorHAnsi"/>
                    <w:noProof/>
                    <w:color w:val="7F7F7F"/>
                    <w:sz w:val="22"/>
                    <w:szCs w:val="22"/>
                  </w:rPr>
                  <w:fldChar w:fldCharType="begin"/>
                </w:r>
                <w:r w:rsidRPr="006D37F2">
                  <w:rPr>
                    <w:rFonts w:asciiTheme="minorHAnsi" w:hAnsiTheme="minorHAnsi"/>
                    <w:noProof/>
                    <w:color w:val="7F7F7F"/>
                    <w:sz w:val="22"/>
                    <w:szCs w:val="22"/>
                  </w:rPr>
                  <w:instrText xml:space="preserve"> MERGEFIELD  FINCR_NAME  \* MERGEFORMAT </w:instrText>
                </w:r>
                <w:r w:rsidRPr="006D37F2">
                  <w:rPr>
                    <w:rFonts w:asciiTheme="minorHAnsi" w:hAnsiTheme="minorHAnsi"/>
                    <w:noProof/>
                    <w:color w:val="7F7F7F"/>
                    <w:sz w:val="22"/>
                    <w:szCs w:val="22"/>
                  </w:rPr>
                  <w:fldChar w:fldCharType="separate"/>
                </w:r>
                <w:r w:rsidRPr="006D37F2">
                  <w:rPr>
                    <w:rFonts w:asciiTheme="minorHAnsi" w:hAnsiTheme="minorHAnsi"/>
                    <w:noProof/>
                    <w:color w:val="7F7F7F"/>
                    <w:sz w:val="22"/>
                    <w:szCs w:val="22"/>
                  </w:rPr>
                  <w:instrText>«FINCR_NAME»</w:instrText>
                </w:r>
                <w:r w:rsidRPr="006D37F2">
                  <w:rPr>
                    <w:rFonts w:asciiTheme="minorHAnsi" w:hAnsiTheme="minorHAnsi"/>
                    <w:noProof/>
                    <w:color w:val="7F7F7F"/>
                    <w:sz w:val="22"/>
                    <w:szCs w:val="22"/>
                  </w:rPr>
                  <w:fldChar w:fldCharType="end"/>
                </w:r>
                <w:r w:rsidRPr="006D37F2">
                  <w:rPr>
                    <w:rFonts w:asciiTheme="minorHAnsi" w:hAnsiTheme="minorHAnsi"/>
                    <w:sz w:val="22"/>
                    <w:szCs w:val="22"/>
                  </w:rPr>
                  <w:fldChar w:fldCharType="end"/>
                </w:r>
                <w:r w:rsidRPr="006D37F2">
                  <w:rPr>
                    <w:rFonts w:asciiTheme="minorHAnsi" w:hAnsiTheme="minorHAnsi"/>
                    <w:sz w:val="22"/>
                    <w:szCs w:val="22"/>
                  </w:rPr>
                  <w:instrText xml:space="preserve">"  </w:instrText>
                </w:r>
                <w:r w:rsidRPr="006D37F2">
                  <w:rPr>
                    <w:rFonts w:asciiTheme="minorHAnsi" w:hAnsiTheme="minorHAnsi"/>
                    <w:sz w:val="22"/>
                    <w:szCs w:val="22"/>
                  </w:rPr>
                  <w:fldChar w:fldCharType="separate"/>
                </w:r>
                <w:r w:rsidRPr="006D37F2">
                  <w:rPr>
                    <w:rFonts w:asciiTheme="minorHAnsi" w:hAnsiTheme="minorHAnsi"/>
                    <w:b/>
                    <w:noProof/>
                    <w:sz w:val="22"/>
                    <w:szCs w:val="22"/>
                  </w:rPr>
                  <w:t>80.00</w:t>
                </w:r>
                <w:r w:rsidRPr="006D37F2">
                  <w:rPr>
                    <w:rFonts w:asciiTheme="minorHAnsi" w:hAnsiTheme="minorHAnsi"/>
                    <w:sz w:val="22"/>
                    <w:szCs w:val="22"/>
                  </w:rPr>
                  <w:fldChar w:fldCharType="end"/>
                </w:r>
                <w:r>
                  <w:rPr>
                    <w:rFonts w:asciiTheme="minorHAnsi" w:hAnsiTheme="minorHAnsi"/>
                    <w:sz w:val="22"/>
                    <w:szCs w:val="22"/>
                  </w:rPr>
                  <w:t xml:space="preserve"> </w:t>
                </w:r>
              </w:p>
            </w:tc>
          </w:tr>
          <w:tr w:rsidR="004F0F3F" w14:paraId="68EF69C0" w14:textId="77777777" w:rsidTr="00C91C37">
            <w:trPr>
              <w:trHeight w:val="512"/>
            </w:trPr>
            <w:tc>
              <w:tcPr>
                <w:tcW w:w="69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tcPr>
              <w:p w14:paraId="5C102643" w14:textId="77777777" w:rsidR="00C91C37" w:rsidRPr="00704567" w:rsidRDefault="00880CEC" w:rsidP="00D81B56">
                <w:pPr>
                  <w:rPr>
                    <w:rFonts w:asciiTheme="minorHAnsi" w:eastAsiaTheme="minorHAnsi" w:hAnsiTheme="minorHAnsi" w:cstheme="minorBidi"/>
                    <w:color w:val="auto"/>
                    <w:sz w:val="22"/>
                    <w:szCs w:val="22"/>
                  </w:rPr>
                </w:pPr>
                <w:r>
                  <w:t xml:space="preserve">  </w:t>
                </w:r>
                <w:r w:rsidRPr="00F51274">
                  <w:rPr>
                    <w:rFonts w:asciiTheme="minorHAnsi" w:eastAsiaTheme="minorHAnsi" w:hAnsiTheme="minorHAnsi" w:cstheme="minorBidi"/>
                    <w:color w:val="auto"/>
                    <w:sz w:val="22"/>
                    <w:szCs w:val="22"/>
                  </w:rPr>
                  <w:fldChar w:fldCharType="begin"/>
                </w:r>
                <w:r w:rsidRPr="00F51274">
                  <w:rPr>
                    <w:rFonts w:asciiTheme="minorHAnsi" w:eastAsiaTheme="minorHAnsi" w:hAnsiTheme="minorHAnsi" w:cstheme="minorBidi"/>
                    <w:color w:val="auto"/>
                    <w:sz w:val="22"/>
                    <w:szCs w:val="22"/>
                  </w:rPr>
                  <w:instrText xml:space="preserve"> IF</w:instrText>
                </w:r>
                <w:r w:rsidRPr="00F51274">
                  <w:rPr>
                    <w:rFonts w:asciiTheme="minorHAnsi" w:eastAsiaTheme="minorHAnsi" w:hAnsiTheme="minorHAnsi" w:cstheme="minorBidi"/>
                    <w:noProof/>
                    <w:color w:val="auto"/>
                    <w:sz w:val="22"/>
                    <w:szCs w:val="22"/>
                  </w:rPr>
                  <w:instrText xml:space="preserve"> 2 </w:instrText>
                </w:r>
                <w:r w:rsidRPr="00F51274">
                  <w:rPr>
                    <w:rFonts w:asciiTheme="minorHAnsi" w:eastAsiaTheme="minorHAnsi" w:hAnsiTheme="minorHAnsi" w:cstheme="minorBidi"/>
                    <w:color w:val="auto"/>
                    <w:sz w:val="22"/>
                    <w:szCs w:val="22"/>
                  </w:rPr>
                  <w:instrText xml:space="preserve">="1" "  </w:instrText>
                </w:r>
                <w:r w:rsidRPr="00F51274">
                  <w:rPr>
                    <w:rFonts w:asciiTheme="minorHAnsi" w:eastAsiaTheme="minorHAnsi" w:hAnsiTheme="minorHAnsi" w:cstheme="minorBidi"/>
                    <w:color w:val="404040"/>
                    <w:sz w:val="22"/>
                    <w:szCs w:val="22"/>
                  </w:rPr>
                  <w:instrText xml:space="preserve">   </w:instrText>
                </w:r>
                <w:r w:rsidRPr="002F7868">
                  <w:rPr>
                    <w:rFonts w:asciiTheme="minorHAnsi" w:eastAsiaTheme="minorHAnsi" w:hAnsiTheme="minorHAnsi" w:cstheme="minorBidi"/>
                    <w:b/>
                    <w:color w:val="auto"/>
                    <w:sz w:val="22"/>
                    <w:szCs w:val="22"/>
                  </w:rPr>
                  <w:fldChar w:fldCharType="begin"/>
                </w:r>
                <w:r w:rsidRPr="002F7868">
                  <w:rPr>
                    <w:rFonts w:asciiTheme="minorHAnsi" w:eastAsiaTheme="minorHAnsi" w:hAnsiTheme="minorHAnsi" w:cstheme="minorBidi"/>
                    <w:b/>
                    <w:color w:val="auto"/>
                    <w:sz w:val="22"/>
                    <w:szCs w:val="22"/>
                  </w:rPr>
                  <w:instrText xml:space="preserve"> MERGEFIELD  FINCR_NAME  \* MERGEFORMAT </w:instrText>
                </w:r>
                <w:r w:rsidRPr="002F7868">
                  <w:rPr>
                    <w:rFonts w:asciiTheme="minorHAnsi" w:eastAsiaTheme="minorHAnsi" w:hAnsiTheme="minorHAnsi" w:cstheme="minorBidi"/>
                    <w:b/>
                    <w:color w:val="auto"/>
                    <w:sz w:val="22"/>
                    <w:szCs w:val="22"/>
                  </w:rPr>
                  <w:fldChar w:fldCharType="separate"/>
                </w:r>
                <w:r w:rsidRPr="002F7868">
                  <w:rPr>
                    <w:rFonts w:asciiTheme="minorHAnsi" w:eastAsiaTheme="minorHAnsi" w:hAnsiTheme="minorHAnsi" w:cstheme="minorBidi"/>
                    <w:b/>
                    <w:noProof/>
                    <w:color w:val="auto"/>
                    <w:sz w:val="22"/>
                    <w:szCs w:val="22"/>
                  </w:rPr>
                  <w:instrText>«FINCR_NAME»</w:instrText>
                </w:r>
                <w:r w:rsidRPr="002F7868">
                  <w:rPr>
                    <w:rFonts w:asciiTheme="minorHAnsi" w:eastAsiaTheme="minorHAnsi" w:hAnsiTheme="minorHAnsi" w:cstheme="minorBidi"/>
                    <w:b/>
                    <w:color w:val="auto"/>
                    <w:sz w:val="22"/>
                    <w:szCs w:val="22"/>
                  </w:rPr>
                  <w:fldChar w:fldCharType="end"/>
                </w:r>
                <w:r w:rsidRPr="00F51274">
                  <w:rPr>
                    <w:rFonts w:asciiTheme="minorHAnsi" w:eastAsiaTheme="minorHAnsi" w:hAnsiTheme="minorHAnsi" w:cstheme="minorBidi"/>
                    <w:color w:val="auto"/>
                    <w:sz w:val="22"/>
                    <w:szCs w:val="22"/>
                  </w:rPr>
                  <w:instrText>" "</w:instrText>
                </w:r>
                <w:r w:rsidRPr="00F51274">
                  <w:rPr>
                    <w:rFonts w:asciiTheme="minorHAnsi" w:eastAsiaTheme="minorHAnsi" w:hAnsiTheme="minorHAnsi" w:cstheme="minorBidi"/>
                    <w:color w:val="auto"/>
                    <w:sz w:val="22"/>
                    <w:szCs w:val="22"/>
                  </w:rPr>
                  <w:fldChar w:fldCharType="begin"/>
                </w:r>
                <w:r w:rsidRPr="00F51274">
                  <w:rPr>
                    <w:rFonts w:asciiTheme="minorHAnsi" w:eastAsiaTheme="minorHAnsi" w:hAnsiTheme="minorHAnsi" w:cstheme="minorBidi"/>
                    <w:color w:val="auto"/>
                    <w:sz w:val="22"/>
                    <w:szCs w:val="22"/>
                  </w:rPr>
                  <w:instrText xml:space="preserve"> IF</w:instrText>
                </w:r>
                <w:r w:rsidRPr="00F51274">
                  <w:rPr>
                    <w:rFonts w:asciiTheme="minorHAnsi" w:eastAsiaTheme="minorHAnsi" w:hAnsiTheme="minorHAnsi" w:cstheme="minorBidi"/>
                    <w:noProof/>
                    <w:color w:val="auto"/>
                    <w:sz w:val="22"/>
                    <w:szCs w:val="22"/>
                  </w:rPr>
                  <w:instrText xml:space="preserve"> 2 </w:instrText>
                </w:r>
                <w:r w:rsidRPr="00F51274">
                  <w:rPr>
                    <w:rFonts w:asciiTheme="minorHAnsi" w:eastAsiaTheme="minorHAnsi" w:hAnsiTheme="minorHAnsi" w:cstheme="minorBidi"/>
                    <w:color w:val="auto"/>
                    <w:sz w:val="22"/>
                    <w:szCs w:val="22"/>
                  </w:rPr>
                  <w:instrText xml:space="preserve">="2" "          </w:instrText>
                </w:r>
                <w:r w:rsidRPr="00F51274">
                  <w:rPr>
                    <w:rFonts w:asciiTheme="minorHAnsi" w:eastAsiaTheme="minorHAnsi" w:hAnsiTheme="minorHAnsi" w:cstheme="minorBidi"/>
                    <w:noProof/>
                    <w:color w:val="595959"/>
                    <w:sz w:val="21"/>
                    <w:szCs w:val="21"/>
                  </w:rPr>
                  <w:instrText>IDA Grant</w:instrText>
                </w:r>
                <w:r w:rsidRPr="00F51274">
                  <w:rPr>
                    <w:rFonts w:asciiTheme="minorHAnsi" w:eastAsiaTheme="minorHAnsi" w:hAnsiTheme="minorHAnsi" w:cstheme="minorBidi"/>
                    <w:color w:val="auto"/>
                    <w:sz w:val="22"/>
                    <w:szCs w:val="22"/>
                  </w:rPr>
                  <w:instrText>"  "</w:instrText>
                </w:r>
                <w:r w:rsidRPr="00F51274">
                  <w:rPr>
                    <w:rFonts w:asciiTheme="minorHAnsi" w:eastAsiaTheme="minorHAnsi" w:hAnsiTheme="minorHAnsi" w:cstheme="minorBidi"/>
                    <w:color w:val="auto"/>
                    <w:sz w:val="22"/>
                    <w:szCs w:val="22"/>
                  </w:rPr>
                  <w:fldChar w:fldCharType="begin"/>
                </w:r>
                <w:r w:rsidRPr="00F51274">
                  <w:rPr>
                    <w:rFonts w:asciiTheme="minorHAnsi" w:eastAsiaTheme="minorHAnsi" w:hAnsiTheme="minorHAnsi" w:cstheme="minorBidi"/>
                    <w:color w:val="auto"/>
                    <w:sz w:val="22"/>
                    <w:szCs w:val="22"/>
                  </w:rPr>
                  <w:instrText xml:space="preserve"> IF</w:instrText>
                </w:r>
                <w:r w:rsidRPr="00F51274">
                  <w:rPr>
                    <w:rFonts w:asciiTheme="minorHAnsi" w:eastAsiaTheme="minorHAnsi" w:hAnsiTheme="minorHAnsi" w:cstheme="minorBidi"/>
                    <w:color w:val="auto"/>
                    <w:sz w:val="22"/>
                    <w:szCs w:val="22"/>
                  </w:rPr>
                  <w:fldChar w:fldCharType="begin"/>
                </w:r>
                <w:r w:rsidRPr="00F51274">
                  <w:rPr>
                    <w:rFonts w:asciiTheme="minorHAnsi" w:eastAsiaTheme="minorHAnsi" w:hAnsiTheme="minorHAnsi" w:cstheme="minorBidi"/>
                    <w:color w:val="auto"/>
                    <w:sz w:val="22"/>
                    <w:szCs w:val="22"/>
                  </w:rPr>
                  <w:instrText xml:space="preserve"> MERGEFIELD  LEVEL  \* MERGEFORMAT </w:instrText>
                </w:r>
                <w:r w:rsidRPr="00F51274">
                  <w:rPr>
                    <w:rFonts w:asciiTheme="minorHAnsi" w:eastAsiaTheme="minorHAnsi" w:hAnsiTheme="minorHAnsi" w:cstheme="minorBidi"/>
                    <w:color w:val="auto"/>
                    <w:sz w:val="22"/>
                    <w:szCs w:val="22"/>
                  </w:rPr>
                  <w:fldChar w:fldCharType="separate"/>
                </w:r>
                <w:r w:rsidRPr="00F51274">
                  <w:rPr>
                    <w:rFonts w:asciiTheme="minorHAnsi" w:eastAsiaTheme="minorHAnsi" w:hAnsiTheme="minorHAnsi" w:cstheme="minorBidi"/>
                    <w:noProof/>
                    <w:color w:val="auto"/>
                    <w:sz w:val="22"/>
                    <w:szCs w:val="22"/>
                  </w:rPr>
                  <w:instrText>«LEVEL»</w:instrText>
                </w:r>
                <w:r w:rsidRPr="00F51274">
                  <w:rPr>
                    <w:rFonts w:asciiTheme="minorHAnsi" w:eastAsiaTheme="minorHAnsi" w:hAnsiTheme="minorHAnsi" w:cstheme="minorBidi"/>
                    <w:color w:val="auto"/>
                    <w:sz w:val="22"/>
                    <w:szCs w:val="22"/>
                  </w:rPr>
                  <w:fldChar w:fldCharType="end"/>
                </w:r>
                <w:r w:rsidRPr="00F51274">
                  <w:rPr>
                    <w:rFonts w:asciiTheme="minorHAnsi" w:eastAsiaTheme="minorHAnsi" w:hAnsiTheme="minorHAnsi" w:cstheme="minorBidi"/>
                    <w:color w:val="auto"/>
                    <w:sz w:val="22"/>
                    <w:szCs w:val="22"/>
                  </w:rPr>
                  <w:instrText xml:space="preserve">="3" "               </w:instrText>
                </w:r>
                <w:r w:rsidRPr="00F51274">
                  <w:rPr>
                    <w:rFonts w:asciiTheme="minorHAnsi" w:eastAsiaTheme="minorHAnsi" w:hAnsiTheme="minorHAnsi" w:cstheme="minorBidi"/>
                    <w:color w:val="7F7F7F"/>
                    <w:sz w:val="20"/>
                    <w:szCs w:val="20"/>
                  </w:rPr>
                  <w:fldChar w:fldCharType="begin"/>
                </w:r>
                <w:r w:rsidRPr="00F51274">
                  <w:rPr>
                    <w:rFonts w:asciiTheme="minorHAnsi" w:eastAsiaTheme="minorHAnsi" w:hAnsiTheme="minorHAnsi" w:cstheme="minorBidi"/>
                    <w:color w:val="7F7F7F"/>
                    <w:sz w:val="20"/>
                    <w:szCs w:val="20"/>
                  </w:rPr>
                  <w:instrText xml:space="preserve"> MERGEFIELD  FINCR_NAME  \* MERGEFORMAT </w:instrText>
                </w:r>
                <w:r w:rsidRPr="00F51274">
                  <w:rPr>
                    <w:rFonts w:asciiTheme="minorHAnsi" w:eastAsiaTheme="minorHAnsi" w:hAnsiTheme="minorHAnsi" w:cstheme="minorBidi"/>
                    <w:color w:val="7F7F7F"/>
                    <w:sz w:val="20"/>
                    <w:szCs w:val="20"/>
                  </w:rPr>
                  <w:fldChar w:fldCharType="separate"/>
                </w:r>
                <w:r w:rsidRPr="00F51274">
                  <w:rPr>
                    <w:rFonts w:asciiTheme="minorHAnsi" w:eastAsiaTheme="minorHAnsi" w:hAnsiTheme="minorHAnsi" w:cstheme="minorBidi"/>
                    <w:noProof/>
                    <w:color w:val="7F7F7F"/>
                    <w:sz w:val="20"/>
                    <w:szCs w:val="20"/>
                  </w:rPr>
                  <w:instrText>«FINCR_NAME»</w:instrText>
                </w:r>
                <w:r w:rsidRPr="00F51274">
                  <w:rPr>
                    <w:rFonts w:asciiTheme="minorHAnsi" w:eastAsiaTheme="minorHAnsi" w:hAnsiTheme="minorHAnsi" w:cstheme="minorBidi"/>
                    <w:color w:val="7F7F7F"/>
                    <w:sz w:val="20"/>
                    <w:szCs w:val="20"/>
                  </w:rPr>
                  <w:fldChar w:fldCharType="end"/>
                </w:r>
                <w:r w:rsidRPr="00F51274">
                  <w:rPr>
                    <w:rFonts w:asciiTheme="minorHAnsi" w:eastAsiaTheme="minorHAnsi" w:hAnsiTheme="minorHAnsi" w:cstheme="minorBidi"/>
                    <w:color w:val="auto"/>
                    <w:sz w:val="22"/>
                    <w:szCs w:val="22"/>
                  </w:rPr>
                  <w:instrText xml:space="preserve">" "                    </w:instrText>
                </w:r>
                <w:r w:rsidRPr="00F51274">
                  <w:rPr>
                    <w:rFonts w:asciiTheme="minorHAnsi" w:eastAsiaTheme="minorHAnsi" w:hAnsiTheme="minorHAnsi" w:cstheme="minorBidi"/>
                    <w:color w:val="7F7F7F"/>
                    <w:sz w:val="20"/>
                    <w:szCs w:val="20"/>
                  </w:rPr>
                  <w:fldChar w:fldCharType="begin"/>
                </w:r>
                <w:r w:rsidRPr="00F51274">
                  <w:rPr>
                    <w:rFonts w:asciiTheme="minorHAnsi" w:eastAsiaTheme="minorHAnsi" w:hAnsiTheme="minorHAnsi" w:cstheme="minorBidi"/>
                    <w:color w:val="7F7F7F"/>
                    <w:sz w:val="20"/>
                    <w:szCs w:val="20"/>
                  </w:rPr>
                  <w:instrText xml:space="preserve"> MERGEFIELD  FINCR_NAME  \* MERGEFORMAT </w:instrText>
                </w:r>
                <w:r w:rsidRPr="00F51274">
                  <w:rPr>
                    <w:rFonts w:asciiTheme="minorHAnsi" w:eastAsiaTheme="minorHAnsi" w:hAnsiTheme="minorHAnsi" w:cstheme="minorBidi"/>
                    <w:color w:val="7F7F7F"/>
                    <w:sz w:val="20"/>
                    <w:szCs w:val="20"/>
                  </w:rPr>
                  <w:fldChar w:fldCharType="separate"/>
                </w:r>
                <w:r w:rsidRPr="00F51274">
                  <w:rPr>
                    <w:rFonts w:asciiTheme="minorHAnsi" w:eastAsiaTheme="minorHAnsi" w:hAnsiTheme="minorHAnsi" w:cstheme="minorBidi"/>
                    <w:noProof/>
                    <w:color w:val="7F7F7F"/>
                    <w:sz w:val="20"/>
                    <w:szCs w:val="20"/>
                  </w:rPr>
                  <w:instrText>«FINCR_NAME»</w:instrText>
                </w:r>
                <w:r w:rsidRPr="00F51274">
                  <w:rPr>
                    <w:rFonts w:asciiTheme="minorHAnsi" w:eastAsiaTheme="minorHAnsi" w:hAnsiTheme="minorHAnsi" w:cstheme="minorBidi"/>
                    <w:color w:val="7F7F7F"/>
                    <w:sz w:val="20"/>
                    <w:szCs w:val="20"/>
                  </w:rPr>
                  <w:fldChar w:fldCharType="end"/>
                </w:r>
                <w:r w:rsidRPr="00F51274">
                  <w:rPr>
                    <w:rFonts w:asciiTheme="minorHAnsi" w:eastAsiaTheme="minorHAnsi" w:hAnsiTheme="minorHAnsi" w:cstheme="minorBidi"/>
                    <w:color w:val="auto"/>
                    <w:sz w:val="22"/>
                    <w:szCs w:val="22"/>
                  </w:rPr>
                  <w:instrText>"</w:instrText>
                </w:r>
                <w:r w:rsidRPr="00F51274">
                  <w:rPr>
                    <w:rFonts w:asciiTheme="minorHAnsi" w:eastAsiaTheme="minorHAnsi" w:hAnsiTheme="minorHAnsi" w:cstheme="minorBidi"/>
                    <w:color w:val="auto"/>
                    <w:sz w:val="22"/>
                    <w:szCs w:val="22"/>
                  </w:rPr>
                  <w:fldChar w:fldCharType="separate"/>
                </w:r>
                <w:r w:rsidRPr="00F51274">
                  <w:rPr>
                    <w:rFonts w:asciiTheme="minorHAnsi" w:eastAsiaTheme="minorHAnsi" w:hAnsiTheme="minorHAnsi" w:cstheme="minorBidi"/>
                    <w:noProof/>
                    <w:color w:val="auto"/>
                    <w:sz w:val="22"/>
                    <w:szCs w:val="22"/>
                  </w:rPr>
                  <w:instrText xml:space="preserve">                    </w:instrText>
                </w:r>
                <w:r w:rsidRPr="00F51274">
                  <w:rPr>
                    <w:rFonts w:asciiTheme="minorHAnsi" w:eastAsiaTheme="minorHAnsi" w:hAnsiTheme="minorHAnsi" w:cstheme="minorBidi"/>
                    <w:noProof/>
                    <w:color w:val="7F7F7F"/>
                    <w:sz w:val="20"/>
                    <w:szCs w:val="20"/>
                  </w:rPr>
                  <w:fldChar w:fldCharType="begin"/>
                </w:r>
                <w:r w:rsidRPr="00F51274">
                  <w:rPr>
                    <w:rFonts w:asciiTheme="minorHAnsi" w:eastAsiaTheme="minorHAnsi" w:hAnsiTheme="minorHAnsi" w:cstheme="minorBidi"/>
                    <w:noProof/>
                    <w:color w:val="7F7F7F"/>
                    <w:sz w:val="20"/>
                    <w:szCs w:val="20"/>
                  </w:rPr>
                  <w:instrText xml:space="preserve"> MERGEFIELD  FINCR_NAME  \* MERGEFORMAT </w:instrText>
                </w:r>
                <w:r w:rsidRPr="00F51274">
                  <w:rPr>
                    <w:rFonts w:asciiTheme="minorHAnsi" w:eastAsiaTheme="minorHAnsi" w:hAnsiTheme="minorHAnsi" w:cstheme="minorBidi"/>
                    <w:noProof/>
                    <w:color w:val="7F7F7F"/>
                    <w:sz w:val="20"/>
                    <w:szCs w:val="20"/>
                  </w:rPr>
                  <w:fldChar w:fldCharType="separate"/>
                </w:r>
                <w:r w:rsidRPr="00F51274">
                  <w:rPr>
                    <w:rFonts w:asciiTheme="minorHAnsi" w:eastAsiaTheme="minorHAnsi" w:hAnsiTheme="minorHAnsi" w:cstheme="minorBidi"/>
                    <w:noProof/>
                    <w:color w:val="7F7F7F"/>
                    <w:sz w:val="20"/>
                    <w:szCs w:val="20"/>
                  </w:rPr>
                  <w:instrText>«FINCR_NAME»</w:instrText>
                </w:r>
                <w:r w:rsidRPr="00F51274">
                  <w:rPr>
                    <w:rFonts w:asciiTheme="minorHAnsi" w:eastAsiaTheme="minorHAnsi" w:hAnsiTheme="minorHAnsi" w:cstheme="minorBidi"/>
                    <w:noProof/>
                    <w:color w:val="7F7F7F"/>
                    <w:sz w:val="20"/>
                    <w:szCs w:val="20"/>
                  </w:rPr>
                  <w:fldChar w:fldCharType="end"/>
                </w:r>
                <w:r w:rsidRPr="00F51274">
                  <w:rPr>
                    <w:rFonts w:asciiTheme="minorHAnsi" w:eastAsiaTheme="minorHAnsi" w:hAnsiTheme="minorHAnsi" w:cstheme="minorBidi"/>
                    <w:color w:val="auto"/>
                    <w:sz w:val="22"/>
                    <w:szCs w:val="22"/>
                  </w:rPr>
                  <w:fldChar w:fldCharType="end"/>
                </w:r>
                <w:r w:rsidRPr="00F51274">
                  <w:rPr>
                    <w:rFonts w:asciiTheme="minorHAnsi" w:eastAsiaTheme="minorHAnsi" w:hAnsiTheme="minorHAnsi" w:cstheme="minorBidi"/>
                    <w:color w:val="auto"/>
                    <w:sz w:val="22"/>
                    <w:szCs w:val="22"/>
                  </w:rPr>
                  <w:instrText xml:space="preserve">"  </w:instrText>
                </w:r>
                <w:r w:rsidRPr="00F51274">
                  <w:rPr>
                    <w:rFonts w:asciiTheme="minorHAnsi" w:eastAsiaTheme="minorHAnsi" w:hAnsiTheme="minorHAnsi" w:cstheme="minorBidi"/>
                    <w:color w:val="auto"/>
                    <w:sz w:val="22"/>
                    <w:szCs w:val="22"/>
                  </w:rPr>
                  <w:fldChar w:fldCharType="separate"/>
                </w:r>
                <w:r w:rsidRPr="00F51274">
                  <w:rPr>
                    <w:rFonts w:asciiTheme="minorHAnsi" w:eastAsiaTheme="minorHAnsi" w:hAnsiTheme="minorHAnsi" w:cstheme="minorBidi"/>
                    <w:color w:val="auto"/>
                    <w:sz w:val="22"/>
                    <w:szCs w:val="22"/>
                  </w:rPr>
                  <w:instrText xml:space="preserve">          </w:instrText>
                </w:r>
                <w:r w:rsidRPr="00F51274">
                  <w:rPr>
                    <w:rFonts w:asciiTheme="minorHAnsi" w:eastAsiaTheme="minorHAnsi" w:hAnsiTheme="minorHAnsi" w:cstheme="minorBidi"/>
                    <w:noProof/>
                    <w:color w:val="595959"/>
                    <w:sz w:val="21"/>
                    <w:szCs w:val="21"/>
                  </w:rPr>
                  <w:instrText>IDA Grant</w:instrText>
                </w:r>
                <w:r w:rsidRPr="00F51274">
                  <w:rPr>
                    <w:rFonts w:asciiTheme="minorHAnsi" w:eastAsiaTheme="minorHAnsi" w:hAnsiTheme="minorHAnsi" w:cstheme="minorBidi"/>
                    <w:color w:val="auto"/>
                    <w:sz w:val="22"/>
                    <w:szCs w:val="22"/>
                  </w:rPr>
                  <w:fldChar w:fldCharType="end"/>
                </w:r>
                <w:r w:rsidRPr="00F51274">
                  <w:rPr>
                    <w:rFonts w:asciiTheme="minorHAnsi" w:eastAsiaTheme="minorHAnsi" w:hAnsiTheme="minorHAnsi" w:cstheme="minorBidi"/>
                    <w:color w:val="auto"/>
                    <w:sz w:val="22"/>
                    <w:szCs w:val="22"/>
                  </w:rPr>
                  <w:instrText xml:space="preserve">"  </w:instrText>
                </w:r>
                <w:r w:rsidRPr="00F51274">
                  <w:rPr>
                    <w:rFonts w:asciiTheme="minorHAnsi" w:eastAsiaTheme="minorHAnsi" w:hAnsiTheme="minorHAnsi" w:cstheme="minorBidi"/>
                    <w:color w:val="auto"/>
                    <w:sz w:val="22"/>
                    <w:szCs w:val="22"/>
                  </w:rPr>
                  <w:fldChar w:fldCharType="separate"/>
                </w:r>
                <w:r w:rsidRPr="00F51274">
                  <w:rPr>
                    <w:rFonts w:asciiTheme="minorHAnsi" w:eastAsiaTheme="minorHAnsi" w:hAnsiTheme="minorHAnsi" w:cstheme="minorBidi"/>
                    <w:color w:val="auto"/>
                    <w:sz w:val="22"/>
                    <w:szCs w:val="22"/>
                  </w:rPr>
                  <w:t xml:space="preserve">          </w:t>
                </w:r>
                <w:r w:rsidRPr="00F51274">
                  <w:rPr>
                    <w:rFonts w:asciiTheme="minorHAnsi" w:eastAsiaTheme="minorHAnsi" w:hAnsiTheme="minorHAnsi" w:cstheme="minorBidi"/>
                    <w:noProof/>
                    <w:color w:val="595959"/>
                    <w:sz w:val="21"/>
                    <w:szCs w:val="21"/>
                  </w:rPr>
                  <w:t>IDA Grant</w:t>
                </w:r>
                <w:r w:rsidRPr="00F51274">
                  <w:rPr>
                    <w:rFonts w:asciiTheme="minorHAnsi" w:eastAsiaTheme="minorHAnsi" w:hAnsiTheme="minorHAnsi" w:cstheme="minorBidi"/>
                    <w:color w:val="auto"/>
                    <w:sz w:val="22"/>
                    <w:szCs w:val="22"/>
                  </w:rPr>
                  <w:fldChar w:fldCharType="end"/>
                </w:r>
              </w:p>
            </w:tc>
            <w:tc>
              <w:tcPr>
                <w:tcW w:w="36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tcPr>
              <w:p w14:paraId="7298BF4A" w14:textId="77777777" w:rsidR="00C91C37" w:rsidRDefault="00880CEC" w:rsidP="00D81B56">
                <w:pPr>
                  <w:shd w:val="clear" w:color="auto" w:fill="F7F7F7"/>
                  <w:jc w:val="right"/>
                  <w:rPr>
                    <w:rFonts w:asciiTheme="minorHAnsi" w:hAnsiTheme="minorHAnsi"/>
                    <w:color w:val="767171" w:themeColor="background2" w:themeShade="80"/>
                    <w:sz w:val="22"/>
                    <w:szCs w:val="22"/>
                  </w:rPr>
                </w:pPr>
                <w:r w:rsidRPr="006D37F2">
                  <w:rPr>
                    <w:rFonts w:asciiTheme="minorHAnsi" w:hAnsiTheme="minorHAnsi"/>
                    <w:sz w:val="22"/>
                    <w:szCs w:val="22"/>
                  </w:rPr>
                  <w:fldChar w:fldCharType="begin"/>
                </w:r>
                <w:r w:rsidRPr="006D37F2">
                  <w:rPr>
                    <w:rFonts w:asciiTheme="minorHAnsi" w:hAnsiTheme="minorHAnsi"/>
                    <w:sz w:val="22"/>
                    <w:szCs w:val="22"/>
                  </w:rPr>
                  <w:instrText xml:space="preserve"> IF</w:instrText>
                </w:r>
                <w:r w:rsidRPr="006D37F2">
                  <w:rPr>
                    <w:rFonts w:asciiTheme="minorHAnsi" w:hAnsiTheme="minorHAnsi"/>
                    <w:noProof/>
                    <w:sz w:val="22"/>
                    <w:szCs w:val="22"/>
                  </w:rPr>
                  <w:instrText xml:space="preserve"> 2 </w:instrText>
                </w:r>
                <w:r w:rsidRPr="006D37F2">
                  <w:rPr>
                    <w:rFonts w:asciiTheme="minorHAnsi" w:hAnsiTheme="minorHAnsi"/>
                    <w:sz w:val="22"/>
                    <w:szCs w:val="22"/>
                  </w:rPr>
                  <w:instrText>="1" "</w:instrText>
                </w:r>
                <w:r w:rsidRPr="006D37F2">
                  <w:rPr>
                    <w:rFonts w:asciiTheme="minorHAnsi" w:hAnsiTheme="minorHAnsi"/>
                    <w:b/>
                    <w:sz w:val="22"/>
                    <w:szCs w:val="22"/>
                  </w:rPr>
                  <w:fldChar w:fldCharType="begin"/>
                </w:r>
                <w:r w:rsidRPr="006D37F2">
                  <w:rPr>
                    <w:rFonts w:asciiTheme="minorHAnsi" w:hAnsiTheme="minorHAnsi"/>
                    <w:b/>
                    <w:sz w:val="22"/>
                    <w:szCs w:val="22"/>
                  </w:rPr>
                  <w:instrText xml:space="preserve"> MERGEFIELD  FINCR_USD_AMT \# ,0.00 \* MERGEFORMAT </w:instrText>
                </w:r>
                <w:r w:rsidRPr="006D37F2">
                  <w:rPr>
                    <w:rFonts w:asciiTheme="minorHAnsi" w:hAnsiTheme="minorHAnsi"/>
                    <w:b/>
                    <w:sz w:val="22"/>
                    <w:szCs w:val="22"/>
                  </w:rPr>
                  <w:fldChar w:fldCharType="separate"/>
                </w:r>
                <w:r w:rsidRPr="006D37F2">
                  <w:rPr>
                    <w:rFonts w:asciiTheme="minorHAnsi" w:hAnsiTheme="minorHAnsi"/>
                    <w:b/>
                    <w:noProof/>
                    <w:sz w:val="22"/>
                    <w:szCs w:val="22"/>
                  </w:rPr>
                  <w:instrText>«FINCR_USD_AMT»</w:instrText>
                </w:r>
                <w:r w:rsidRPr="006D37F2">
                  <w:rPr>
                    <w:rFonts w:asciiTheme="minorHAnsi" w:hAnsiTheme="minorHAnsi"/>
                    <w:b/>
                    <w:sz w:val="22"/>
                    <w:szCs w:val="22"/>
                  </w:rPr>
                  <w:fldChar w:fldCharType="end"/>
                </w:r>
                <w:r w:rsidRPr="006D37F2">
                  <w:rPr>
                    <w:rFonts w:asciiTheme="minorHAnsi" w:hAnsiTheme="minorHAnsi"/>
                    <w:sz w:val="22"/>
                    <w:szCs w:val="22"/>
                  </w:rPr>
                  <w:instrText>" "</w:instrText>
                </w:r>
                <w:r w:rsidRPr="006D37F2">
                  <w:rPr>
                    <w:rFonts w:asciiTheme="minorHAnsi" w:hAnsiTheme="minorHAnsi"/>
                    <w:sz w:val="22"/>
                    <w:szCs w:val="22"/>
                  </w:rPr>
                  <w:fldChar w:fldCharType="begin"/>
                </w:r>
                <w:r w:rsidRPr="006D37F2">
                  <w:rPr>
                    <w:rFonts w:asciiTheme="minorHAnsi" w:hAnsiTheme="minorHAnsi"/>
                    <w:sz w:val="22"/>
                    <w:szCs w:val="22"/>
                  </w:rPr>
                  <w:instrText xml:space="preserve"> IF</w:instrText>
                </w:r>
                <w:r w:rsidRPr="006D37F2">
                  <w:rPr>
                    <w:rFonts w:asciiTheme="minorHAnsi" w:hAnsiTheme="minorHAnsi"/>
                    <w:noProof/>
                    <w:sz w:val="22"/>
                    <w:szCs w:val="22"/>
                  </w:rPr>
                  <w:instrText xml:space="preserve"> 2 </w:instrText>
                </w:r>
                <w:r w:rsidRPr="006D37F2">
                  <w:rPr>
                    <w:rFonts w:asciiTheme="minorHAnsi" w:hAnsiTheme="minorHAnsi"/>
                    <w:sz w:val="22"/>
                    <w:szCs w:val="22"/>
                  </w:rPr>
                  <w:instrText xml:space="preserve">="2" "     </w:instrText>
                </w:r>
                <w:r w:rsidRPr="006D37F2">
                  <w:rPr>
                    <w:rFonts w:asciiTheme="minorHAnsi" w:hAnsiTheme="minorHAnsi"/>
                    <w:noProof/>
                    <w:color w:val="595959"/>
                    <w:sz w:val="21"/>
                    <w:szCs w:val="21"/>
                  </w:rPr>
                  <w:instrText>80.00</w:instrText>
                </w:r>
                <w:r w:rsidRPr="006D37F2">
                  <w:rPr>
                    <w:rFonts w:asciiTheme="minorHAnsi" w:hAnsiTheme="minorHAnsi"/>
                    <w:sz w:val="22"/>
                    <w:szCs w:val="22"/>
                  </w:rPr>
                  <w:instrText>"  "</w:instrText>
                </w:r>
                <w:r w:rsidRPr="006D37F2">
                  <w:rPr>
                    <w:rFonts w:asciiTheme="minorHAnsi" w:hAnsiTheme="minorHAnsi"/>
                    <w:sz w:val="22"/>
                    <w:szCs w:val="22"/>
                  </w:rPr>
                  <w:fldChar w:fldCharType="begin"/>
                </w:r>
                <w:r w:rsidRPr="006D37F2">
                  <w:rPr>
                    <w:rFonts w:asciiTheme="minorHAnsi" w:hAnsiTheme="minorHAnsi"/>
                    <w:sz w:val="22"/>
                    <w:szCs w:val="22"/>
                  </w:rPr>
                  <w:instrText xml:space="preserve"> IF</w:instrText>
                </w:r>
                <w:r w:rsidRPr="006D37F2">
                  <w:rPr>
                    <w:rFonts w:asciiTheme="minorHAnsi" w:hAnsiTheme="minorHAnsi"/>
                    <w:sz w:val="22"/>
                    <w:szCs w:val="22"/>
                  </w:rPr>
                  <w:fldChar w:fldCharType="begin"/>
                </w:r>
                <w:r w:rsidRPr="006D37F2">
                  <w:rPr>
                    <w:rFonts w:asciiTheme="minorHAnsi" w:hAnsiTheme="minorHAnsi"/>
                    <w:sz w:val="22"/>
                    <w:szCs w:val="22"/>
                  </w:rPr>
                  <w:instrText xml:space="preserve"> MERGEFIELD  LEVEL  \* MERGEFORMAT </w:instrText>
                </w:r>
                <w:r w:rsidRPr="006D37F2">
                  <w:rPr>
                    <w:rFonts w:asciiTheme="minorHAnsi" w:hAnsiTheme="minorHAnsi"/>
                    <w:sz w:val="22"/>
                    <w:szCs w:val="22"/>
                  </w:rPr>
                  <w:fldChar w:fldCharType="separate"/>
                </w:r>
                <w:r w:rsidRPr="006D37F2">
                  <w:rPr>
                    <w:rFonts w:asciiTheme="minorHAnsi" w:hAnsiTheme="minorHAnsi"/>
                    <w:noProof/>
                    <w:sz w:val="22"/>
                    <w:szCs w:val="22"/>
                  </w:rPr>
                  <w:instrText>«LEVEL»</w:instrText>
                </w:r>
                <w:r w:rsidRPr="006D37F2">
                  <w:rPr>
                    <w:rFonts w:asciiTheme="minorHAnsi" w:hAnsiTheme="minorHAnsi"/>
                    <w:noProof/>
                    <w:sz w:val="22"/>
                    <w:szCs w:val="22"/>
                  </w:rPr>
                  <w:fldChar w:fldCharType="end"/>
                </w:r>
                <w:r w:rsidRPr="006D37F2">
                  <w:rPr>
                    <w:rFonts w:asciiTheme="minorHAnsi" w:hAnsiTheme="minorHAnsi"/>
                    <w:sz w:val="22"/>
                    <w:szCs w:val="22"/>
                  </w:rPr>
                  <w:instrText xml:space="preserve">="3" "               </w:instrText>
                </w:r>
                <w:r w:rsidRPr="006D37F2">
                  <w:rPr>
                    <w:rFonts w:asciiTheme="minorHAnsi" w:hAnsiTheme="minorHAnsi"/>
                    <w:color w:val="7F7F7F"/>
                    <w:sz w:val="20"/>
                    <w:szCs w:val="20"/>
                  </w:rPr>
                  <w:fldChar w:fldCharType="begin"/>
                </w:r>
                <w:r w:rsidRPr="006D37F2">
                  <w:rPr>
                    <w:rFonts w:asciiTheme="minorHAnsi" w:hAnsiTheme="minorHAnsi"/>
                    <w:color w:val="7F7F7F"/>
                    <w:sz w:val="20"/>
                    <w:szCs w:val="20"/>
                  </w:rPr>
                  <w:instrText xml:space="preserve"> MERGEFIELD  FINCR_USD_AMT \# ,0.00 \* MERGEFORMAT </w:instrText>
                </w:r>
                <w:r w:rsidRPr="006D37F2">
                  <w:rPr>
                    <w:rFonts w:asciiTheme="minorHAnsi" w:hAnsiTheme="minorHAnsi"/>
                    <w:color w:val="7F7F7F"/>
                    <w:sz w:val="20"/>
                    <w:szCs w:val="20"/>
                  </w:rPr>
                  <w:fldChar w:fldCharType="separate"/>
                </w:r>
                <w:r w:rsidRPr="006D37F2">
                  <w:rPr>
                    <w:rFonts w:asciiTheme="minorHAnsi" w:hAnsiTheme="minorHAnsi"/>
                    <w:noProof/>
                    <w:color w:val="7F7F7F"/>
                    <w:sz w:val="20"/>
                    <w:szCs w:val="20"/>
                  </w:rPr>
                  <w:instrText>«FINCR_USD_AMT»</w:instrText>
                </w:r>
                <w:r w:rsidRPr="006D37F2">
                  <w:rPr>
                    <w:rFonts w:asciiTheme="minorHAnsi" w:hAnsiTheme="minorHAnsi"/>
                    <w:color w:val="7F7F7F"/>
                    <w:sz w:val="20"/>
                    <w:szCs w:val="20"/>
                  </w:rPr>
                  <w:fldChar w:fldCharType="end"/>
                </w:r>
                <w:r w:rsidRPr="006D37F2">
                  <w:rPr>
                    <w:rFonts w:asciiTheme="minorHAnsi" w:hAnsiTheme="minorHAnsi"/>
                    <w:sz w:val="22"/>
                    <w:szCs w:val="22"/>
                  </w:rPr>
                  <w:instrText xml:space="preserve">" "               </w:instrText>
                </w:r>
                <w:r w:rsidRPr="006D37F2">
                  <w:rPr>
                    <w:rFonts w:asciiTheme="minorHAnsi" w:hAnsiTheme="minorHAnsi"/>
                    <w:color w:val="7F7F7F"/>
                    <w:sz w:val="20"/>
                    <w:szCs w:val="20"/>
                  </w:rPr>
                  <w:fldChar w:fldCharType="begin"/>
                </w:r>
                <w:r w:rsidRPr="006D37F2">
                  <w:rPr>
                    <w:rFonts w:asciiTheme="minorHAnsi" w:hAnsiTheme="minorHAnsi"/>
                    <w:color w:val="7F7F7F"/>
                    <w:sz w:val="20"/>
                    <w:szCs w:val="20"/>
                  </w:rPr>
                  <w:instrText xml:space="preserve"> MERGEFIELD  FINCR_USD_AMT \# ,0.00 \* MERGEFORMAT </w:instrText>
                </w:r>
                <w:r w:rsidRPr="006D37F2">
                  <w:rPr>
                    <w:rFonts w:asciiTheme="minorHAnsi" w:hAnsiTheme="minorHAnsi"/>
                    <w:color w:val="7F7F7F"/>
                    <w:sz w:val="20"/>
                    <w:szCs w:val="20"/>
                  </w:rPr>
                  <w:fldChar w:fldCharType="separate"/>
                </w:r>
                <w:r w:rsidRPr="006D37F2">
                  <w:rPr>
                    <w:rFonts w:asciiTheme="minorHAnsi" w:hAnsiTheme="minorHAnsi"/>
                    <w:noProof/>
                    <w:color w:val="7F7F7F"/>
                    <w:sz w:val="20"/>
                    <w:szCs w:val="20"/>
                  </w:rPr>
                  <w:instrText>«FINCR_USD_AMT»</w:instrText>
                </w:r>
                <w:r w:rsidRPr="006D37F2">
                  <w:rPr>
                    <w:rFonts w:asciiTheme="minorHAnsi" w:hAnsiTheme="minorHAnsi"/>
                    <w:color w:val="7F7F7F"/>
                    <w:sz w:val="20"/>
                    <w:szCs w:val="20"/>
                  </w:rPr>
                  <w:fldChar w:fldCharType="end"/>
                </w:r>
                <w:r w:rsidRPr="006D37F2">
                  <w:rPr>
                    <w:rFonts w:asciiTheme="minorHAnsi" w:hAnsiTheme="minorHAnsi"/>
                    <w:sz w:val="22"/>
                    <w:szCs w:val="22"/>
                  </w:rPr>
                  <w:instrText>"</w:instrText>
                </w:r>
                <w:r w:rsidRPr="006D37F2">
                  <w:rPr>
                    <w:rFonts w:asciiTheme="minorHAnsi" w:hAnsiTheme="minorHAnsi"/>
                    <w:sz w:val="22"/>
                    <w:szCs w:val="22"/>
                  </w:rPr>
                  <w:fldChar w:fldCharType="separate"/>
                </w:r>
                <w:r w:rsidRPr="006D37F2">
                  <w:rPr>
                    <w:rFonts w:asciiTheme="minorHAnsi" w:hAnsiTheme="minorHAnsi"/>
                    <w:noProof/>
                    <w:sz w:val="22"/>
                    <w:szCs w:val="22"/>
                  </w:rPr>
                  <w:instrText xml:space="preserve">                    </w:instrText>
                </w:r>
                <w:r w:rsidRPr="006D37F2">
                  <w:rPr>
                    <w:rFonts w:asciiTheme="minorHAnsi" w:hAnsiTheme="minorHAnsi"/>
                    <w:noProof/>
                    <w:color w:val="7F7F7F"/>
                    <w:sz w:val="22"/>
                    <w:szCs w:val="22"/>
                  </w:rPr>
                  <w:fldChar w:fldCharType="begin"/>
                </w:r>
                <w:r w:rsidRPr="006D37F2">
                  <w:rPr>
                    <w:rFonts w:asciiTheme="minorHAnsi" w:hAnsiTheme="minorHAnsi"/>
                    <w:noProof/>
                    <w:color w:val="7F7F7F"/>
                    <w:sz w:val="22"/>
                    <w:szCs w:val="22"/>
                  </w:rPr>
                  <w:instrText xml:space="preserve"> MERGEFIELD  FINCR_NAME  \* MERGEFORMAT </w:instrText>
                </w:r>
                <w:r w:rsidRPr="006D37F2">
                  <w:rPr>
                    <w:rFonts w:asciiTheme="minorHAnsi" w:hAnsiTheme="minorHAnsi"/>
                    <w:noProof/>
                    <w:color w:val="7F7F7F"/>
                    <w:sz w:val="22"/>
                    <w:szCs w:val="22"/>
                  </w:rPr>
                  <w:fldChar w:fldCharType="separate"/>
                </w:r>
                <w:r w:rsidRPr="006D37F2">
                  <w:rPr>
                    <w:rFonts w:asciiTheme="minorHAnsi" w:hAnsiTheme="minorHAnsi"/>
                    <w:noProof/>
                    <w:color w:val="7F7F7F"/>
                    <w:sz w:val="22"/>
                    <w:szCs w:val="22"/>
                  </w:rPr>
                  <w:instrText>«FINCR_NAME»</w:instrText>
                </w:r>
                <w:r w:rsidRPr="006D37F2">
                  <w:rPr>
                    <w:rFonts w:asciiTheme="minorHAnsi" w:hAnsiTheme="minorHAnsi"/>
                    <w:noProof/>
                    <w:color w:val="7F7F7F"/>
                    <w:sz w:val="22"/>
                    <w:szCs w:val="22"/>
                  </w:rPr>
                  <w:fldChar w:fldCharType="end"/>
                </w:r>
                <w:r w:rsidRPr="006D37F2">
                  <w:rPr>
                    <w:rFonts w:asciiTheme="minorHAnsi" w:hAnsiTheme="minorHAnsi"/>
                    <w:sz w:val="22"/>
                    <w:szCs w:val="22"/>
                  </w:rPr>
                  <w:fldChar w:fldCharType="end"/>
                </w:r>
                <w:r w:rsidRPr="006D37F2">
                  <w:rPr>
                    <w:rFonts w:asciiTheme="minorHAnsi" w:hAnsiTheme="minorHAnsi"/>
                    <w:sz w:val="22"/>
                    <w:szCs w:val="22"/>
                  </w:rPr>
                  <w:instrText xml:space="preserve">"  </w:instrText>
                </w:r>
                <w:r w:rsidRPr="006D37F2">
                  <w:rPr>
                    <w:rFonts w:asciiTheme="minorHAnsi" w:hAnsiTheme="minorHAnsi"/>
                    <w:sz w:val="22"/>
                    <w:szCs w:val="22"/>
                  </w:rPr>
                  <w:fldChar w:fldCharType="separate"/>
                </w:r>
                <w:r w:rsidRPr="006D37F2">
                  <w:rPr>
                    <w:rFonts w:asciiTheme="minorHAnsi" w:hAnsiTheme="minorHAnsi"/>
                    <w:sz w:val="22"/>
                    <w:szCs w:val="22"/>
                  </w:rPr>
                  <w:instrText xml:space="preserve">     </w:instrText>
                </w:r>
                <w:r w:rsidRPr="006D37F2">
                  <w:rPr>
                    <w:rFonts w:asciiTheme="minorHAnsi" w:hAnsiTheme="minorHAnsi"/>
                    <w:noProof/>
                    <w:color w:val="595959"/>
                    <w:sz w:val="21"/>
                    <w:szCs w:val="21"/>
                  </w:rPr>
                  <w:instrText>80.00</w:instrText>
                </w:r>
                <w:r w:rsidRPr="006D37F2">
                  <w:rPr>
                    <w:rFonts w:asciiTheme="minorHAnsi" w:hAnsiTheme="minorHAnsi"/>
                    <w:sz w:val="22"/>
                    <w:szCs w:val="22"/>
                  </w:rPr>
                  <w:fldChar w:fldCharType="end"/>
                </w:r>
                <w:r w:rsidRPr="006D37F2">
                  <w:rPr>
                    <w:rFonts w:asciiTheme="minorHAnsi" w:hAnsiTheme="minorHAnsi"/>
                    <w:sz w:val="22"/>
                    <w:szCs w:val="22"/>
                  </w:rPr>
                  <w:instrText xml:space="preserve">"  </w:instrText>
                </w:r>
                <w:r w:rsidRPr="006D37F2">
                  <w:rPr>
                    <w:rFonts w:asciiTheme="minorHAnsi" w:hAnsiTheme="minorHAnsi"/>
                    <w:sz w:val="22"/>
                    <w:szCs w:val="22"/>
                  </w:rPr>
                  <w:fldChar w:fldCharType="separate"/>
                </w:r>
                <w:r w:rsidRPr="006D37F2">
                  <w:rPr>
                    <w:rFonts w:asciiTheme="minorHAnsi" w:hAnsiTheme="minorHAnsi"/>
                    <w:sz w:val="22"/>
                    <w:szCs w:val="22"/>
                  </w:rPr>
                  <w:t xml:space="preserve">     </w:t>
                </w:r>
                <w:r w:rsidRPr="006D37F2">
                  <w:rPr>
                    <w:rFonts w:asciiTheme="minorHAnsi" w:hAnsiTheme="minorHAnsi"/>
                    <w:noProof/>
                    <w:color w:val="595959"/>
                    <w:sz w:val="21"/>
                    <w:szCs w:val="21"/>
                  </w:rPr>
                  <w:t>80.00</w:t>
                </w:r>
                <w:r w:rsidRPr="006D37F2">
                  <w:rPr>
                    <w:rFonts w:asciiTheme="minorHAnsi" w:hAnsiTheme="minorHAnsi"/>
                    <w:sz w:val="22"/>
                    <w:szCs w:val="22"/>
                  </w:rPr>
                  <w:fldChar w:fldCharType="end"/>
                </w:r>
                <w:r>
                  <w:rPr>
                    <w:rFonts w:asciiTheme="minorHAnsi" w:hAnsiTheme="minorHAnsi"/>
                    <w:sz w:val="22"/>
                    <w:szCs w:val="22"/>
                  </w:rPr>
                  <w:t xml:space="preserve"> </w:t>
                </w:r>
              </w:p>
            </w:tc>
          </w:tr>
        </w:tbl>
        <w:p w14:paraId="43B8CBEF" w14:textId="77777777" w:rsidR="002A5BEC" w:rsidRDefault="002A5BEC" w:rsidP="00E14432">
          <w:pPr>
            <w:shd w:val="clear" w:color="auto" w:fill="F7F7F7"/>
            <w:ind w:left="-691" w:right="-518"/>
            <w:rPr>
              <w:rFonts w:asciiTheme="minorHAnsi" w:hAnsiTheme="minorHAnsi"/>
              <w:color w:val="767171" w:themeColor="background2" w:themeShade="80"/>
              <w:sz w:val="22"/>
              <w:szCs w:val="22"/>
            </w:rPr>
          </w:pPr>
        </w:p>
        <w:tbl>
          <w:tblPr>
            <w:tblStyle w:val="TableGrid42"/>
            <w:tblW w:w="10620" w:type="dxa"/>
            <w:tblInd w:w="-720" w:type="dxa"/>
            <w:tblBorders>
              <w:top w:val="none" w:sz="0" w:space="0" w:color="auto"/>
              <w:left w:val="none" w:sz="0" w:space="0" w:color="auto"/>
              <w:bottom w:val="none" w:sz="0" w:space="0" w:color="auto"/>
              <w:right w:val="none" w:sz="0" w:space="0" w:color="auto"/>
              <w:insideH w:val="nil"/>
              <w:insideV w:val="nil"/>
            </w:tblBorders>
            <w:shd w:val="clear" w:color="auto" w:fill="F7F7F7"/>
            <w:tblLayout w:type="fixed"/>
            <w:tblCellMar>
              <w:left w:w="0" w:type="dxa"/>
              <w:right w:w="0" w:type="dxa"/>
            </w:tblCellMar>
            <w:tblLook w:val="04A0" w:firstRow="1" w:lastRow="0" w:firstColumn="1" w:lastColumn="0" w:noHBand="0" w:noVBand="1"/>
          </w:tblPr>
          <w:tblGrid>
            <w:gridCol w:w="4230"/>
            <w:gridCol w:w="2070"/>
            <w:gridCol w:w="2070"/>
            <w:gridCol w:w="2250"/>
          </w:tblGrid>
          <w:tr w:rsidR="004F0F3F" w14:paraId="41A7EBB8" w14:textId="77777777" w:rsidTr="004E3970">
            <w:trPr>
              <w:trHeight w:val="374"/>
            </w:trPr>
            <w:tc>
              <w:tcPr>
                <w:tcW w:w="10620" w:type="dxa"/>
                <w:gridSpan w:val="4"/>
                <w:tcBorders>
                  <w:top w:val="nil"/>
                  <w:left w:val="nil"/>
                  <w:bottom w:val="single" w:sz="4" w:space="0" w:color="D9D9D9" w:themeColor="background1" w:themeShade="D9"/>
                  <w:right w:val="nil"/>
                </w:tcBorders>
                <w:shd w:val="clear" w:color="auto" w:fill="F7F7F7"/>
                <w:hideMark/>
              </w:tcPr>
              <w:p w14:paraId="237459DB" w14:textId="77777777" w:rsidR="004E3970" w:rsidRDefault="00880CEC">
                <w:pPr>
                  <w:pStyle w:val="Normal102"/>
                  <w:keepNext/>
                  <w:widowControl/>
                  <w:ind w:left="90"/>
                  <w:rPr>
                    <w:rFonts w:asciiTheme="minorHAnsi" w:hAnsiTheme="minorHAnsi"/>
                    <w:color w:val="7F7F7F" w:themeColor="text1" w:themeTint="80"/>
                    <w:sz w:val="22"/>
                    <w:szCs w:val="22"/>
                  </w:rPr>
                </w:pPr>
                <w:r>
                  <w:rPr>
                    <w:rFonts w:ascii="Calibri" w:hAnsi="Calibri"/>
                    <w:b/>
                    <w:color w:val="172D5F"/>
                    <w:sz w:val="22"/>
                    <w:szCs w:val="22"/>
                  </w:rPr>
                  <w:t>IDA Resources (in US$, Millions)</w:t>
                </w:r>
              </w:p>
            </w:tc>
          </w:tr>
          <w:tr w:rsidR="004F0F3F" w14:paraId="23431955" w14:textId="77777777" w:rsidTr="004E3970">
            <w:trPr>
              <w:trHeight w:val="432"/>
            </w:trPr>
            <w:tc>
              <w:tcPr>
                <w:tcW w:w="42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tcPr>
              <w:p w14:paraId="620ABE6B" w14:textId="77777777" w:rsidR="004E3970" w:rsidRDefault="004E3970">
                <w:pPr>
                  <w:pStyle w:val="Normal102"/>
                  <w:keepNext/>
                  <w:widowControl/>
                  <w:ind w:right="180"/>
                  <w:jc w:val="right"/>
                  <w:rPr>
                    <w:rFonts w:ascii="Calibri" w:hAnsi="Calibri" w:cs="Calibri"/>
                    <w:noProof/>
                    <w:color w:val="auto"/>
                    <w:sz w:val="22"/>
                    <w:szCs w:val="22"/>
                  </w:rPr>
                </w:pPr>
              </w:p>
            </w:tc>
            <w:tc>
              <w:tcPr>
                <w:tcW w:w="2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hideMark/>
              </w:tcPr>
              <w:p w14:paraId="51380123" w14:textId="77777777" w:rsidR="004E3970" w:rsidRDefault="00880CEC">
                <w:pPr>
                  <w:pStyle w:val="Normal102"/>
                  <w:keepNext/>
                  <w:widowControl/>
                  <w:ind w:right="180"/>
                  <w:jc w:val="right"/>
                  <w:rPr>
                    <w:rFonts w:ascii="Calibri" w:hAnsi="Calibri" w:cs="Calibri"/>
                    <w:noProof/>
                    <w:color w:val="auto"/>
                    <w:sz w:val="22"/>
                    <w:szCs w:val="22"/>
                  </w:rPr>
                </w:pPr>
                <w:r>
                  <w:rPr>
                    <w:rFonts w:ascii="Calibri" w:hAnsi="Calibri" w:cs="Calibri"/>
                    <w:b/>
                    <w:noProof/>
                    <w:color w:val="595959"/>
                    <w:sz w:val="22"/>
                    <w:szCs w:val="22"/>
                  </w:rPr>
                  <w:t>Credit Amount</w:t>
                </w:r>
              </w:p>
            </w:tc>
            <w:tc>
              <w:tcPr>
                <w:tcW w:w="2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hideMark/>
              </w:tcPr>
              <w:p w14:paraId="6C9075A0" w14:textId="77777777" w:rsidR="004E3970" w:rsidRDefault="00880CEC">
                <w:pPr>
                  <w:pStyle w:val="Normal102"/>
                  <w:keepNext/>
                  <w:widowControl/>
                  <w:ind w:right="144"/>
                  <w:jc w:val="right"/>
                  <w:rPr>
                    <w:rFonts w:ascii="Calibri" w:hAnsi="Calibri" w:cs="Calibri"/>
                    <w:noProof/>
                    <w:color w:val="auto"/>
                    <w:sz w:val="22"/>
                    <w:szCs w:val="22"/>
                  </w:rPr>
                </w:pPr>
                <w:r>
                  <w:rPr>
                    <w:rFonts w:ascii="Calibri" w:hAnsi="Calibri" w:cs="Calibri"/>
                    <w:b/>
                    <w:noProof/>
                    <w:color w:val="595959"/>
                    <w:sz w:val="22"/>
                    <w:szCs w:val="22"/>
                  </w:rPr>
                  <w:t>Grant Amount</w:t>
                </w:r>
              </w:p>
            </w:tc>
            <w:tc>
              <w:tcPr>
                <w:tcW w:w="2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hideMark/>
              </w:tcPr>
              <w:p w14:paraId="7CFD7A20" w14:textId="77777777" w:rsidR="004E3970" w:rsidRDefault="00880CEC">
                <w:pPr>
                  <w:pStyle w:val="Normal102"/>
                  <w:keepNext/>
                  <w:widowControl/>
                  <w:ind w:right="144"/>
                  <w:jc w:val="right"/>
                  <w:rPr>
                    <w:rFonts w:ascii="Calibri" w:hAnsi="Calibri" w:cs="Calibri"/>
                    <w:noProof/>
                    <w:color w:val="auto"/>
                    <w:sz w:val="22"/>
                    <w:szCs w:val="22"/>
                  </w:rPr>
                </w:pPr>
                <w:r>
                  <w:rPr>
                    <w:rFonts w:ascii="Calibri" w:hAnsi="Calibri" w:cs="Calibri"/>
                    <w:b/>
                    <w:noProof/>
                    <w:color w:val="595959"/>
                    <w:sz w:val="22"/>
                    <w:szCs w:val="22"/>
                  </w:rPr>
                  <w:t>Total Amount</w:t>
                </w:r>
              </w:p>
            </w:tc>
          </w:tr>
          <w:tr w:rsidR="004F0F3F" w14:paraId="75276B40" w14:textId="77777777" w:rsidTr="004E3970">
            <w:trPr>
              <w:trHeight w:val="432"/>
            </w:trPr>
            <w:tc>
              <w:tcPr>
                <w:tcW w:w="42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hideMark/>
              </w:tcPr>
              <w:p w14:paraId="602FA785" w14:textId="77777777" w:rsidR="004E3970" w:rsidRDefault="00880CEC">
                <w:pPr>
                  <w:pStyle w:val="Normal102"/>
                  <w:keepNext/>
                  <w:widowControl/>
                  <w:ind w:right="90"/>
                  <w:rPr>
                    <w:rFonts w:ascii="Calibri" w:hAnsi="Calibri" w:cs="Calibri"/>
                    <w:noProof/>
                    <w:color w:val="auto"/>
                    <w:sz w:val="22"/>
                    <w:szCs w:val="22"/>
                  </w:rPr>
                </w:pPr>
                <w:r>
                  <w:rPr>
                    <w:rFonts w:ascii="Calibri" w:eastAsia="Calibri" w:hAnsi="Calibri" w:cs="Calibri"/>
                    <w:b/>
                    <w:bCs/>
                    <w:noProof/>
                    <w:sz w:val="22"/>
                    <w:szCs w:val="22"/>
                  </w:rPr>
                  <w:t>Tajikistan</w:t>
                </w:r>
              </w:p>
            </w:tc>
            <w:tc>
              <w:tcPr>
                <w:tcW w:w="2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hideMark/>
              </w:tcPr>
              <w:p w14:paraId="1F3A8AC3" w14:textId="77777777" w:rsidR="004E3970" w:rsidRDefault="00880CEC">
                <w:pPr>
                  <w:pStyle w:val="Normal102"/>
                  <w:keepNext/>
                  <w:widowControl/>
                  <w:ind w:right="90"/>
                  <w:jc w:val="right"/>
                  <w:rPr>
                    <w:rFonts w:ascii="Calibri" w:hAnsi="Calibri" w:cs="Calibri"/>
                    <w:noProof/>
                    <w:color w:val="auto"/>
                    <w:sz w:val="22"/>
                    <w:szCs w:val="22"/>
                  </w:rPr>
                </w:pPr>
                <w:r>
                  <w:rPr>
                    <w:rFonts w:asciiTheme="minorHAnsi" w:hAnsiTheme="minorHAnsi" w:cstheme="minorHAnsi"/>
                    <w:noProof/>
                    <w:sz w:val="22"/>
                    <w:szCs w:val="22"/>
                  </w:rPr>
                  <w:t xml:space="preserve">   0.00</w:t>
                </w:r>
              </w:p>
            </w:tc>
            <w:tc>
              <w:tcPr>
                <w:tcW w:w="2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hideMark/>
              </w:tcPr>
              <w:p w14:paraId="23EA0E78" w14:textId="77777777" w:rsidR="004E3970" w:rsidRDefault="00880CEC">
                <w:pPr>
                  <w:pStyle w:val="Normal102"/>
                  <w:keepNext/>
                  <w:widowControl/>
                  <w:tabs>
                    <w:tab w:val="left" w:pos="2506"/>
                  </w:tabs>
                  <w:ind w:right="144"/>
                  <w:jc w:val="right"/>
                  <w:rPr>
                    <w:rFonts w:ascii="Calibri" w:hAnsi="Calibri" w:cs="Calibri"/>
                    <w:noProof/>
                    <w:color w:val="auto"/>
                    <w:sz w:val="22"/>
                    <w:szCs w:val="22"/>
                  </w:rPr>
                </w:pPr>
                <w:r>
                  <w:rPr>
                    <w:rFonts w:asciiTheme="minorHAnsi" w:hAnsiTheme="minorHAnsi" w:cstheme="minorHAnsi"/>
                    <w:noProof/>
                    <w:sz w:val="22"/>
                    <w:szCs w:val="22"/>
                  </w:rPr>
                  <w:t xml:space="preserve">  80.00</w:t>
                </w:r>
              </w:p>
            </w:tc>
            <w:tc>
              <w:tcPr>
                <w:tcW w:w="2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hideMark/>
              </w:tcPr>
              <w:p w14:paraId="6539CAD6" w14:textId="77777777" w:rsidR="004E3970" w:rsidRDefault="00880CEC">
                <w:pPr>
                  <w:pStyle w:val="Normal102"/>
                  <w:keepNext/>
                  <w:widowControl/>
                  <w:ind w:right="91"/>
                  <w:jc w:val="right"/>
                  <w:rPr>
                    <w:rFonts w:ascii="Calibri" w:hAnsi="Calibri" w:cs="Calibri"/>
                    <w:noProof/>
                    <w:color w:val="auto"/>
                    <w:sz w:val="22"/>
                    <w:szCs w:val="22"/>
                  </w:rPr>
                </w:pPr>
                <w:r>
                  <w:rPr>
                    <w:rFonts w:asciiTheme="minorHAnsi" w:hAnsiTheme="minorHAnsi" w:cstheme="minorHAnsi"/>
                    <w:noProof/>
                    <w:sz w:val="22"/>
                    <w:szCs w:val="22"/>
                  </w:rPr>
                  <w:t xml:space="preserve">  80.00</w:t>
                </w:r>
              </w:p>
            </w:tc>
          </w:tr>
          <w:tr w:rsidR="004F0F3F" w14:paraId="44C6534D" w14:textId="77777777" w:rsidTr="004E3970">
            <w:trPr>
              <w:trHeight w:val="432"/>
            </w:trPr>
            <w:tc>
              <w:tcPr>
                <w:tcW w:w="42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hideMark/>
              </w:tcPr>
              <w:p w14:paraId="044A6B97" w14:textId="77777777" w:rsidR="004F0F3F" w:rsidRDefault="00880CEC">
                <w:pPr>
                  <w:pStyle w:val="Normal102"/>
                  <w:keepNext/>
                  <w:widowControl/>
                  <w:ind w:left="300" w:right="90"/>
                  <w:rPr>
                    <w:rFonts w:asciiTheme="minorHAnsi" w:eastAsiaTheme="minorHAnsi" w:hAnsiTheme="minorHAnsi" w:cstheme="minorHAnsi"/>
                    <w:noProof/>
                    <w:color w:val="auto"/>
                    <w:sz w:val="22"/>
                    <w:szCs w:val="22"/>
                  </w:rPr>
                </w:pPr>
                <w:r>
                  <w:rPr>
                    <w:rFonts w:ascii="Calibri" w:eastAsia="Calibri" w:hAnsi="Calibri" w:cs="Calibri"/>
                    <w:noProof/>
                    <w:sz w:val="22"/>
                    <w:szCs w:val="22"/>
                  </w:rPr>
                  <w:t>National PBA</w:t>
                </w:r>
              </w:p>
            </w:tc>
            <w:tc>
              <w:tcPr>
                <w:tcW w:w="2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hideMark/>
              </w:tcPr>
              <w:p w14:paraId="360E44B7" w14:textId="77777777" w:rsidR="004E3970" w:rsidRDefault="00880CEC">
                <w:pPr>
                  <w:pStyle w:val="Normal102"/>
                  <w:keepNext/>
                  <w:widowControl/>
                  <w:ind w:right="90"/>
                  <w:jc w:val="right"/>
                  <w:rPr>
                    <w:rFonts w:ascii="Calibri" w:hAnsi="Calibri" w:cs="Calibri"/>
                    <w:noProof/>
                    <w:color w:val="auto"/>
                    <w:sz w:val="22"/>
                    <w:szCs w:val="22"/>
                  </w:rPr>
                </w:pPr>
                <w:r>
                  <w:rPr>
                    <w:rFonts w:asciiTheme="minorHAnsi" w:hAnsiTheme="minorHAnsi" w:cstheme="minorHAnsi"/>
                    <w:noProof/>
                    <w:sz w:val="22"/>
                    <w:szCs w:val="22"/>
                  </w:rPr>
                  <w:t xml:space="preserve">   0.00</w:t>
                </w:r>
              </w:p>
            </w:tc>
            <w:tc>
              <w:tcPr>
                <w:tcW w:w="2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hideMark/>
              </w:tcPr>
              <w:p w14:paraId="5C6EF78C" w14:textId="77777777" w:rsidR="004E3970" w:rsidRDefault="00880CEC">
                <w:pPr>
                  <w:pStyle w:val="Normal102"/>
                  <w:keepNext/>
                  <w:widowControl/>
                  <w:tabs>
                    <w:tab w:val="left" w:pos="2506"/>
                  </w:tabs>
                  <w:ind w:right="144"/>
                  <w:jc w:val="right"/>
                  <w:rPr>
                    <w:rFonts w:ascii="Calibri" w:hAnsi="Calibri" w:cs="Calibri"/>
                    <w:noProof/>
                    <w:color w:val="auto"/>
                    <w:sz w:val="22"/>
                    <w:szCs w:val="22"/>
                  </w:rPr>
                </w:pPr>
                <w:r>
                  <w:rPr>
                    <w:rFonts w:asciiTheme="minorHAnsi" w:hAnsiTheme="minorHAnsi" w:cstheme="minorHAnsi"/>
                    <w:noProof/>
                    <w:sz w:val="22"/>
                    <w:szCs w:val="22"/>
                  </w:rPr>
                  <w:t xml:space="preserve">  80.00</w:t>
                </w:r>
              </w:p>
            </w:tc>
            <w:tc>
              <w:tcPr>
                <w:tcW w:w="2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hideMark/>
              </w:tcPr>
              <w:p w14:paraId="281B923F" w14:textId="77777777" w:rsidR="004E3970" w:rsidRDefault="00880CEC">
                <w:pPr>
                  <w:pStyle w:val="Normal102"/>
                  <w:keepNext/>
                  <w:widowControl/>
                  <w:ind w:right="91"/>
                  <w:jc w:val="right"/>
                  <w:rPr>
                    <w:rFonts w:ascii="Calibri" w:hAnsi="Calibri" w:cs="Calibri"/>
                    <w:noProof/>
                    <w:color w:val="auto"/>
                    <w:sz w:val="22"/>
                    <w:szCs w:val="22"/>
                  </w:rPr>
                </w:pPr>
                <w:r>
                  <w:rPr>
                    <w:rFonts w:asciiTheme="minorHAnsi" w:hAnsiTheme="minorHAnsi" w:cstheme="minorHAnsi"/>
                    <w:noProof/>
                    <w:sz w:val="22"/>
                    <w:szCs w:val="22"/>
                  </w:rPr>
                  <w:t xml:space="preserve">  80.00</w:t>
                </w:r>
              </w:p>
            </w:tc>
          </w:tr>
          <w:tr w:rsidR="004F0F3F" w14:paraId="2008E5ED" w14:textId="77777777" w:rsidTr="004E3970">
            <w:trPr>
              <w:trHeight w:val="432"/>
            </w:trPr>
            <w:tc>
              <w:tcPr>
                <w:tcW w:w="42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hideMark/>
              </w:tcPr>
              <w:p w14:paraId="077697B4" w14:textId="77777777" w:rsidR="004E3970" w:rsidRDefault="00880CEC">
                <w:pPr>
                  <w:pStyle w:val="Normal102"/>
                  <w:ind w:right="75"/>
                  <w:rPr>
                    <w:rFonts w:asciiTheme="minorHAnsi" w:hAnsiTheme="minorHAnsi" w:cstheme="minorHAnsi"/>
                    <w:b/>
                    <w:sz w:val="22"/>
                    <w:szCs w:val="22"/>
                  </w:rPr>
                </w:pPr>
                <w:r>
                  <w:rPr>
                    <w:rFonts w:ascii="Calibri" w:hAnsi="Calibri" w:cs="Calibri"/>
                    <w:b/>
                    <w:noProof/>
                    <w:color w:val="auto"/>
                    <w:sz w:val="22"/>
                    <w:szCs w:val="22"/>
                  </w:rPr>
                  <w:t>Total</w:t>
                </w:r>
              </w:p>
            </w:tc>
            <w:tc>
              <w:tcPr>
                <w:tcW w:w="2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hideMark/>
              </w:tcPr>
              <w:p w14:paraId="6BA688FD" w14:textId="77777777" w:rsidR="004E3970" w:rsidRDefault="00880CEC">
                <w:pPr>
                  <w:pStyle w:val="Normal102"/>
                  <w:ind w:right="75"/>
                  <w:jc w:val="right"/>
                  <w:rPr>
                    <w:rFonts w:asciiTheme="minorHAnsi" w:hAnsiTheme="minorHAnsi" w:cstheme="minorHAnsi"/>
                    <w:b/>
                    <w:sz w:val="22"/>
                    <w:szCs w:val="22"/>
                  </w:rPr>
                </w:pPr>
                <w:r>
                  <w:rPr>
                    <w:rFonts w:asciiTheme="minorHAnsi" w:hAnsiTheme="minorHAnsi" w:cstheme="minorHAnsi"/>
                    <w:b/>
                    <w:noProof/>
                    <w:sz w:val="22"/>
                    <w:szCs w:val="22"/>
                  </w:rPr>
                  <w:t xml:space="preserve">   0.00</w:t>
                </w:r>
              </w:p>
            </w:tc>
            <w:tc>
              <w:tcPr>
                <w:tcW w:w="2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hideMark/>
              </w:tcPr>
              <w:p w14:paraId="6EE23F61" w14:textId="77777777" w:rsidR="004E3970" w:rsidRDefault="00880CEC">
                <w:pPr>
                  <w:pStyle w:val="Normal102"/>
                  <w:ind w:right="150"/>
                  <w:jc w:val="right"/>
                  <w:rPr>
                    <w:rFonts w:asciiTheme="minorHAnsi" w:hAnsiTheme="minorHAnsi" w:cstheme="minorHAnsi"/>
                    <w:b/>
                    <w:sz w:val="22"/>
                    <w:szCs w:val="22"/>
                  </w:rPr>
                </w:pPr>
                <w:r>
                  <w:rPr>
                    <w:rFonts w:asciiTheme="minorHAnsi" w:hAnsiTheme="minorHAnsi" w:cstheme="minorHAnsi"/>
                    <w:b/>
                    <w:noProof/>
                    <w:sz w:val="22"/>
                    <w:szCs w:val="22"/>
                  </w:rPr>
                  <w:t xml:space="preserve">  80.00</w:t>
                </w:r>
              </w:p>
            </w:tc>
            <w:tc>
              <w:tcPr>
                <w:tcW w:w="2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hideMark/>
              </w:tcPr>
              <w:p w14:paraId="78A6549C" w14:textId="77777777" w:rsidR="004E3970" w:rsidRDefault="00880CEC">
                <w:pPr>
                  <w:pStyle w:val="Normal102"/>
                  <w:ind w:right="91"/>
                  <w:jc w:val="right"/>
                  <w:rPr>
                    <w:rFonts w:asciiTheme="minorHAnsi" w:hAnsiTheme="minorHAnsi" w:cstheme="minorHAnsi"/>
                    <w:b/>
                    <w:noProof/>
                    <w:sz w:val="22"/>
                    <w:szCs w:val="22"/>
                  </w:rPr>
                </w:pPr>
                <w:r>
                  <w:rPr>
                    <w:rFonts w:asciiTheme="minorHAnsi" w:hAnsiTheme="minorHAnsi" w:cstheme="minorHAnsi"/>
                    <w:b/>
                    <w:noProof/>
                    <w:sz w:val="22"/>
                    <w:szCs w:val="22"/>
                  </w:rPr>
                  <w:t xml:space="preserve">  80.00</w:t>
                </w:r>
              </w:p>
            </w:tc>
          </w:tr>
          <w:tr w:rsidR="004F0F3F" w14:paraId="2A3B80B5" w14:textId="77777777" w:rsidTr="004E3970">
            <w:trPr>
              <w:trHeight w:val="144"/>
            </w:trPr>
            <w:tc>
              <w:tcPr>
                <w:tcW w:w="4230" w:type="dxa"/>
                <w:tcBorders>
                  <w:top w:val="single" w:sz="4" w:space="0" w:color="D9D9D9" w:themeColor="background1" w:themeShade="D9"/>
                  <w:left w:val="nil"/>
                  <w:bottom w:val="nil"/>
                  <w:right w:val="nil"/>
                </w:tcBorders>
                <w:shd w:val="clear" w:color="auto" w:fill="F7F7F7"/>
              </w:tcPr>
              <w:p w14:paraId="10697550" w14:textId="77777777" w:rsidR="004E3970" w:rsidRDefault="004E3970">
                <w:pPr>
                  <w:pStyle w:val="Normal102"/>
                  <w:ind w:right="91"/>
                  <w:jc w:val="right"/>
                  <w:rPr>
                    <w:rFonts w:asciiTheme="minorHAnsi" w:hAnsiTheme="minorHAnsi" w:cstheme="minorHAnsi"/>
                    <w:b/>
                    <w:noProof/>
                    <w:sz w:val="22"/>
                    <w:szCs w:val="22"/>
                  </w:rPr>
                </w:pPr>
              </w:p>
            </w:tc>
            <w:tc>
              <w:tcPr>
                <w:tcW w:w="6390" w:type="dxa"/>
                <w:gridSpan w:val="3"/>
                <w:tcBorders>
                  <w:top w:val="single" w:sz="4" w:space="0" w:color="D9D9D9" w:themeColor="background1" w:themeShade="D9"/>
                  <w:left w:val="nil"/>
                  <w:bottom w:val="nil"/>
                  <w:right w:val="nil"/>
                </w:tcBorders>
                <w:shd w:val="clear" w:color="auto" w:fill="F7F7F7"/>
                <w:vAlign w:val="center"/>
              </w:tcPr>
              <w:p w14:paraId="38C64B17" w14:textId="77777777" w:rsidR="004E3970" w:rsidRDefault="004E3970">
                <w:pPr>
                  <w:pStyle w:val="Normal102"/>
                  <w:ind w:right="91"/>
                  <w:jc w:val="right"/>
                  <w:rPr>
                    <w:rFonts w:asciiTheme="minorHAnsi" w:hAnsiTheme="minorHAnsi" w:cstheme="minorHAnsi"/>
                    <w:b/>
                    <w:noProof/>
                    <w:sz w:val="22"/>
                    <w:szCs w:val="22"/>
                  </w:rPr>
                </w:pPr>
              </w:p>
            </w:tc>
          </w:tr>
        </w:tbl>
        <w:p w14:paraId="47C560F1" w14:textId="77777777" w:rsidR="004E3970" w:rsidRDefault="004E3970" w:rsidP="004E3970">
          <w:pPr>
            <w:shd w:val="clear" w:color="auto" w:fill="F7F7F7"/>
            <w:spacing w:line="14" w:lineRule="exact"/>
            <w:ind w:left="-691" w:right="-518"/>
            <w:rPr>
              <w:rFonts w:asciiTheme="minorHAnsi" w:hAnsiTheme="minorHAnsi"/>
              <w:color w:val="767171" w:themeColor="background2" w:themeShade="80"/>
              <w:sz w:val="22"/>
              <w:szCs w:val="22"/>
            </w:rPr>
          </w:pPr>
        </w:p>
        <w:tbl>
          <w:tblPr>
            <w:tblW w:w="10642" w:type="dxa"/>
            <w:tblInd w:w="-743" w:type="dxa"/>
            <w:tblBorders>
              <w:left w:val="single" w:sz="24" w:space="0" w:color="BFBFBF"/>
            </w:tblBorders>
            <w:shd w:val="clear" w:color="auto" w:fill="F2F2F2"/>
            <w:tblLook w:val="04A0" w:firstRow="1" w:lastRow="0" w:firstColumn="1" w:lastColumn="0" w:noHBand="0" w:noVBand="1"/>
          </w:tblPr>
          <w:tblGrid>
            <w:gridCol w:w="10642"/>
          </w:tblGrid>
          <w:tr w:rsidR="004F0F3F" w14:paraId="72902730" w14:textId="77777777" w:rsidTr="005A12FB">
            <w:trPr>
              <w:trHeight w:val="432"/>
            </w:trPr>
            <w:tc>
              <w:tcPr>
                <w:tcW w:w="10642" w:type="dxa"/>
                <w:shd w:val="clear" w:color="auto" w:fill="F2F2F2"/>
                <w:vAlign w:val="center"/>
              </w:tcPr>
              <w:p w14:paraId="7A24D870" w14:textId="77777777" w:rsidR="00CB7845" w:rsidRPr="00556A3F" w:rsidRDefault="00880CEC" w:rsidP="004D3D80">
                <w:pPr>
                  <w:keepNext/>
                  <w:shd w:val="clear" w:color="auto" w:fill="F2F2F2"/>
                  <w:tabs>
                    <w:tab w:val="left" w:pos="90"/>
                  </w:tabs>
                  <w:ind w:right="-162"/>
                  <w:rPr>
                    <w:rFonts w:ascii="Calibri" w:hAnsi="Calibri"/>
                    <w:b/>
                    <w:bCs/>
                    <w:color w:val="172D5F"/>
                    <w:sz w:val="22"/>
                    <w:szCs w:val="22"/>
                  </w:rPr>
                </w:pPr>
                <w:r w:rsidRPr="00E551AE">
                  <w:rPr>
                    <w:rFonts w:ascii="Calibri" w:hAnsi="Calibri"/>
                    <w:b/>
                    <w:bCs/>
                  </w:rPr>
                  <w:t>COMPLIANCE</w:t>
                </w:r>
              </w:p>
            </w:tc>
          </w:tr>
        </w:tbl>
        <w:p w14:paraId="1F3C48DC" w14:textId="77777777" w:rsidR="00CB7845" w:rsidRDefault="00CB7845" w:rsidP="008F05B1">
          <w:pPr>
            <w:keepNext/>
            <w:shd w:val="clear" w:color="auto" w:fill="F7F7F7"/>
            <w:spacing w:line="14" w:lineRule="exact"/>
            <w:ind w:left="-691" w:right="-518"/>
            <w:rPr>
              <w:rFonts w:asciiTheme="minorHAnsi" w:hAnsiTheme="minorHAnsi"/>
              <w:color w:val="767171" w:themeColor="background2" w:themeShade="80"/>
              <w:sz w:val="22"/>
              <w:szCs w:val="22"/>
            </w:rPr>
          </w:pPr>
        </w:p>
        <w:tbl>
          <w:tblPr>
            <w:tblStyle w:val="TableGrid"/>
            <w:tblW w:w="1065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ook w:val="04A0" w:firstRow="1" w:lastRow="0" w:firstColumn="1" w:lastColumn="0" w:noHBand="0" w:noVBand="1"/>
          </w:tblPr>
          <w:tblGrid>
            <w:gridCol w:w="10656"/>
          </w:tblGrid>
          <w:tr w:rsidR="004F0F3F" w14:paraId="06600A61" w14:textId="77777777" w:rsidTr="00257632">
            <w:trPr>
              <w:trHeight w:val="450"/>
            </w:trPr>
            <w:tc>
              <w:tcPr>
                <w:tcW w:w="10656" w:type="dxa"/>
                <w:shd w:val="clear" w:color="auto" w:fill="F7F7F7"/>
              </w:tcPr>
              <w:p w14:paraId="66C3F377" w14:textId="77777777" w:rsidR="00391FF7" w:rsidRPr="00820384" w:rsidRDefault="00880CEC" w:rsidP="00345057">
                <w:pPr>
                  <w:keepNext/>
                  <w:ind w:right="-518"/>
                  <w:rPr>
                    <w:rFonts w:asciiTheme="minorHAnsi" w:hAnsiTheme="minorHAnsi"/>
                    <w:color w:val="767171"/>
                    <w:sz w:val="22"/>
                    <w:szCs w:val="22"/>
                  </w:rPr>
                </w:pPr>
                <w:r w:rsidRPr="001A761C">
                  <w:rPr>
                    <w:rFonts w:asciiTheme="minorHAnsi" w:hAnsiTheme="minorHAnsi"/>
                    <w:b/>
                    <w:bCs/>
                    <w:color w:val="002060"/>
                    <w:sz w:val="22"/>
                    <w:szCs w:val="22"/>
                  </w:rPr>
                  <w:t>Polic</w:t>
                </w:r>
                <w:r>
                  <w:rPr>
                    <w:rFonts w:asciiTheme="minorHAnsi" w:hAnsiTheme="minorHAnsi"/>
                    <w:b/>
                    <w:bCs/>
                    <w:color w:val="002060"/>
                    <w:sz w:val="22"/>
                    <w:szCs w:val="22"/>
                  </w:rPr>
                  <w:t>y</w:t>
                </w:r>
              </w:p>
            </w:tc>
          </w:tr>
          <w:tr w:rsidR="004F0F3F" w14:paraId="14EA00E8" w14:textId="77777777" w:rsidTr="00257632">
            <w:trPr>
              <w:trHeight w:val="1012"/>
            </w:trPr>
            <w:tc>
              <w:tcPr>
                <w:tcW w:w="10656" w:type="dxa"/>
                <w:shd w:val="clear" w:color="auto" w:fill="F7F7F7"/>
                <w:vAlign w:val="center"/>
              </w:tcPr>
              <w:p w14:paraId="2D7ADF2A" w14:textId="77777777" w:rsidR="00391FF7" w:rsidRDefault="00880CEC" w:rsidP="00345057">
                <w:pPr>
                  <w:shd w:val="clear" w:color="auto" w:fill="F7F7F7"/>
                  <w:tabs>
                    <w:tab w:val="right" w:pos="2447"/>
                  </w:tabs>
                  <w:spacing w:after="240"/>
                  <w:rPr>
                    <w:rFonts w:ascii="Calibri" w:hAnsi="Calibri"/>
                    <w:color w:val="767171"/>
                    <w:sz w:val="22"/>
                    <w:szCs w:val="22"/>
                  </w:rPr>
                </w:pPr>
                <w:r>
                  <w:rPr>
                    <w:rFonts w:ascii="Calibri" w:hAnsi="Calibri"/>
                    <w:color w:val="767171"/>
                    <w:sz w:val="22"/>
                    <w:szCs w:val="22"/>
                  </w:rPr>
                  <w:t>Has the parent Program been under implementation for at least 12 months?</w:t>
                </w:r>
              </w:p>
              <w:p w14:paraId="5DD02360" w14:textId="77777777" w:rsidR="00391FF7" w:rsidRPr="008C30B6" w:rsidRDefault="00880CEC" w:rsidP="00345057">
                <w:pPr>
                  <w:shd w:val="clear" w:color="auto" w:fill="F7F7F7"/>
                  <w:tabs>
                    <w:tab w:val="right" w:pos="2447"/>
                  </w:tabs>
                  <w:rPr>
                    <w:rFonts w:ascii="Calibri" w:hAnsi="Calibri"/>
                    <w:color w:val="767171"/>
                    <w:sz w:val="22"/>
                    <w:szCs w:val="22"/>
                  </w:rPr>
                </w:pPr>
                <w:r w:rsidRPr="00B60D93">
                  <w:rPr>
                    <w:rFonts w:ascii="Calibri" w:hAnsi="Calibri"/>
                    <w:noProof/>
                    <w:color w:val="auto"/>
                    <w:sz w:val="22"/>
                    <w:szCs w:val="22"/>
                  </w:rPr>
                  <w:t>Yes</w:t>
                </w:r>
              </w:p>
            </w:tc>
          </w:tr>
          <w:tr w:rsidR="004F0F3F" w14:paraId="3D7219F0" w14:textId="77777777" w:rsidTr="00257632">
            <w:trPr>
              <w:trHeight w:val="1155"/>
            </w:trPr>
            <w:tc>
              <w:tcPr>
                <w:tcW w:w="10656" w:type="dxa"/>
                <w:shd w:val="clear" w:color="auto" w:fill="F7F7F7"/>
                <w:vAlign w:val="bottom"/>
              </w:tcPr>
              <w:p w14:paraId="70316E63" w14:textId="77777777" w:rsidR="00391FF7" w:rsidRDefault="00880CEC" w:rsidP="00345057">
                <w:pPr>
                  <w:shd w:val="clear" w:color="auto" w:fill="F7F7F7"/>
                  <w:tabs>
                    <w:tab w:val="right" w:pos="2447"/>
                  </w:tabs>
                  <w:spacing w:after="240"/>
                  <w:rPr>
                    <w:rFonts w:ascii="Calibri" w:hAnsi="Calibri"/>
                    <w:color w:val="767171"/>
                    <w:sz w:val="22"/>
                    <w:szCs w:val="22"/>
                  </w:rPr>
                </w:pPr>
                <w:r>
                  <w:rPr>
                    <w:rFonts w:ascii="Calibri" w:hAnsi="Calibri"/>
                    <w:color w:val="767171"/>
                    <w:sz w:val="22"/>
                    <w:szCs w:val="22"/>
                  </w:rPr>
                  <w:t>Have the DO and IP ratings for the parent Program been rated moderately satisfactory or better for at least the last 12 months?</w:t>
                </w:r>
              </w:p>
              <w:p w14:paraId="3364CF51" w14:textId="77777777" w:rsidR="00391FF7" w:rsidRPr="00BC1779" w:rsidRDefault="00880CEC" w:rsidP="00345057">
                <w:pPr>
                  <w:shd w:val="clear" w:color="auto" w:fill="F7F7F7"/>
                  <w:tabs>
                    <w:tab w:val="right" w:pos="2447"/>
                  </w:tabs>
                  <w:spacing w:after="240"/>
                  <w:rPr>
                    <w:rFonts w:ascii="Calibri" w:hAnsi="Calibri"/>
                    <w:color w:val="auto"/>
                    <w:sz w:val="22"/>
                    <w:szCs w:val="22"/>
                  </w:rPr>
                </w:pPr>
                <w:r>
                  <w:rPr>
                    <w:rFonts w:ascii="Calibri" w:hAnsi="Calibri"/>
                    <w:noProof/>
                    <w:color w:val="auto"/>
                    <w:sz w:val="22"/>
                    <w:szCs w:val="22"/>
                  </w:rPr>
                  <w:t>Yes</w:t>
                </w:r>
              </w:p>
            </w:tc>
          </w:tr>
          <w:tr w:rsidR="004F0F3F" w14:paraId="6053F081" w14:textId="77777777" w:rsidTr="00257632">
            <w:trPr>
              <w:trHeight w:val="1155"/>
            </w:trPr>
            <w:tc>
              <w:tcPr>
                <w:tcW w:w="10656" w:type="dxa"/>
                <w:shd w:val="clear" w:color="auto" w:fill="F7F7F7"/>
                <w:vAlign w:val="bottom"/>
              </w:tcPr>
              <w:p w14:paraId="5D59D8EA" w14:textId="77777777" w:rsidR="00662393" w:rsidRDefault="00880CEC" w:rsidP="00345057">
                <w:pPr>
                  <w:shd w:val="clear" w:color="auto" w:fill="F7F7F7"/>
                  <w:tabs>
                    <w:tab w:val="right" w:pos="2447"/>
                  </w:tabs>
                  <w:spacing w:after="240"/>
                  <w:rPr>
                    <w:rFonts w:ascii="Calibri" w:hAnsi="Calibri"/>
                    <w:color w:val="767171"/>
                    <w:sz w:val="22"/>
                    <w:szCs w:val="22"/>
                  </w:rPr>
                </w:pPr>
                <w:r w:rsidRPr="00662393">
                  <w:rPr>
                    <w:rFonts w:ascii="Calibri" w:hAnsi="Calibri"/>
                    <w:color w:val="767171"/>
                    <w:sz w:val="22"/>
                    <w:szCs w:val="22"/>
                  </w:rPr>
                  <w:t>Does the pro</w:t>
                </w:r>
                <w:r w:rsidR="001E3DFE">
                  <w:rPr>
                    <w:rFonts w:ascii="Calibri" w:hAnsi="Calibri"/>
                    <w:color w:val="767171"/>
                    <w:sz w:val="22"/>
                    <w:szCs w:val="22"/>
                  </w:rPr>
                  <w:t>gram</w:t>
                </w:r>
                <w:r w:rsidRPr="00662393">
                  <w:rPr>
                    <w:rFonts w:ascii="Calibri" w:hAnsi="Calibri"/>
                    <w:color w:val="767171"/>
                    <w:sz w:val="22"/>
                    <w:szCs w:val="22"/>
                  </w:rPr>
                  <w:t xml:space="preserve"> depart from the CPF in content or in other significant respects?</w:t>
                </w:r>
              </w:p>
              <w:p w14:paraId="5AE362D8" w14:textId="77777777" w:rsidR="00662393" w:rsidRPr="00220F2B" w:rsidRDefault="00880CEC" w:rsidP="00345057">
                <w:pPr>
                  <w:shd w:val="clear" w:color="auto" w:fill="F7F7F7"/>
                  <w:tabs>
                    <w:tab w:val="right" w:pos="2447"/>
                  </w:tabs>
                  <w:spacing w:after="240"/>
                  <w:rPr>
                    <w:rFonts w:ascii="Calibri" w:hAnsi="Calibri"/>
                    <w:color w:val="767171"/>
                    <w:sz w:val="22"/>
                    <w:szCs w:val="22"/>
                  </w:rPr>
                </w:pPr>
                <w:r w:rsidRPr="00662393">
                  <w:rPr>
                    <w:rFonts w:ascii="Calibri" w:hAnsi="Calibri"/>
                    <w:noProof/>
                    <w:color w:val="auto"/>
                    <w:sz w:val="22"/>
                    <w:szCs w:val="22"/>
                  </w:rPr>
                  <w:t>No</w:t>
                </w:r>
              </w:p>
            </w:tc>
          </w:tr>
          <w:tr w:rsidR="004F0F3F" w14:paraId="705D50DB" w14:textId="77777777" w:rsidTr="00257632">
            <w:trPr>
              <w:trHeight w:val="1155"/>
            </w:trPr>
            <w:tc>
              <w:tcPr>
                <w:tcW w:w="10656" w:type="dxa"/>
                <w:shd w:val="clear" w:color="auto" w:fill="F7F7F7"/>
                <w:vAlign w:val="bottom"/>
              </w:tcPr>
              <w:p w14:paraId="0F3E5E42" w14:textId="77777777" w:rsidR="00391FF7" w:rsidRDefault="00880CEC" w:rsidP="00345057">
                <w:pPr>
                  <w:shd w:val="clear" w:color="auto" w:fill="F7F7F7"/>
                  <w:tabs>
                    <w:tab w:val="right" w:pos="2447"/>
                  </w:tabs>
                  <w:spacing w:after="240"/>
                  <w:rPr>
                    <w:rFonts w:ascii="Calibri" w:hAnsi="Calibri"/>
                    <w:color w:val="767171"/>
                    <w:sz w:val="22"/>
                    <w:szCs w:val="22"/>
                  </w:rPr>
                </w:pPr>
                <w:r>
                  <w:rPr>
                    <w:rFonts w:ascii="Calibri" w:hAnsi="Calibri"/>
                    <w:color w:val="767171"/>
                    <w:sz w:val="22"/>
                    <w:szCs w:val="22"/>
                  </w:rPr>
                  <w:t>Does the Program require any waivers from Bank policies?</w:t>
                </w:r>
              </w:p>
              <w:p w14:paraId="66B2B1D6" w14:textId="77777777" w:rsidR="00391FF7" w:rsidRDefault="00880CEC" w:rsidP="00345057">
                <w:pPr>
                  <w:shd w:val="clear" w:color="auto" w:fill="F7F7F7"/>
                  <w:tabs>
                    <w:tab w:val="right" w:pos="2447"/>
                  </w:tabs>
                  <w:spacing w:after="240"/>
                  <w:rPr>
                    <w:rFonts w:ascii="Calibri" w:hAnsi="Calibri"/>
                    <w:color w:val="767171"/>
                    <w:sz w:val="22"/>
                    <w:szCs w:val="22"/>
                  </w:rPr>
                </w:pPr>
                <w:r>
                  <w:rPr>
                    <w:rFonts w:ascii="Calibri" w:hAnsi="Calibri"/>
                    <w:noProof/>
                    <w:color w:val="auto"/>
                    <w:sz w:val="22"/>
                    <w:szCs w:val="22"/>
                  </w:rPr>
                  <w:t>No</w:t>
                </w:r>
              </w:p>
            </w:tc>
          </w:tr>
        </w:tbl>
        <w:p w14:paraId="46F3D3E6" w14:textId="77777777" w:rsidR="00A342FC" w:rsidRDefault="00A342FC" w:rsidP="00240220">
          <w:pPr>
            <w:shd w:val="clear" w:color="auto" w:fill="F7F7F7"/>
            <w:ind w:left="-691" w:right="-518"/>
            <w:rPr>
              <w:rFonts w:asciiTheme="minorHAnsi" w:hAnsiTheme="minorHAnsi"/>
              <w:color w:val="767171" w:themeColor="background2" w:themeShade="80"/>
              <w:sz w:val="22"/>
              <w:szCs w:val="22"/>
            </w:rPr>
          </w:pPr>
        </w:p>
        <w:tbl>
          <w:tblPr>
            <w:tblStyle w:val="TableGrid"/>
            <w:tblW w:w="10620" w:type="dxa"/>
            <w:tblInd w:w="-750" w:type="dxa"/>
            <w:shd w:val="clear" w:color="auto" w:fill="F7F7F7"/>
            <w:tblLayout w:type="fixed"/>
            <w:tblLook w:val="04A0" w:firstRow="1" w:lastRow="0" w:firstColumn="1" w:lastColumn="0" w:noHBand="0" w:noVBand="1"/>
          </w:tblPr>
          <w:tblGrid>
            <w:gridCol w:w="10620"/>
          </w:tblGrid>
          <w:tr w:rsidR="004F0F3F" w14:paraId="279DFFF3" w14:textId="77777777" w:rsidTr="00240220">
            <w:trPr>
              <w:trHeight w:val="432"/>
            </w:trPr>
            <w:tc>
              <w:tcPr>
                <w:tcW w:w="10620" w:type="dxa"/>
                <w:tcBorders>
                  <w:top w:val="nil"/>
                  <w:left w:val="single" w:sz="24" w:space="0" w:color="BFBFBF" w:themeColor="background1" w:themeShade="BF"/>
                  <w:bottom w:val="nil"/>
                  <w:right w:val="nil"/>
                </w:tcBorders>
                <w:shd w:val="clear" w:color="auto" w:fill="F2F2F2" w:themeFill="background1" w:themeFillShade="F2"/>
                <w:vAlign w:val="center"/>
                <w:hideMark/>
              </w:tcPr>
              <w:p w14:paraId="1314FF97" w14:textId="77777777" w:rsidR="00240220" w:rsidRPr="00656279" w:rsidRDefault="00880CEC" w:rsidP="00BD316F">
                <w:pPr>
                  <w:keepNext/>
                  <w:rPr>
                    <w:rFonts w:eastAsia="Times New Roman"/>
                  </w:rPr>
                </w:pPr>
                <w:r w:rsidRPr="00692E93">
                  <w:rPr>
                    <w:rFonts w:asciiTheme="minorHAnsi" w:hAnsiTheme="minorHAnsi"/>
                    <w:b/>
                    <w:bCs/>
                    <w:sz w:val="22"/>
                    <w:szCs w:val="22"/>
                  </w:rPr>
                  <w:t>INSTITUTIONAL DATA</w:t>
                </w:r>
              </w:p>
            </w:tc>
          </w:tr>
        </w:tbl>
        <w:p w14:paraId="7370DAAD" w14:textId="77777777" w:rsidR="003615CB" w:rsidRPr="00E14432" w:rsidRDefault="003615CB" w:rsidP="00BD316F">
          <w:pPr>
            <w:keepNext/>
            <w:widowControl/>
            <w:shd w:val="clear" w:color="auto" w:fill="F7F7F7"/>
            <w:ind w:left="-691" w:right="-518"/>
            <w:rPr>
              <w:rFonts w:asciiTheme="minorHAnsi" w:hAnsiTheme="minorHAnsi"/>
              <w:color w:val="767171" w:themeColor="background2" w:themeShade="80"/>
              <w:sz w:val="22"/>
              <w:szCs w:val="22"/>
            </w:rPr>
          </w:pPr>
        </w:p>
        <w:tbl>
          <w:tblPr>
            <w:tblStyle w:val="TableGrid"/>
            <w:tblW w:w="1062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ook w:val="04A0" w:firstRow="1" w:lastRow="0" w:firstColumn="1" w:lastColumn="0" w:noHBand="0" w:noVBand="1"/>
          </w:tblPr>
          <w:tblGrid>
            <w:gridCol w:w="10620"/>
          </w:tblGrid>
          <w:tr w:rsidR="004F0F3F" w14:paraId="57D47F94" w14:textId="77777777" w:rsidTr="00E14432">
            <w:trPr>
              <w:trHeight w:val="342"/>
            </w:trPr>
            <w:tc>
              <w:tcPr>
                <w:tcW w:w="10620" w:type="dxa"/>
                <w:shd w:val="clear" w:color="auto" w:fill="F7F7F7"/>
                <w:vAlign w:val="center"/>
              </w:tcPr>
              <w:p w14:paraId="4B82110A" w14:textId="77777777" w:rsidR="003615CB" w:rsidRPr="006E04CA" w:rsidRDefault="00880CEC" w:rsidP="00BD316F">
                <w:pPr>
                  <w:keepNext/>
                  <w:rPr>
                    <w:rFonts w:asciiTheme="minorHAnsi" w:hAnsiTheme="minorHAnsi"/>
                    <w:b/>
                    <w:bCs/>
                    <w:color w:val="002060"/>
                    <w:sz w:val="22"/>
                    <w:szCs w:val="22"/>
                  </w:rPr>
                </w:pPr>
                <w:r w:rsidRPr="006E04CA">
                  <w:rPr>
                    <w:rFonts w:asciiTheme="minorHAnsi" w:hAnsiTheme="minorHAnsi"/>
                    <w:b/>
                    <w:bCs/>
                    <w:color w:val="002060"/>
                    <w:sz w:val="22"/>
                    <w:szCs w:val="22"/>
                  </w:rPr>
                  <w:t>Practice Area (Lead)</w:t>
                </w:r>
              </w:p>
            </w:tc>
          </w:tr>
          <w:tr w:rsidR="004F0F3F" w14:paraId="42F268F0" w14:textId="77777777" w:rsidTr="00E14432">
            <w:trPr>
              <w:trHeight w:val="324"/>
            </w:trPr>
            <w:tc>
              <w:tcPr>
                <w:tcW w:w="10620" w:type="dxa"/>
                <w:shd w:val="clear" w:color="auto" w:fill="F7F7F7"/>
                <w:vAlign w:val="center"/>
              </w:tcPr>
              <w:p w14:paraId="0E2F2D88" w14:textId="77777777" w:rsidR="003615CB" w:rsidRPr="00033B9C" w:rsidRDefault="00880CEC" w:rsidP="003615CB">
                <w:pPr>
                  <w:rPr>
                    <w:rFonts w:asciiTheme="minorHAnsi" w:hAnsiTheme="minorHAnsi"/>
                    <w:sz w:val="22"/>
                    <w:szCs w:val="22"/>
                  </w:rPr>
                </w:pPr>
                <w:r>
                  <w:rPr>
                    <w:rFonts w:asciiTheme="minorHAnsi" w:hAnsiTheme="minorHAnsi"/>
                    <w:noProof/>
                    <w:sz w:val="22"/>
                    <w:szCs w:val="22"/>
                  </w:rPr>
                  <w:t>Energy &amp; Extractives</w:t>
                </w:r>
              </w:p>
            </w:tc>
          </w:tr>
        </w:tbl>
        <w:p w14:paraId="68B0914F" w14:textId="77777777" w:rsidR="003615CB" w:rsidRPr="00E14432" w:rsidRDefault="003615CB" w:rsidP="00E14432">
          <w:pPr>
            <w:shd w:val="clear" w:color="auto" w:fill="F7F7F7"/>
            <w:ind w:left="-691" w:right="-518"/>
            <w:rPr>
              <w:rFonts w:asciiTheme="minorHAnsi" w:hAnsiTheme="minorHAnsi"/>
              <w:color w:val="767171" w:themeColor="background2" w:themeShade="80"/>
              <w:sz w:val="22"/>
              <w:szCs w:val="22"/>
            </w:rPr>
          </w:pPr>
        </w:p>
        <w:tbl>
          <w:tblPr>
            <w:tblStyle w:val="TableGrid"/>
            <w:tblW w:w="1062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ook w:val="04A0" w:firstRow="1" w:lastRow="0" w:firstColumn="1" w:lastColumn="0" w:noHBand="0" w:noVBand="1"/>
          </w:tblPr>
          <w:tblGrid>
            <w:gridCol w:w="10620"/>
          </w:tblGrid>
          <w:tr w:rsidR="004F0F3F" w14:paraId="5A5B43A1" w14:textId="77777777" w:rsidTr="00E14432">
            <w:trPr>
              <w:trHeight w:val="342"/>
            </w:trPr>
            <w:tc>
              <w:tcPr>
                <w:tcW w:w="10620" w:type="dxa"/>
                <w:shd w:val="clear" w:color="auto" w:fill="F7F7F7"/>
                <w:vAlign w:val="center"/>
              </w:tcPr>
              <w:p w14:paraId="58C36089" w14:textId="77777777" w:rsidR="003615CB" w:rsidRPr="006E04CA" w:rsidRDefault="00880CEC" w:rsidP="000B6841">
                <w:pPr>
                  <w:keepNext/>
                  <w:spacing w:line="276" w:lineRule="auto"/>
                  <w:rPr>
                    <w:rFonts w:asciiTheme="minorHAnsi" w:hAnsiTheme="minorHAnsi"/>
                    <w:b/>
                    <w:bCs/>
                    <w:color w:val="002060"/>
                    <w:sz w:val="22"/>
                    <w:szCs w:val="22"/>
                  </w:rPr>
                </w:pPr>
                <w:r w:rsidRPr="00692E93">
                  <w:rPr>
                    <w:rFonts w:asciiTheme="minorHAnsi" w:hAnsiTheme="minorHAnsi"/>
                    <w:b/>
                    <w:bCs/>
                    <w:color w:val="002060"/>
                    <w:sz w:val="22"/>
                    <w:szCs w:val="22"/>
                  </w:rPr>
                  <w:t>Contributing Practice Areas</w:t>
                </w:r>
              </w:p>
            </w:tc>
          </w:tr>
          <w:tr w:rsidR="004F0F3F" w14:paraId="47BC6768" w14:textId="77777777" w:rsidTr="00E14432">
            <w:trPr>
              <w:trHeight w:val="333"/>
            </w:trPr>
            <w:tc>
              <w:tcPr>
                <w:tcW w:w="10620" w:type="dxa"/>
                <w:shd w:val="clear" w:color="auto" w:fill="F7F7F7"/>
                <w:vAlign w:val="center"/>
              </w:tcPr>
              <w:p w14:paraId="7A3E6BD9" w14:textId="77777777" w:rsidR="003615CB" w:rsidRPr="00501672" w:rsidRDefault="003615CB" w:rsidP="000B6841">
                <w:pPr>
                  <w:keepNext/>
                  <w:rPr>
                    <w:rFonts w:asciiTheme="minorHAnsi" w:hAnsiTheme="minorHAnsi"/>
                    <w:sz w:val="22"/>
                    <w:szCs w:val="22"/>
                  </w:rPr>
                </w:pPr>
              </w:p>
            </w:tc>
          </w:tr>
        </w:tbl>
        <w:p w14:paraId="21D7D920" w14:textId="77777777" w:rsidR="003615CB" w:rsidRPr="00E14432" w:rsidRDefault="003615CB" w:rsidP="00E14432">
          <w:pPr>
            <w:shd w:val="clear" w:color="auto" w:fill="F7F7F7"/>
            <w:ind w:left="-691" w:right="-518"/>
            <w:rPr>
              <w:rFonts w:asciiTheme="minorHAnsi" w:hAnsiTheme="minorHAnsi"/>
              <w:color w:val="767171" w:themeColor="background2" w:themeShade="80"/>
              <w:sz w:val="22"/>
              <w:szCs w:val="22"/>
            </w:rPr>
          </w:pPr>
        </w:p>
        <w:tbl>
          <w:tblPr>
            <w:tblStyle w:val="TableGrid"/>
            <w:tblW w:w="1062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ook w:val="04A0" w:firstRow="1" w:lastRow="0" w:firstColumn="1" w:lastColumn="0" w:noHBand="0" w:noVBand="1"/>
          </w:tblPr>
          <w:tblGrid>
            <w:gridCol w:w="10620"/>
          </w:tblGrid>
          <w:tr w:rsidR="004F0F3F" w14:paraId="5ED750E6" w14:textId="77777777" w:rsidTr="001E6892">
            <w:tc>
              <w:tcPr>
                <w:tcW w:w="10620" w:type="dxa"/>
                <w:shd w:val="clear" w:color="auto" w:fill="F7F7F7"/>
                <w:vAlign w:val="center"/>
              </w:tcPr>
              <w:p w14:paraId="70B15A04" w14:textId="77777777" w:rsidR="003615CB" w:rsidRPr="00714915" w:rsidRDefault="00880CEC" w:rsidP="000B6841">
                <w:pPr>
                  <w:keepNext/>
                  <w:spacing w:after="120"/>
                  <w:rPr>
                    <w:rFonts w:asciiTheme="minorHAnsi" w:hAnsiTheme="minorHAnsi"/>
                    <w:b/>
                    <w:bCs/>
                    <w:color w:val="172D5F"/>
                    <w:sz w:val="22"/>
                    <w:szCs w:val="22"/>
                  </w:rPr>
                </w:pPr>
                <w:r w:rsidRPr="00714915">
                  <w:rPr>
                    <w:rFonts w:asciiTheme="minorHAnsi" w:hAnsiTheme="minorHAnsi"/>
                    <w:b/>
                    <w:bCs/>
                    <w:color w:val="172D5F"/>
                    <w:sz w:val="22"/>
                    <w:szCs w:val="22"/>
                  </w:rPr>
                  <w:t>Climate Change and Disaster Screening</w:t>
                </w:r>
              </w:p>
            </w:tc>
          </w:tr>
          <w:tr w:rsidR="004F0F3F" w14:paraId="2155D000" w14:textId="77777777" w:rsidTr="001E6892">
            <w:trPr>
              <w:trHeight w:val="80"/>
            </w:trPr>
            <w:tc>
              <w:tcPr>
                <w:tcW w:w="10620" w:type="dxa"/>
                <w:shd w:val="clear" w:color="auto" w:fill="F7F7F7"/>
                <w:vAlign w:val="center"/>
              </w:tcPr>
              <w:p w14:paraId="054774BB" w14:textId="77777777" w:rsidR="003615CB" w:rsidRPr="00714915" w:rsidRDefault="00880CEC" w:rsidP="000B6841">
                <w:pPr>
                  <w:keepNext/>
                  <w:spacing w:after="120"/>
                  <w:rPr>
                    <w:rFonts w:asciiTheme="minorHAnsi" w:hAnsiTheme="minorHAnsi"/>
                    <w:noProof/>
                    <w:sz w:val="22"/>
                    <w:szCs w:val="22"/>
                  </w:rPr>
                </w:pPr>
                <w:r w:rsidRPr="00714915">
                  <w:rPr>
                    <w:rFonts w:asciiTheme="minorHAnsi" w:hAnsiTheme="minorHAnsi"/>
                    <w:noProof/>
                    <w:sz w:val="22"/>
                    <w:szCs w:val="22"/>
                  </w:rPr>
                  <w:t>This operation has been screened for short and long-term climate change and disaster risks</w:t>
                </w:r>
              </w:p>
            </w:tc>
          </w:tr>
        </w:tbl>
        <w:p w14:paraId="74194DF6" w14:textId="77777777" w:rsidR="00684077" w:rsidRPr="00E14432" w:rsidRDefault="00684077" w:rsidP="00E14432">
          <w:pPr>
            <w:shd w:val="clear" w:color="auto" w:fill="F7F7F7"/>
            <w:ind w:left="-691" w:right="-518"/>
            <w:rPr>
              <w:rFonts w:asciiTheme="minorHAnsi" w:hAnsiTheme="minorHAnsi"/>
              <w:color w:val="767171" w:themeColor="background2" w:themeShade="80"/>
              <w:sz w:val="22"/>
              <w:szCs w:val="22"/>
            </w:rPr>
          </w:pPr>
        </w:p>
        <w:p w14:paraId="09D0DEE4" w14:textId="77777777" w:rsidR="003615CB" w:rsidRDefault="003615CB" w:rsidP="00E14432">
          <w:pPr>
            <w:shd w:val="clear" w:color="auto" w:fill="F7F7F7"/>
            <w:ind w:left="-691" w:right="-518"/>
            <w:rPr>
              <w:rFonts w:asciiTheme="minorHAnsi" w:hAnsiTheme="minorHAnsi"/>
              <w:color w:val="767171" w:themeColor="background2" w:themeShade="80"/>
              <w:sz w:val="22"/>
              <w:szCs w:val="22"/>
            </w:rPr>
          </w:pPr>
        </w:p>
        <w:p w14:paraId="2D038282" w14:textId="77777777" w:rsidR="00C95840" w:rsidRDefault="00C95840" w:rsidP="00E14432">
          <w:pPr>
            <w:shd w:val="clear" w:color="auto" w:fill="F7F7F7"/>
            <w:ind w:left="-691" w:right="-518"/>
            <w:rPr>
              <w:rFonts w:asciiTheme="minorHAnsi" w:hAnsiTheme="minorHAnsi"/>
              <w:color w:val="767171" w:themeColor="background2" w:themeShade="80"/>
              <w:sz w:val="22"/>
              <w:szCs w:val="22"/>
            </w:rPr>
          </w:pPr>
        </w:p>
        <w:tbl>
          <w:tblPr>
            <w:tblStyle w:val="TableGrid"/>
            <w:tblW w:w="10620" w:type="dxa"/>
            <w:tblInd w:w="-750" w:type="dxa"/>
            <w:shd w:val="clear" w:color="auto" w:fill="F7F7F7"/>
            <w:tblLayout w:type="fixed"/>
            <w:tblLook w:val="04A0" w:firstRow="1" w:lastRow="0" w:firstColumn="1" w:lastColumn="0" w:noHBand="0" w:noVBand="1"/>
          </w:tblPr>
          <w:tblGrid>
            <w:gridCol w:w="10620"/>
          </w:tblGrid>
          <w:tr w:rsidR="004F0F3F" w14:paraId="2BDD16BE" w14:textId="77777777" w:rsidTr="005B1EA5">
            <w:trPr>
              <w:trHeight w:val="432"/>
            </w:trPr>
            <w:tc>
              <w:tcPr>
                <w:tcW w:w="10620" w:type="dxa"/>
                <w:tcBorders>
                  <w:top w:val="nil"/>
                  <w:left w:val="single" w:sz="24" w:space="0" w:color="BFBFBF" w:themeColor="background1" w:themeShade="BF"/>
                  <w:bottom w:val="nil"/>
                  <w:right w:val="nil"/>
                </w:tcBorders>
                <w:shd w:val="clear" w:color="auto" w:fill="F2F2F2" w:themeFill="background1" w:themeFillShade="F2"/>
                <w:vAlign w:val="center"/>
                <w:hideMark/>
              </w:tcPr>
              <w:p w14:paraId="7AB2791C" w14:textId="77777777" w:rsidR="005B1EA5" w:rsidRPr="00656279" w:rsidRDefault="00880CEC" w:rsidP="00B60D93">
                <w:pPr>
                  <w:keepNext/>
                  <w:widowControl/>
                  <w:rPr>
                    <w:rFonts w:eastAsia="Times New Roman"/>
                  </w:rPr>
                </w:pPr>
                <w:r>
                  <w:rPr>
                    <w:rFonts w:asciiTheme="minorHAnsi" w:hAnsiTheme="minorHAnsi"/>
                    <w:b/>
                    <w:bCs/>
                    <w:sz w:val="22"/>
                    <w:szCs w:val="22"/>
                  </w:rPr>
                  <w:t>TASK</w:t>
                </w:r>
                <w:r w:rsidRPr="00692E93">
                  <w:rPr>
                    <w:rFonts w:asciiTheme="minorHAnsi" w:hAnsiTheme="minorHAnsi"/>
                    <w:b/>
                    <w:bCs/>
                    <w:sz w:val="22"/>
                    <w:szCs w:val="22"/>
                  </w:rPr>
                  <w:t xml:space="preserve"> TEAM</w:t>
                </w:r>
              </w:p>
            </w:tc>
          </w:tr>
        </w:tbl>
        <w:p w14:paraId="5BBE3C55" w14:textId="77777777" w:rsidR="003615CB" w:rsidRPr="00DF5481" w:rsidRDefault="003615CB" w:rsidP="00C65966">
          <w:pPr>
            <w:keepNext/>
            <w:widowControl/>
            <w:shd w:val="clear" w:color="auto" w:fill="F7F7F7"/>
            <w:ind w:left="-691" w:right="-518"/>
            <w:rPr>
              <w:rFonts w:asciiTheme="minorHAnsi" w:hAnsiTheme="minorHAnsi"/>
              <w:color w:val="767171" w:themeColor="background2" w:themeShade="80"/>
              <w:sz w:val="22"/>
              <w:szCs w:val="22"/>
            </w:rPr>
          </w:pPr>
        </w:p>
        <w:p w14:paraId="2C1D6365" w14:textId="77777777" w:rsidR="003615CB" w:rsidRPr="00692E93" w:rsidRDefault="00880CEC" w:rsidP="00C65966">
          <w:pPr>
            <w:keepNext/>
            <w:widowControl/>
            <w:shd w:val="clear" w:color="auto" w:fill="F7F7F7"/>
            <w:ind w:left="-691" w:right="-518" w:firstLine="58"/>
            <w:rPr>
              <w:rFonts w:asciiTheme="minorHAnsi" w:hAnsiTheme="minorHAnsi"/>
              <w:b/>
              <w:bCs/>
              <w:color w:val="7F7F7F" w:themeColor="text1" w:themeTint="80"/>
              <w:sz w:val="22"/>
              <w:szCs w:val="22"/>
            </w:rPr>
          </w:pPr>
          <w:r w:rsidRPr="00692E93">
            <w:rPr>
              <w:rFonts w:asciiTheme="minorHAnsi" w:hAnsiTheme="minorHAnsi"/>
              <w:b/>
              <w:bCs/>
              <w:color w:val="7F7F7F" w:themeColor="text1" w:themeTint="80"/>
              <w:sz w:val="22"/>
              <w:szCs w:val="22"/>
            </w:rPr>
            <w:t>Bank Staff</w:t>
          </w:r>
        </w:p>
        <w:tbl>
          <w:tblPr>
            <w:tblStyle w:val="TableGrid"/>
            <w:tblW w:w="10602" w:type="dxa"/>
            <w:tblInd w:w="-702" w:type="dxa"/>
            <w:tblBorders>
              <w:top w:val="nil"/>
              <w:left w:val="nil"/>
              <w:bottom w:val="nil"/>
              <w:right w:val="nil"/>
              <w:insideH w:val="nil"/>
              <w:insideV w:val="nil"/>
            </w:tblBorders>
            <w:shd w:val="clear" w:color="auto" w:fill="F7F7F7"/>
            <w:tblLayout w:type="fixed"/>
            <w:tblLook w:val="04A0" w:firstRow="1" w:lastRow="0" w:firstColumn="1" w:lastColumn="0" w:noHBand="0" w:noVBand="1"/>
          </w:tblPr>
          <w:tblGrid>
            <w:gridCol w:w="2675"/>
            <w:gridCol w:w="3067"/>
            <w:gridCol w:w="2970"/>
            <w:gridCol w:w="1890"/>
          </w:tblGrid>
          <w:tr w:rsidR="004F0F3F" w14:paraId="0244A74B" w14:textId="77777777" w:rsidTr="00DF5481">
            <w:trPr>
              <w:trHeight w:val="432"/>
            </w:trPr>
            <w:tc>
              <w:tcPr>
                <w:tcW w:w="2675" w:type="dxa"/>
                <w:tcBorders>
                  <w:bottom w:val="single" w:sz="12" w:space="0" w:color="D9D9D9" w:themeColor="background1" w:themeShade="D9"/>
                </w:tcBorders>
                <w:shd w:val="clear" w:color="auto" w:fill="F7F7F7"/>
                <w:vAlign w:val="center"/>
              </w:tcPr>
              <w:p w14:paraId="7E7ADD59" w14:textId="77777777" w:rsidR="003615CB" w:rsidRPr="00692E93" w:rsidRDefault="00880CEC" w:rsidP="00C65966">
                <w:pPr>
                  <w:keepNext/>
                  <w:widowControl/>
                  <w:ind w:left="-36"/>
                  <w:rPr>
                    <w:rFonts w:asciiTheme="minorHAnsi" w:hAnsiTheme="minorHAnsi"/>
                    <w:b/>
                    <w:sz w:val="22"/>
                    <w:szCs w:val="22"/>
                  </w:rPr>
                </w:pPr>
                <w:r w:rsidRPr="00692E93">
                  <w:rPr>
                    <w:rFonts w:asciiTheme="minorHAnsi" w:hAnsiTheme="minorHAnsi"/>
                    <w:b/>
                    <w:bCs/>
                    <w:color w:val="7F7F7F" w:themeColor="text1" w:themeTint="80"/>
                    <w:sz w:val="22"/>
                    <w:szCs w:val="22"/>
                  </w:rPr>
                  <w:t>Name</w:t>
                </w:r>
              </w:p>
            </w:tc>
            <w:tc>
              <w:tcPr>
                <w:tcW w:w="3067" w:type="dxa"/>
                <w:tcBorders>
                  <w:bottom w:val="single" w:sz="12" w:space="0" w:color="D9D9D9" w:themeColor="background1" w:themeShade="D9"/>
                </w:tcBorders>
                <w:shd w:val="clear" w:color="auto" w:fill="F7F7F7"/>
                <w:vAlign w:val="center"/>
              </w:tcPr>
              <w:p w14:paraId="4A8AA05C" w14:textId="77777777" w:rsidR="003615CB" w:rsidRPr="00692E93" w:rsidRDefault="00880CEC" w:rsidP="00C65966">
                <w:pPr>
                  <w:keepNext/>
                  <w:widowControl/>
                  <w:rPr>
                    <w:rFonts w:asciiTheme="minorHAnsi" w:hAnsiTheme="minorHAnsi"/>
                    <w:b/>
                    <w:sz w:val="22"/>
                    <w:szCs w:val="22"/>
                  </w:rPr>
                </w:pPr>
                <w:r w:rsidRPr="00692E93">
                  <w:rPr>
                    <w:rFonts w:asciiTheme="minorHAnsi" w:hAnsiTheme="minorHAnsi"/>
                    <w:b/>
                    <w:bCs/>
                    <w:color w:val="7F7F7F" w:themeColor="text1" w:themeTint="80"/>
                    <w:sz w:val="22"/>
                    <w:szCs w:val="22"/>
                  </w:rPr>
                  <w:t>Role</w:t>
                </w:r>
              </w:p>
            </w:tc>
            <w:tc>
              <w:tcPr>
                <w:tcW w:w="2970" w:type="dxa"/>
                <w:tcBorders>
                  <w:bottom w:val="single" w:sz="12" w:space="0" w:color="D9D9D9" w:themeColor="background1" w:themeShade="D9"/>
                </w:tcBorders>
                <w:shd w:val="clear" w:color="auto" w:fill="F7F7F7"/>
                <w:vAlign w:val="center"/>
              </w:tcPr>
              <w:p w14:paraId="4336BB2B" w14:textId="77777777" w:rsidR="003615CB" w:rsidRPr="00692E93" w:rsidRDefault="00880CEC" w:rsidP="00C65966">
                <w:pPr>
                  <w:keepNext/>
                  <w:widowControl/>
                  <w:rPr>
                    <w:rFonts w:asciiTheme="minorHAnsi" w:hAnsiTheme="minorHAnsi"/>
                    <w:b/>
                    <w:sz w:val="22"/>
                    <w:szCs w:val="22"/>
                  </w:rPr>
                </w:pPr>
                <w:r w:rsidRPr="004D4AEA">
                  <w:rPr>
                    <w:rFonts w:asciiTheme="minorHAnsi" w:hAnsiTheme="minorHAnsi"/>
                    <w:b/>
                    <w:bCs/>
                    <w:color w:val="7F7F7F" w:themeColor="text1" w:themeTint="80"/>
                    <w:sz w:val="22"/>
                    <w:szCs w:val="22"/>
                  </w:rPr>
                  <w:t>Specialization</w:t>
                </w:r>
              </w:p>
            </w:tc>
            <w:tc>
              <w:tcPr>
                <w:tcW w:w="1890" w:type="dxa"/>
                <w:tcBorders>
                  <w:bottom w:val="single" w:sz="12" w:space="0" w:color="D9D9D9" w:themeColor="background1" w:themeShade="D9"/>
                </w:tcBorders>
                <w:shd w:val="clear" w:color="auto" w:fill="F7F7F7"/>
                <w:vAlign w:val="center"/>
              </w:tcPr>
              <w:p w14:paraId="25B740FB" w14:textId="77777777" w:rsidR="003615CB" w:rsidRPr="00692E93" w:rsidRDefault="00880CEC" w:rsidP="00C65966">
                <w:pPr>
                  <w:keepNext/>
                  <w:widowControl/>
                  <w:rPr>
                    <w:rFonts w:asciiTheme="minorHAnsi" w:hAnsiTheme="minorHAnsi"/>
                    <w:b/>
                    <w:sz w:val="22"/>
                    <w:szCs w:val="22"/>
                  </w:rPr>
                </w:pPr>
                <w:r w:rsidRPr="00692E93">
                  <w:rPr>
                    <w:rFonts w:asciiTheme="minorHAnsi" w:hAnsiTheme="minorHAnsi"/>
                    <w:b/>
                    <w:bCs/>
                    <w:color w:val="7F7F7F" w:themeColor="text1" w:themeTint="80"/>
                    <w:sz w:val="22"/>
                    <w:szCs w:val="22"/>
                  </w:rPr>
                  <w:t>Unit</w:t>
                </w:r>
              </w:p>
            </w:tc>
          </w:tr>
          <w:tr w:rsidR="004F0F3F" w14:paraId="3403E7A4" w14:textId="77777777" w:rsidTr="00DF5481">
            <w:trPr>
              <w:trHeight w:val="432"/>
            </w:trPr>
            <w:tc>
              <w:tcPr>
                <w:tcW w:w="2675" w:type="dxa"/>
                <w:tcBorders>
                  <w:top w:val="single" w:sz="2" w:space="0" w:color="F2F2F2" w:themeColor="background1" w:themeShade="F2"/>
                  <w:bottom w:val="single" w:sz="2" w:space="0" w:color="F2F2F2" w:themeColor="background1" w:themeShade="F2"/>
                </w:tcBorders>
                <w:shd w:val="clear" w:color="auto" w:fill="F7F7F7"/>
                <w:vAlign w:val="center"/>
              </w:tcPr>
              <w:p w14:paraId="1ED28E03"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Artur Kochnakyan</w:t>
                </w:r>
              </w:p>
            </w:tc>
            <w:tc>
              <w:tcPr>
                <w:tcW w:w="3067" w:type="dxa"/>
                <w:tcBorders>
                  <w:top w:val="single" w:sz="2" w:space="0" w:color="F2F2F2" w:themeColor="background1" w:themeShade="F2"/>
                  <w:bottom w:val="single" w:sz="2" w:space="0" w:color="F2F2F2" w:themeColor="background1" w:themeShade="F2"/>
                </w:tcBorders>
                <w:shd w:val="clear" w:color="auto" w:fill="F7F7F7"/>
                <w:vAlign w:val="center"/>
              </w:tcPr>
              <w:p w14:paraId="0E9ED18D"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Team Leader (ADM Responsible)</w:t>
                </w:r>
              </w:p>
            </w:tc>
            <w:tc>
              <w:tcPr>
                <w:tcW w:w="2970" w:type="dxa"/>
                <w:tcBorders>
                  <w:top w:val="single" w:sz="2" w:space="0" w:color="F2F2F2" w:themeColor="background1" w:themeShade="F2"/>
                  <w:bottom w:val="single" w:sz="2" w:space="0" w:color="F2F2F2" w:themeColor="background1" w:themeShade="F2"/>
                </w:tcBorders>
                <w:shd w:val="clear" w:color="auto" w:fill="F7F7F7"/>
                <w:vAlign w:val="center"/>
              </w:tcPr>
              <w:p w14:paraId="7DD9CB23"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Task management</w:t>
                </w:r>
              </w:p>
            </w:tc>
            <w:tc>
              <w:tcPr>
                <w:tcW w:w="1890" w:type="dxa"/>
                <w:tcBorders>
                  <w:top w:val="single" w:sz="2" w:space="0" w:color="F2F2F2" w:themeColor="background1" w:themeShade="F2"/>
                  <w:bottom w:val="single" w:sz="2" w:space="0" w:color="F2F2F2" w:themeColor="background1" w:themeShade="F2"/>
                </w:tcBorders>
                <w:shd w:val="clear" w:color="auto" w:fill="F7F7F7"/>
                <w:vAlign w:val="center"/>
              </w:tcPr>
              <w:p w14:paraId="2752F168"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IMNE1</w:t>
                </w:r>
              </w:p>
            </w:tc>
          </w:tr>
          <w:tr w:rsidR="004F0F3F" w14:paraId="55CA6A66" w14:textId="77777777" w:rsidTr="00DF5481">
            <w:trPr>
              <w:trHeight w:val="432"/>
            </w:trPr>
            <w:tc>
              <w:tcPr>
                <w:tcW w:w="2675" w:type="dxa"/>
                <w:tcBorders>
                  <w:top w:val="single" w:sz="2" w:space="0" w:color="F2F2F2" w:themeColor="background1" w:themeShade="F2"/>
                  <w:bottom w:val="single" w:sz="2" w:space="0" w:color="F2F2F2" w:themeColor="background1" w:themeShade="F2"/>
                </w:tcBorders>
                <w:shd w:val="clear" w:color="auto" w:fill="F7F7F7"/>
                <w:vAlign w:val="center"/>
              </w:tcPr>
              <w:p w14:paraId="14DA55A6"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lastRenderedPageBreak/>
                  <w:t>Dilshod Karimova</w:t>
                </w:r>
              </w:p>
            </w:tc>
            <w:tc>
              <w:tcPr>
                <w:tcW w:w="3067" w:type="dxa"/>
                <w:tcBorders>
                  <w:top w:val="single" w:sz="2" w:space="0" w:color="F2F2F2" w:themeColor="background1" w:themeShade="F2"/>
                  <w:bottom w:val="single" w:sz="2" w:space="0" w:color="F2F2F2" w:themeColor="background1" w:themeShade="F2"/>
                </w:tcBorders>
                <w:shd w:val="clear" w:color="auto" w:fill="F7F7F7"/>
                <w:vAlign w:val="center"/>
              </w:tcPr>
              <w:p w14:paraId="17147755"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Procurement Specialist (ADM Responsible)</w:t>
                </w:r>
              </w:p>
            </w:tc>
            <w:tc>
              <w:tcPr>
                <w:tcW w:w="2970" w:type="dxa"/>
                <w:tcBorders>
                  <w:top w:val="single" w:sz="2" w:space="0" w:color="F2F2F2" w:themeColor="background1" w:themeShade="F2"/>
                  <w:bottom w:val="single" w:sz="2" w:space="0" w:color="F2F2F2" w:themeColor="background1" w:themeShade="F2"/>
                </w:tcBorders>
                <w:shd w:val="clear" w:color="auto" w:fill="F7F7F7"/>
                <w:vAlign w:val="center"/>
              </w:tcPr>
              <w:p w14:paraId="0732A9EF"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Procurement</w:t>
                </w:r>
              </w:p>
            </w:tc>
            <w:tc>
              <w:tcPr>
                <w:tcW w:w="1890" w:type="dxa"/>
                <w:tcBorders>
                  <w:top w:val="single" w:sz="2" w:space="0" w:color="F2F2F2" w:themeColor="background1" w:themeShade="F2"/>
                  <w:bottom w:val="single" w:sz="2" w:space="0" w:color="F2F2F2" w:themeColor="background1" w:themeShade="F2"/>
                </w:tcBorders>
                <w:shd w:val="clear" w:color="auto" w:fill="F7F7F7"/>
                <w:vAlign w:val="center"/>
              </w:tcPr>
              <w:p w14:paraId="3DADF630"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EECRU</w:t>
                </w:r>
              </w:p>
            </w:tc>
          </w:tr>
          <w:tr w:rsidR="004F0F3F" w14:paraId="424F7B7B" w14:textId="77777777" w:rsidTr="00DF5481">
            <w:trPr>
              <w:trHeight w:val="432"/>
            </w:trPr>
            <w:tc>
              <w:tcPr>
                <w:tcW w:w="2675" w:type="dxa"/>
                <w:tcBorders>
                  <w:top w:val="single" w:sz="2" w:space="0" w:color="F2F2F2" w:themeColor="background1" w:themeShade="F2"/>
                  <w:bottom w:val="single" w:sz="2" w:space="0" w:color="F2F2F2" w:themeColor="background1" w:themeShade="F2"/>
                </w:tcBorders>
                <w:shd w:val="clear" w:color="auto" w:fill="F7F7F7"/>
                <w:vAlign w:val="center"/>
              </w:tcPr>
              <w:p w14:paraId="5160B886"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Garik Sergeyan</w:t>
                </w:r>
              </w:p>
            </w:tc>
            <w:tc>
              <w:tcPr>
                <w:tcW w:w="3067" w:type="dxa"/>
                <w:tcBorders>
                  <w:top w:val="single" w:sz="2" w:space="0" w:color="F2F2F2" w:themeColor="background1" w:themeShade="F2"/>
                  <w:bottom w:val="single" w:sz="2" w:space="0" w:color="F2F2F2" w:themeColor="background1" w:themeShade="F2"/>
                </w:tcBorders>
                <w:shd w:val="clear" w:color="auto" w:fill="F7F7F7"/>
                <w:vAlign w:val="center"/>
              </w:tcPr>
              <w:p w14:paraId="0693D4FC"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Financial Management Specialist (ADM Responsible)</w:t>
                </w:r>
              </w:p>
            </w:tc>
            <w:tc>
              <w:tcPr>
                <w:tcW w:w="2970" w:type="dxa"/>
                <w:tcBorders>
                  <w:top w:val="single" w:sz="2" w:space="0" w:color="F2F2F2" w:themeColor="background1" w:themeShade="F2"/>
                  <w:bottom w:val="single" w:sz="2" w:space="0" w:color="F2F2F2" w:themeColor="background1" w:themeShade="F2"/>
                </w:tcBorders>
                <w:shd w:val="clear" w:color="auto" w:fill="F7F7F7"/>
                <w:vAlign w:val="center"/>
              </w:tcPr>
              <w:p w14:paraId="705E7507"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Financial management</w:t>
                </w:r>
              </w:p>
            </w:tc>
            <w:tc>
              <w:tcPr>
                <w:tcW w:w="1890" w:type="dxa"/>
                <w:tcBorders>
                  <w:top w:val="single" w:sz="2" w:space="0" w:color="F2F2F2" w:themeColor="background1" w:themeShade="F2"/>
                  <w:bottom w:val="single" w:sz="2" w:space="0" w:color="F2F2F2" w:themeColor="background1" w:themeShade="F2"/>
                </w:tcBorders>
                <w:shd w:val="clear" w:color="auto" w:fill="F7F7F7"/>
                <w:vAlign w:val="center"/>
              </w:tcPr>
              <w:p w14:paraId="72BC7132"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EECG1</w:t>
                </w:r>
              </w:p>
            </w:tc>
          </w:tr>
          <w:tr w:rsidR="004F0F3F" w14:paraId="31BB4604" w14:textId="77777777" w:rsidTr="00DF5481">
            <w:trPr>
              <w:trHeight w:val="432"/>
            </w:trPr>
            <w:tc>
              <w:tcPr>
                <w:tcW w:w="2675" w:type="dxa"/>
                <w:tcBorders>
                  <w:top w:val="single" w:sz="2" w:space="0" w:color="F2F2F2" w:themeColor="background1" w:themeShade="F2"/>
                  <w:bottom w:val="single" w:sz="2" w:space="0" w:color="F2F2F2" w:themeColor="background1" w:themeShade="F2"/>
                </w:tcBorders>
                <w:shd w:val="clear" w:color="auto" w:fill="F7F7F7"/>
                <w:vAlign w:val="center"/>
              </w:tcPr>
              <w:p w14:paraId="7E41024F"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John Bryant Collier</w:t>
                </w:r>
              </w:p>
            </w:tc>
            <w:tc>
              <w:tcPr>
                <w:tcW w:w="3067" w:type="dxa"/>
                <w:tcBorders>
                  <w:top w:val="single" w:sz="2" w:space="0" w:color="F2F2F2" w:themeColor="background1" w:themeShade="F2"/>
                  <w:bottom w:val="single" w:sz="2" w:space="0" w:color="F2F2F2" w:themeColor="background1" w:themeShade="F2"/>
                </w:tcBorders>
                <w:shd w:val="clear" w:color="auto" w:fill="F7F7F7"/>
                <w:vAlign w:val="center"/>
              </w:tcPr>
              <w:p w14:paraId="1F028EBB"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Environmental Specialist (ADM Responsible)</w:t>
                </w:r>
              </w:p>
            </w:tc>
            <w:tc>
              <w:tcPr>
                <w:tcW w:w="2970" w:type="dxa"/>
                <w:tcBorders>
                  <w:top w:val="single" w:sz="2" w:space="0" w:color="F2F2F2" w:themeColor="background1" w:themeShade="F2"/>
                  <w:bottom w:val="single" w:sz="2" w:space="0" w:color="F2F2F2" w:themeColor="background1" w:themeShade="F2"/>
                </w:tcBorders>
                <w:shd w:val="clear" w:color="auto" w:fill="F7F7F7"/>
                <w:vAlign w:val="center"/>
              </w:tcPr>
              <w:p w14:paraId="402A637E"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Environmental</w:t>
                </w:r>
              </w:p>
            </w:tc>
            <w:tc>
              <w:tcPr>
                <w:tcW w:w="1890" w:type="dxa"/>
                <w:tcBorders>
                  <w:top w:val="single" w:sz="2" w:space="0" w:color="F2F2F2" w:themeColor="background1" w:themeShade="F2"/>
                  <w:bottom w:val="single" w:sz="2" w:space="0" w:color="F2F2F2" w:themeColor="background1" w:themeShade="F2"/>
                </w:tcBorders>
                <w:shd w:val="clear" w:color="auto" w:fill="F7F7F7"/>
                <w:vAlign w:val="center"/>
              </w:tcPr>
              <w:p w14:paraId="35379E28"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SCAEN</w:t>
                </w:r>
              </w:p>
            </w:tc>
          </w:tr>
          <w:tr w:rsidR="004F0F3F" w14:paraId="341C692C" w14:textId="77777777" w:rsidTr="00DF5481">
            <w:trPr>
              <w:trHeight w:val="432"/>
            </w:trPr>
            <w:tc>
              <w:tcPr>
                <w:tcW w:w="2675" w:type="dxa"/>
                <w:tcBorders>
                  <w:top w:val="single" w:sz="2" w:space="0" w:color="F2F2F2" w:themeColor="background1" w:themeShade="F2"/>
                  <w:bottom w:val="single" w:sz="2" w:space="0" w:color="F2F2F2" w:themeColor="background1" w:themeShade="F2"/>
                </w:tcBorders>
                <w:shd w:val="clear" w:color="auto" w:fill="F7F7F7"/>
                <w:vAlign w:val="center"/>
              </w:tcPr>
              <w:p w14:paraId="7879C6FD"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Suryanarayana Satish</w:t>
                </w:r>
              </w:p>
            </w:tc>
            <w:tc>
              <w:tcPr>
                <w:tcW w:w="3067" w:type="dxa"/>
                <w:tcBorders>
                  <w:top w:val="single" w:sz="2" w:space="0" w:color="F2F2F2" w:themeColor="background1" w:themeShade="F2"/>
                  <w:bottom w:val="single" w:sz="2" w:space="0" w:color="F2F2F2" w:themeColor="background1" w:themeShade="F2"/>
                </w:tcBorders>
                <w:shd w:val="clear" w:color="auto" w:fill="F7F7F7"/>
                <w:vAlign w:val="center"/>
              </w:tcPr>
              <w:p w14:paraId="72D3D94F"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Social Specialist (ADM Responsible)</w:t>
                </w:r>
              </w:p>
            </w:tc>
            <w:tc>
              <w:tcPr>
                <w:tcW w:w="2970" w:type="dxa"/>
                <w:tcBorders>
                  <w:top w:val="single" w:sz="2" w:space="0" w:color="F2F2F2" w:themeColor="background1" w:themeShade="F2"/>
                  <w:bottom w:val="single" w:sz="2" w:space="0" w:color="F2F2F2" w:themeColor="background1" w:themeShade="F2"/>
                </w:tcBorders>
                <w:shd w:val="clear" w:color="auto" w:fill="F7F7F7"/>
                <w:vAlign w:val="center"/>
              </w:tcPr>
              <w:p w14:paraId="4444A036"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Social</w:t>
                </w:r>
              </w:p>
            </w:tc>
            <w:tc>
              <w:tcPr>
                <w:tcW w:w="1890" w:type="dxa"/>
                <w:tcBorders>
                  <w:top w:val="single" w:sz="2" w:space="0" w:color="F2F2F2" w:themeColor="background1" w:themeShade="F2"/>
                  <w:bottom w:val="single" w:sz="2" w:space="0" w:color="F2F2F2" w:themeColor="background1" w:themeShade="F2"/>
                </w:tcBorders>
                <w:shd w:val="clear" w:color="auto" w:fill="F7F7F7"/>
                <w:vAlign w:val="center"/>
              </w:tcPr>
              <w:p w14:paraId="17C322D8"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SCASO</w:t>
                </w:r>
              </w:p>
            </w:tc>
          </w:tr>
          <w:tr w:rsidR="004F0F3F" w14:paraId="54A5F081" w14:textId="77777777" w:rsidTr="00DF5481">
            <w:trPr>
              <w:trHeight w:val="432"/>
            </w:trPr>
            <w:tc>
              <w:tcPr>
                <w:tcW w:w="2675" w:type="dxa"/>
                <w:tcBorders>
                  <w:top w:val="single" w:sz="2" w:space="0" w:color="F2F2F2" w:themeColor="background1" w:themeShade="F2"/>
                  <w:bottom w:val="single" w:sz="2" w:space="0" w:color="F2F2F2" w:themeColor="background1" w:themeShade="F2"/>
                </w:tcBorders>
                <w:shd w:val="clear" w:color="auto" w:fill="F7F7F7"/>
                <w:vAlign w:val="center"/>
              </w:tcPr>
              <w:p w14:paraId="40FB995F"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Audrey Sacks</w:t>
                </w:r>
              </w:p>
            </w:tc>
            <w:tc>
              <w:tcPr>
                <w:tcW w:w="3067" w:type="dxa"/>
                <w:tcBorders>
                  <w:top w:val="single" w:sz="2" w:space="0" w:color="F2F2F2" w:themeColor="background1" w:themeShade="F2"/>
                  <w:bottom w:val="single" w:sz="2" w:space="0" w:color="F2F2F2" w:themeColor="background1" w:themeShade="F2"/>
                </w:tcBorders>
                <w:shd w:val="clear" w:color="auto" w:fill="F7F7F7"/>
                <w:vAlign w:val="center"/>
              </w:tcPr>
              <w:p w14:paraId="0F37A9EE"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Team Member</w:t>
                </w:r>
              </w:p>
            </w:tc>
            <w:tc>
              <w:tcPr>
                <w:tcW w:w="2970" w:type="dxa"/>
                <w:tcBorders>
                  <w:top w:val="single" w:sz="2" w:space="0" w:color="F2F2F2" w:themeColor="background1" w:themeShade="F2"/>
                  <w:bottom w:val="single" w:sz="2" w:space="0" w:color="F2F2F2" w:themeColor="background1" w:themeShade="F2"/>
                </w:tcBorders>
                <w:shd w:val="clear" w:color="auto" w:fill="F7F7F7"/>
                <w:vAlign w:val="center"/>
              </w:tcPr>
              <w:p w14:paraId="657ECFD3"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Gender</w:t>
                </w:r>
              </w:p>
            </w:tc>
            <w:tc>
              <w:tcPr>
                <w:tcW w:w="1890" w:type="dxa"/>
                <w:tcBorders>
                  <w:top w:val="single" w:sz="2" w:space="0" w:color="F2F2F2" w:themeColor="background1" w:themeShade="F2"/>
                  <w:bottom w:val="single" w:sz="2" w:space="0" w:color="F2F2F2" w:themeColor="background1" w:themeShade="F2"/>
                </w:tcBorders>
                <w:shd w:val="clear" w:color="auto" w:fill="F7F7F7"/>
                <w:vAlign w:val="center"/>
              </w:tcPr>
              <w:p w14:paraId="4CF7AC9D"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SCASO</w:t>
                </w:r>
              </w:p>
            </w:tc>
          </w:tr>
          <w:tr w:rsidR="004F0F3F" w14:paraId="104CD3E9" w14:textId="77777777" w:rsidTr="00DF5481">
            <w:trPr>
              <w:trHeight w:val="432"/>
            </w:trPr>
            <w:tc>
              <w:tcPr>
                <w:tcW w:w="2675" w:type="dxa"/>
                <w:tcBorders>
                  <w:top w:val="single" w:sz="2" w:space="0" w:color="F2F2F2" w:themeColor="background1" w:themeShade="F2"/>
                  <w:bottom w:val="single" w:sz="2" w:space="0" w:color="F2F2F2" w:themeColor="background1" w:themeShade="F2"/>
                </w:tcBorders>
                <w:shd w:val="clear" w:color="auto" w:fill="F7F7F7"/>
                <w:vAlign w:val="center"/>
              </w:tcPr>
              <w:p w14:paraId="7D086D29"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Dilip Kumar Prusty Chinari</w:t>
                </w:r>
              </w:p>
            </w:tc>
            <w:tc>
              <w:tcPr>
                <w:tcW w:w="3067" w:type="dxa"/>
                <w:tcBorders>
                  <w:top w:val="single" w:sz="2" w:space="0" w:color="F2F2F2" w:themeColor="background1" w:themeShade="F2"/>
                  <w:bottom w:val="single" w:sz="2" w:space="0" w:color="F2F2F2" w:themeColor="background1" w:themeShade="F2"/>
                </w:tcBorders>
                <w:shd w:val="clear" w:color="auto" w:fill="F7F7F7"/>
                <w:vAlign w:val="center"/>
              </w:tcPr>
              <w:p w14:paraId="4750B81A"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Team Member</w:t>
                </w:r>
              </w:p>
            </w:tc>
            <w:tc>
              <w:tcPr>
                <w:tcW w:w="2970" w:type="dxa"/>
                <w:tcBorders>
                  <w:top w:val="single" w:sz="2" w:space="0" w:color="F2F2F2" w:themeColor="background1" w:themeShade="F2"/>
                  <w:bottom w:val="single" w:sz="2" w:space="0" w:color="F2F2F2" w:themeColor="background1" w:themeShade="F2"/>
                </w:tcBorders>
                <w:shd w:val="clear" w:color="auto" w:fill="F7F7F7"/>
                <w:vAlign w:val="center"/>
              </w:tcPr>
              <w:p w14:paraId="7EB3A12C"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Disbursements</w:t>
                </w:r>
              </w:p>
            </w:tc>
            <w:tc>
              <w:tcPr>
                <w:tcW w:w="1890" w:type="dxa"/>
                <w:tcBorders>
                  <w:top w:val="single" w:sz="2" w:space="0" w:color="F2F2F2" w:themeColor="background1" w:themeShade="F2"/>
                  <w:bottom w:val="single" w:sz="2" w:space="0" w:color="F2F2F2" w:themeColor="background1" w:themeShade="F2"/>
                </w:tcBorders>
                <w:shd w:val="clear" w:color="auto" w:fill="F7F7F7"/>
                <w:vAlign w:val="center"/>
              </w:tcPr>
              <w:p w14:paraId="4C3B0C1F"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WFACS</w:t>
                </w:r>
              </w:p>
            </w:tc>
          </w:tr>
          <w:tr w:rsidR="004F0F3F" w14:paraId="330616D2" w14:textId="77777777" w:rsidTr="00DF5481">
            <w:trPr>
              <w:trHeight w:val="432"/>
            </w:trPr>
            <w:tc>
              <w:tcPr>
                <w:tcW w:w="2675" w:type="dxa"/>
                <w:tcBorders>
                  <w:top w:val="single" w:sz="2" w:space="0" w:color="F2F2F2" w:themeColor="background1" w:themeShade="F2"/>
                  <w:bottom w:val="single" w:sz="2" w:space="0" w:color="F2F2F2" w:themeColor="background1" w:themeShade="F2"/>
                </w:tcBorders>
                <w:shd w:val="clear" w:color="auto" w:fill="F7F7F7"/>
                <w:vAlign w:val="center"/>
              </w:tcPr>
              <w:p w14:paraId="6E6A5288"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Dung Kim Le</w:t>
                </w:r>
              </w:p>
            </w:tc>
            <w:tc>
              <w:tcPr>
                <w:tcW w:w="3067" w:type="dxa"/>
                <w:tcBorders>
                  <w:top w:val="single" w:sz="2" w:space="0" w:color="F2F2F2" w:themeColor="background1" w:themeShade="F2"/>
                  <w:bottom w:val="single" w:sz="2" w:space="0" w:color="F2F2F2" w:themeColor="background1" w:themeShade="F2"/>
                </w:tcBorders>
                <w:shd w:val="clear" w:color="auto" w:fill="F7F7F7"/>
                <w:vAlign w:val="center"/>
              </w:tcPr>
              <w:p w14:paraId="7FED10C8"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Team Member</w:t>
                </w:r>
              </w:p>
            </w:tc>
            <w:tc>
              <w:tcPr>
                <w:tcW w:w="2970" w:type="dxa"/>
                <w:tcBorders>
                  <w:top w:val="single" w:sz="2" w:space="0" w:color="F2F2F2" w:themeColor="background1" w:themeShade="F2"/>
                  <w:bottom w:val="single" w:sz="2" w:space="0" w:color="F2F2F2" w:themeColor="background1" w:themeShade="F2"/>
                </w:tcBorders>
                <w:shd w:val="clear" w:color="auto" w:fill="F7F7F7"/>
                <w:vAlign w:val="center"/>
              </w:tcPr>
              <w:p w14:paraId="44A9BFB8"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Operational support</w:t>
                </w:r>
              </w:p>
            </w:tc>
            <w:tc>
              <w:tcPr>
                <w:tcW w:w="1890" w:type="dxa"/>
                <w:tcBorders>
                  <w:top w:val="single" w:sz="2" w:space="0" w:color="F2F2F2" w:themeColor="background1" w:themeShade="F2"/>
                  <w:bottom w:val="single" w:sz="2" w:space="0" w:color="F2F2F2" w:themeColor="background1" w:themeShade="F2"/>
                </w:tcBorders>
                <w:shd w:val="clear" w:color="auto" w:fill="F7F7F7"/>
                <w:vAlign w:val="center"/>
              </w:tcPr>
              <w:p w14:paraId="3F2CC172"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IECE1</w:t>
                </w:r>
              </w:p>
            </w:tc>
          </w:tr>
          <w:tr w:rsidR="004F0F3F" w14:paraId="4075F9FC" w14:textId="77777777" w:rsidTr="00DF5481">
            <w:trPr>
              <w:trHeight w:val="432"/>
            </w:trPr>
            <w:tc>
              <w:tcPr>
                <w:tcW w:w="2675" w:type="dxa"/>
                <w:tcBorders>
                  <w:top w:val="single" w:sz="2" w:space="0" w:color="F2F2F2" w:themeColor="background1" w:themeShade="F2"/>
                  <w:bottom w:val="single" w:sz="2" w:space="0" w:color="F2F2F2" w:themeColor="background1" w:themeShade="F2"/>
                </w:tcBorders>
                <w:shd w:val="clear" w:color="auto" w:fill="F7F7F7"/>
                <w:vAlign w:val="center"/>
              </w:tcPr>
              <w:p w14:paraId="0BA6390E"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Farida Mamadaslamova</w:t>
                </w:r>
              </w:p>
            </w:tc>
            <w:tc>
              <w:tcPr>
                <w:tcW w:w="3067" w:type="dxa"/>
                <w:tcBorders>
                  <w:top w:val="single" w:sz="2" w:space="0" w:color="F2F2F2" w:themeColor="background1" w:themeShade="F2"/>
                  <w:bottom w:val="single" w:sz="2" w:space="0" w:color="F2F2F2" w:themeColor="background1" w:themeShade="F2"/>
                </w:tcBorders>
                <w:shd w:val="clear" w:color="auto" w:fill="F7F7F7"/>
                <w:vAlign w:val="center"/>
              </w:tcPr>
              <w:p w14:paraId="02E77B7F"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Team Member</w:t>
                </w:r>
              </w:p>
            </w:tc>
            <w:tc>
              <w:tcPr>
                <w:tcW w:w="2970" w:type="dxa"/>
                <w:tcBorders>
                  <w:top w:val="single" w:sz="2" w:space="0" w:color="F2F2F2" w:themeColor="background1" w:themeShade="F2"/>
                  <w:bottom w:val="single" w:sz="2" w:space="0" w:color="F2F2F2" w:themeColor="background1" w:themeShade="F2"/>
                </w:tcBorders>
                <w:shd w:val="clear" w:color="auto" w:fill="F7F7F7"/>
                <w:vAlign w:val="center"/>
              </w:tcPr>
              <w:p w14:paraId="05796D77"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Energy specialist</w:t>
                </w:r>
              </w:p>
            </w:tc>
            <w:tc>
              <w:tcPr>
                <w:tcW w:w="1890" w:type="dxa"/>
                <w:tcBorders>
                  <w:top w:val="single" w:sz="2" w:space="0" w:color="F2F2F2" w:themeColor="background1" w:themeShade="F2"/>
                  <w:bottom w:val="single" w:sz="2" w:space="0" w:color="F2F2F2" w:themeColor="background1" w:themeShade="F2"/>
                </w:tcBorders>
                <w:shd w:val="clear" w:color="auto" w:fill="F7F7F7"/>
                <w:vAlign w:val="center"/>
              </w:tcPr>
              <w:p w14:paraId="1E6915CC"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IECE1</w:t>
                </w:r>
              </w:p>
            </w:tc>
          </w:tr>
          <w:tr w:rsidR="004F0F3F" w14:paraId="256650F8" w14:textId="77777777" w:rsidTr="00DF5481">
            <w:trPr>
              <w:trHeight w:val="432"/>
            </w:trPr>
            <w:tc>
              <w:tcPr>
                <w:tcW w:w="2675" w:type="dxa"/>
                <w:tcBorders>
                  <w:top w:val="single" w:sz="2" w:space="0" w:color="F2F2F2" w:themeColor="background1" w:themeShade="F2"/>
                  <w:bottom w:val="single" w:sz="2" w:space="0" w:color="F2F2F2" w:themeColor="background1" w:themeShade="F2"/>
                </w:tcBorders>
                <w:shd w:val="clear" w:color="auto" w:fill="F7F7F7"/>
                <w:vAlign w:val="center"/>
              </w:tcPr>
              <w:p w14:paraId="0903FCB3"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Hiwote Tadesse</w:t>
                </w:r>
              </w:p>
            </w:tc>
            <w:tc>
              <w:tcPr>
                <w:tcW w:w="3067" w:type="dxa"/>
                <w:tcBorders>
                  <w:top w:val="single" w:sz="2" w:space="0" w:color="F2F2F2" w:themeColor="background1" w:themeShade="F2"/>
                  <w:bottom w:val="single" w:sz="2" w:space="0" w:color="F2F2F2" w:themeColor="background1" w:themeShade="F2"/>
                </w:tcBorders>
                <w:shd w:val="clear" w:color="auto" w:fill="F7F7F7"/>
                <w:vAlign w:val="center"/>
              </w:tcPr>
              <w:p w14:paraId="79020709"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Team Member</w:t>
                </w:r>
              </w:p>
            </w:tc>
            <w:tc>
              <w:tcPr>
                <w:tcW w:w="2970" w:type="dxa"/>
                <w:tcBorders>
                  <w:top w:val="single" w:sz="2" w:space="0" w:color="F2F2F2" w:themeColor="background1" w:themeShade="F2"/>
                  <w:bottom w:val="single" w:sz="2" w:space="0" w:color="F2F2F2" w:themeColor="background1" w:themeShade="F2"/>
                </w:tcBorders>
                <w:shd w:val="clear" w:color="auto" w:fill="F7F7F7"/>
                <w:vAlign w:val="center"/>
              </w:tcPr>
              <w:p w14:paraId="5DD4E452"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Operational</w:t>
                </w:r>
              </w:p>
            </w:tc>
            <w:tc>
              <w:tcPr>
                <w:tcW w:w="1890" w:type="dxa"/>
                <w:tcBorders>
                  <w:top w:val="single" w:sz="2" w:space="0" w:color="F2F2F2" w:themeColor="background1" w:themeShade="F2"/>
                  <w:bottom w:val="single" w:sz="2" w:space="0" w:color="F2F2F2" w:themeColor="background1" w:themeShade="F2"/>
                </w:tcBorders>
                <w:shd w:val="clear" w:color="auto" w:fill="F7F7F7"/>
                <w:vAlign w:val="center"/>
              </w:tcPr>
              <w:p w14:paraId="4B4807F6"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IECE1</w:t>
                </w:r>
              </w:p>
            </w:tc>
          </w:tr>
          <w:tr w:rsidR="004F0F3F" w14:paraId="41608883" w14:textId="77777777" w:rsidTr="00DF5481">
            <w:trPr>
              <w:trHeight w:val="432"/>
            </w:trPr>
            <w:tc>
              <w:tcPr>
                <w:tcW w:w="2675" w:type="dxa"/>
                <w:tcBorders>
                  <w:top w:val="single" w:sz="2" w:space="0" w:color="F2F2F2" w:themeColor="background1" w:themeShade="F2"/>
                  <w:bottom w:val="single" w:sz="2" w:space="0" w:color="F2F2F2" w:themeColor="background1" w:themeShade="F2"/>
                </w:tcBorders>
                <w:shd w:val="clear" w:color="auto" w:fill="F7F7F7"/>
                <w:vAlign w:val="center"/>
              </w:tcPr>
              <w:p w14:paraId="613D0372"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Joerie Frederik de Wit</w:t>
                </w:r>
              </w:p>
            </w:tc>
            <w:tc>
              <w:tcPr>
                <w:tcW w:w="3067" w:type="dxa"/>
                <w:tcBorders>
                  <w:top w:val="single" w:sz="2" w:space="0" w:color="F2F2F2" w:themeColor="background1" w:themeShade="F2"/>
                  <w:bottom w:val="single" w:sz="2" w:space="0" w:color="F2F2F2" w:themeColor="background1" w:themeShade="F2"/>
                </w:tcBorders>
                <w:shd w:val="clear" w:color="auto" w:fill="F7F7F7"/>
                <w:vAlign w:val="center"/>
              </w:tcPr>
              <w:p w14:paraId="7CBA25F2"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Team Member</w:t>
                </w:r>
              </w:p>
            </w:tc>
            <w:tc>
              <w:tcPr>
                <w:tcW w:w="2970" w:type="dxa"/>
                <w:tcBorders>
                  <w:top w:val="single" w:sz="2" w:space="0" w:color="F2F2F2" w:themeColor="background1" w:themeShade="F2"/>
                  <w:bottom w:val="single" w:sz="2" w:space="0" w:color="F2F2F2" w:themeColor="background1" w:themeShade="F2"/>
                </w:tcBorders>
                <w:shd w:val="clear" w:color="auto" w:fill="F7F7F7"/>
                <w:vAlign w:val="center"/>
              </w:tcPr>
              <w:p w14:paraId="0C4EA695"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Energy economist</w:t>
                </w:r>
              </w:p>
            </w:tc>
            <w:tc>
              <w:tcPr>
                <w:tcW w:w="1890" w:type="dxa"/>
                <w:tcBorders>
                  <w:top w:val="single" w:sz="2" w:space="0" w:color="F2F2F2" w:themeColor="background1" w:themeShade="F2"/>
                  <w:bottom w:val="single" w:sz="2" w:space="0" w:color="F2F2F2" w:themeColor="background1" w:themeShade="F2"/>
                </w:tcBorders>
                <w:shd w:val="clear" w:color="auto" w:fill="F7F7F7"/>
                <w:vAlign w:val="center"/>
              </w:tcPr>
              <w:p w14:paraId="40596ABC"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IEEES</w:t>
                </w:r>
              </w:p>
            </w:tc>
          </w:tr>
          <w:tr w:rsidR="004F0F3F" w14:paraId="1C7CFFF1" w14:textId="77777777" w:rsidTr="00DF5481">
            <w:trPr>
              <w:trHeight w:val="432"/>
            </w:trPr>
            <w:tc>
              <w:tcPr>
                <w:tcW w:w="2675" w:type="dxa"/>
                <w:tcBorders>
                  <w:top w:val="single" w:sz="2" w:space="0" w:color="F2F2F2" w:themeColor="background1" w:themeShade="F2"/>
                  <w:bottom w:val="single" w:sz="2" w:space="0" w:color="F2F2F2" w:themeColor="background1" w:themeShade="F2"/>
                </w:tcBorders>
                <w:shd w:val="clear" w:color="auto" w:fill="F7F7F7"/>
                <w:vAlign w:val="center"/>
              </w:tcPr>
              <w:p w14:paraId="2F61D7BE"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Ma Dessirie Kalinski</w:t>
                </w:r>
              </w:p>
            </w:tc>
            <w:tc>
              <w:tcPr>
                <w:tcW w:w="3067" w:type="dxa"/>
                <w:tcBorders>
                  <w:top w:val="single" w:sz="2" w:space="0" w:color="F2F2F2" w:themeColor="background1" w:themeShade="F2"/>
                  <w:bottom w:val="single" w:sz="2" w:space="0" w:color="F2F2F2" w:themeColor="background1" w:themeShade="F2"/>
                </w:tcBorders>
                <w:shd w:val="clear" w:color="auto" w:fill="F7F7F7"/>
                <w:vAlign w:val="center"/>
              </w:tcPr>
              <w:p w14:paraId="579E58CE"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Team Member</w:t>
                </w:r>
              </w:p>
            </w:tc>
            <w:tc>
              <w:tcPr>
                <w:tcW w:w="2970" w:type="dxa"/>
                <w:tcBorders>
                  <w:top w:val="single" w:sz="2" w:space="0" w:color="F2F2F2" w:themeColor="background1" w:themeShade="F2"/>
                  <w:bottom w:val="single" w:sz="2" w:space="0" w:color="F2F2F2" w:themeColor="background1" w:themeShade="F2"/>
                </w:tcBorders>
                <w:shd w:val="clear" w:color="auto" w:fill="F7F7F7"/>
                <w:vAlign w:val="center"/>
              </w:tcPr>
              <w:p w14:paraId="70C1CD4B"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Finance analyst</w:t>
                </w:r>
              </w:p>
            </w:tc>
            <w:tc>
              <w:tcPr>
                <w:tcW w:w="1890" w:type="dxa"/>
                <w:tcBorders>
                  <w:top w:val="single" w:sz="2" w:space="0" w:color="F2F2F2" w:themeColor="background1" w:themeShade="F2"/>
                  <w:bottom w:val="single" w:sz="2" w:space="0" w:color="F2F2F2" w:themeColor="background1" w:themeShade="F2"/>
                </w:tcBorders>
                <w:shd w:val="clear" w:color="auto" w:fill="F7F7F7"/>
                <w:vAlign w:val="center"/>
              </w:tcPr>
              <w:p w14:paraId="55EDBD1E"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WFACS</w:t>
                </w:r>
              </w:p>
            </w:tc>
          </w:tr>
          <w:tr w:rsidR="004F0F3F" w14:paraId="6FAF8F84" w14:textId="77777777" w:rsidTr="00DF5481">
            <w:trPr>
              <w:trHeight w:val="432"/>
            </w:trPr>
            <w:tc>
              <w:tcPr>
                <w:tcW w:w="2675" w:type="dxa"/>
                <w:tcBorders>
                  <w:top w:val="single" w:sz="2" w:space="0" w:color="F2F2F2" w:themeColor="background1" w:themeShade="F2"/>
                  <w:bottom w:val="single" w:sz="2" w:space="0" w:color="F2F2F2" w:themeColor="background1" w:themeShade="F2"/>
                </w:tcBorders>
                <w:shd w:val="clear" w:color="auto" w:fill="F7F7F7"/>
                <w:vAlign w:val="center"/>
              </w:tcPr>
              <w:p w14:paraId="02738471"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Manuel Jose Millan Sanchez</w:t>
                </w:r>
              </w:p>
            </w:tc>
            <w:tc>
              <w:tcPr>
                <w:tcW w:w="3067" w:type="dxa"/>
                <w:tcBorders>
                  <w:top w:val="single" w:sz="2" w:space="0" w:color="F2F2F2" w:themeColor="background1" w:themeShade="F2"/>
                  <w:bottom w:val="single" w:sz="2" w:space="0" w:color="F2F2F2" w:themeColor="background1" w:themeShade="F2"/>
                </w:tcBorders>
                <w:shd w:val="clear" w:color="auto" w:fill="F7F7F7"/>
                <w:vAlign w:val="center"/>
              </w:tcPr>
              <w:p w14:paraId="24AC85E5"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Team Member</w:t>
                </w:r>
              </w:p>
            </w:tc>
            <w:tc>
              <w:tcPr>
                <w:tcW w:w="2970" w:type="dxa"/>
                <w:tcBorders>
                  <w:top w:val="single" w:sz="2" w:space="0" w:color="F2F2F2" w:themeColor="background1" w:themeShade="F2"/>
                  <w:bottom w:val="single" w:sz="2" w:space="0" w:color="F2F2F2" w:themeColor="background1" w:themeShade="F2"/>
                </w:tcBorders>
                <w:shd w:val="clear" w:color="auto" w:fill="F7F7F7"/>
                <w:vAlign w:val="center"/>
              </w:tcPr>
              <w:p w14:paraId="0999676E"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Technical</w:t>
                </w:r>
              </w:p>
            </w:tc>
            <w:tc>
              <w:tcPr>
                <w:tcW w:w="1890" w:type="dxa"/>
                <w:tcBorders>
                  <w:top w:val="single" w:sz="2" w:space="0" w:color="F2F2F2" w:themeColor="background1" w:themeShade="F2"/>
                  <w:bottom w:val="single" w:sz="2" w:space="0" w:color="F2F2F2" w:themeColor="background1" w:themeShade="F2"/>
                </w:tcBorders>
                <w:shd w:val="clear" w:color="auto" w:fill="F7F7F7"/>
                <w:vAlign w:val="center"/>
              </w:tcPr>
              <w:p w14:paraId="5D21AB25"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IECE1</w:t>
                </w:r>
              </w:p>
            </w:tc>
          </w:tr>
          <w:tr w:rsidR="004F0F3F" w14:paraId="44D97FB4" w14:textId="77777777" w:rsidTr="00DF5481">
            <w:trPr>
              <w:trHeight w:val="432"/>
            </w:trPr>
            <w:tc>
              <w:tcPr>
                <w:tcW w:w="2675" w:type="dxa"/>
                <w:tcBorders>
                  <w:top w:val="single" w:sz="2" w:space="0" w:color="F2F2F2" w:themeColor="background1" w:themeShade="F2"/>
                  <w:bottom w:val="single" w:sz="2" w:space="0" w:color="F2F2F2" w:themeColor="background1" w:themeShade="F2"/>
                </w:tcBorders>
                <w:shd w:val="clear" w:color="auto" w:fill="F7F7F7"/>
                <w:vAlign w:val="center"/>
              </w:tcPr>
              <w:p w14:paraId="3D21BC6E"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Natalia Manuilova</w:t>
                </w:r>
              </w:p>
            </w:tc>
            <w:tc>
              <w:tcPr>
                <w:tcW w:w="3067" w:type="dxa"/>
                <w:tcBorders>
                  <w:top w:val="single" w:sz="2" w:space="0" w:color="F2F2F2" w:themeColor="background1" w:themeShade="F2"/>
                  <w:bottom w:val="single" w:sz="2" w:space="0" w:color="F2F2F2" w:themeColor="background1" w:themeShade="F2"/>
                </w:tcBorders>
                <w:shd w:val="clear" w:color="auto" w:fill="F7F7F7"/>
                <w:vAlign w:val="center"/>
              </w:tcPr>
              <w:p w14:paraId="52469D01"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Team Member</w:t>
                </w:r>
              </w:p>
            </w:tc>
            <w:tc>
              <w:tcPr>
                <w:tcW w:w="2970" w:type="dxa"/>
                <w:tcBorders>
                  <w:top w:val="single" w:sz="2" w:space="0" w:color="F2F2F2" w:themeColor="background1" w:themeShade="F2"/>
                  <w:bottom w:val="single" w:sz="2" w:space="0" w:color="F2F2F2" w:themeColor="background1" w:themeShade="F2"/>
                </w:tcBorders>
                <w:shd w:val="clear" w:color="auto" w:fill="F7F7F7"/>
                <w:vAlign w:val="center"/>
              </w:tcPr>
              <w:p w14:paraId="7A020F6B"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Governance</w:t>
                </w:r>
              </w:p>
            </w:tc>
            <w:tc>
              <w:tcPr>
                <w:tcW w:w="1890" w:type="dxa"/>
                <w:tcBorders>
                  <w:top w:val="single" w:sz="2" w:space="0" w:color="F2F2F2" w:themeColor="background1" w:themeShade="F2"/>
                  <w:bottom w:val="single" w:sz="2" w:space="0" w:color="F2F2F2" w:themeColor="background1" w:themeShade="F2"/>
                </w:tcBorders>
                <w:shd w:val="clear" w:color="auto" w:fill="F7F7F7"/>
                <w:vAlign w:val="center"/>
              </w:tcPr>
              <w:p w14:paraId="3C1676D4"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EECG1</w:t>
                </w:r>
              </w:p>
            </w:tc>
          </w:tr>
          <w:tr w:rsidR="004F0F3F" w14:paraId="096D4E33" w14:textId="77777777" w:rsidTr="00DF5481">
            <w:trPr>
              <w:trHeight w:val="432"/>
            </w:trPr>
            <w:tc>
              <w:tcPr>
                <w:tcW w:w="2675" w:type="dxa"/>
                <w:tcBorders>
                  <w:top w:val="single" w:sz="2" w:space="0" w:color="F2F2F2" w:themeColor="background1" w:themeShade="F2"/>
                  <w:bottom w:val="single" w:sz="2" w:space="0" w:color="F2F2F2" w:themeColor="background1" w:themeShade="F2"/>
                </w:tcBorders>
                <w:shd w:val="clear" w:color="auto" w:fill="F7F7F7"/>
                <w:vAlign w:val="center"/>
              </w:tcPr>
              <w:p w14:paraId="6704EA50"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Niso Bazidova</w:t>
                </w:r>
              </w:p>
            </w:tc>
            <w:tc>
              <w:tcPr>
                <w:tcW w:w="3067" w:type="dxa"/>
                <w:tcBorders>
                  <w:top w:val="single" w:sz="2" w:space="0" w:color="F2F2F2" w:themeColor="background1" w:themeShade="F2"/>
                  <w:bottom w:val="single" w:sz="2" w:space="0" w:color="F2F2F2" w:themeColor="background1" w:themeShade="F2"/>
                </w:tcBorders>
                <w:shd w:val="clear" w:color="auto" w:fill="F7F7F7"/>
                <w:vAlign w:val="center"/>
              </w:tcPr>
              <w:p w14:paraId="429DFBAB"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Team Member</w:t>
                </w:r>
              </w:p>
            </w:tc>
            <w:tc>
              <w:tcPr>
                <w:tcW w:w="2970" w:type="dxa"/>
                <w:tcBorders>
                  <w:top w:val="single" w:sz="2" w:space="0" w:color="F2F2F2" w:themeColor="background1" w:themeShade="F2"/>
                  <w:bottom w:val="single" w:sz="2" w:space="0" w:color="F2F2F2" w:themeColor="background1" w:themeShade="F2"/>
                </w:tcBorders>
                <w:shd w:val="clear" w:color="auto" w:fill="F7F7F7"/>
                <w:vAlign w:val="center"/>
              </w:tcPr>
              <w:p w14:paraId="41CCAB95"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Financial</w:t>
                </w:r>
              </w:p>
            </w:tc>
            <w:tc>
              <w:tcPr>
                <w:tcW w:w="1890" w:type="dxa"/>
                <w:tcBorders>
                  <w:top w:val="single" w:sz="2" w:space="0" w:color="F2F2F2" w:themeColor="background1" w:themeShade="F2"/>
                  <w:bottom w:val="single" w:sz="2" w:space="0" w:color="F2F2F2" w:themeColor="background1" w:themeShade="F2"/>
                </w:tcBorders>
                <w:shd w:val="clear" w:color="auto" w:fill="F7F7F7"/>
                <w:vAlign w:val="center"/>
              </w:tcPr>
              <w:p w14:paraId="63DF5283"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EECG1</w:t>
                </w:r>
              </w:p>
            </w:tc>
          </w:tr>
          <w:tr w:rsidR="004F0F3F" w14:paraId="0C0297E6" w14:textId="77777777" w:rsidTr="00DF5481">
            <w:trPr>
              <w:trHeight w:val="432"/>
            </w:trPr>
            <w:tc>
              <w:tcPr>
                <w:tcW w:w="2675" w:type="dxa"/>
                <w:tcBorders>
                  <w:top w:val="single" w:sz="2" w:space="0" w:color="F2F2F2" w:themeColor="background1" w:themeShade="F2"/>
                  <w:bottom w:val="single" w:sz="2" w:space="0" w:color="F2F2F2" w:themeColor="background1" w:themeShade="F2"/>
                </w:tcBorders>
                <w:shd w:val="clear" w:color="auto" w:fill="F7F7F7"/>
                <w:vAlign w:val="center"/>
              </w:tcPr>
              <w:p w14:paraId="415DAF80"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Oleksiy A. Sluchynskyy</w:t>
                </w:r>
              </w:p>
            </w:tc>
            <w:tc>
              <w:tcPr>
                <w:tcW w:w="3067" w:type="dxa"/>
                <w:tcBorders>
                  <w:top w:val="single" w:sz="2" w:space="0" w:color="F2F2F2" w:themeColor="background1" w:themeShade="F2"/>
                  <w:bottom w:val="single" w:sz="2" w:space="0" w:color="F2F2F2" w:themeColor="background1" w:themeShade="F2"/>
                </w:tcBorders>
                <w:shd w:val="clear" w:color="auto" w:fill="F7F7F7"/>
                <w:vAlign w:val="center"/>
              </w:tcPr>
              <w:p w14:paraId="4222AB73"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Team Member</w:t>
                </w:r>
              </w:p>
            </w:tc>
            <w:tc>
              <w:tcPr>
                <w:tcW w:w="2970" w:type="dxa"/>
                <w:tcBorders>
                  <w:top w:val="single" w:sz="2" w:space="0" w:color="F2F2F2" w:themeColor="background1" w:themeShade="F2"/>
                  <w:bottom w:val="single" w:sz="2" w:space="0" w:color="F2F2F2" w:themeColor="background1" w:themeShade="F2"/>
                </w:tcBorders>
                <w:shd w:val="clear" w:color="auto" w:fill="F7F7F7"/>
                <w:vAlign w:val="center"/>
              </w:tcPr>
              <w:p w14:paraId="47182E79"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Social protection</w:t>
                </w:r>
              </w:p>
            </w:tc>
            <w:tc>
              <w:tcPr>
                <w:tcW w:w="1890" w:type="dxa"/>
                <w:tcBorders>
                  <w:top w:val="single" w:sz="2" w:space="0" w:color="F2F2F2" w:themeColor="background1" w:themeShade="F2"/>
                  <w:bottom w:val="single" w:sz="2" w:space="0" w:color="F2F2F2" w:themeColor="background1" w:themeShade="F2"/>
                </w:tcBorders>
                <w:shd w:val="clear" w:color="auto" w:fill="F7F7F7"/>
                <w:vAlign w:val="center"/>
              </w:tcPr>
              <w:p w14:paraId="05BBADAE"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HMNSP</w:t>
                </w:r>
              </w:p>
            </w:tc>
          </w:tr>
          <w:tr w:rsidR="004F0F3F" w14:paraId="3923DCAC" w14:textId="77777777" w:rsidTr="00DF5481">
            <w:trPr>
              <w:trHeight w:val="432"/>
            </w:trPr>
            <w:tc>
              <w:tcPr>
                <w:tcW w:w="2675" w:type="dxa"/>
                <w:tcBorders>
                  <w:top w:val="single" w:sz="2" w:space="0" w:color="F2F2F2" w:themeColor="background1" w:themeShade="F2"/>
                  <w:bottom w:val="single" w:sz="2" w:space="0" w:color="F2F2F2" w:themeColor="background1" w:themeShade="F2"/>
                </w:tcBorders>
                <w:shd w:val="clear" w:color="auto" w:fill="F7F7F7"/>
                <w:vAlign w:val="center"/>
              </w:tcPr>
              <w:p w14:paraId="5A8A020F"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Prachi Shrikant Tadsare</w:t>
                </w:r>
              </w:p>
            </w:tc>
            <w:tc>
              <w:tcPr>
                <w:tcW w:w="3067" w:type="dxa"/>
                <w:tcBorders>
                  <w:top w:val="single" w:sz="2" w:space="0" w:color="F2F2F2" w:themeColor="background1" w:themeShade="F2"/>
                  <w:bottom w:val="single" w:sz="2" w:space="0" w:color="F2F2F2" w:themeColor="background1" w:themeShade="F2"/>
                </w:tcBorders>
                <w:shd w:val="clear" w:color="auto" w:fill="F7F7F7"/>
                <w:vAlign w:val="center"/>
              </w:tcPr>
              <w:p w14:paraId="7B7DD96E"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Team Member</w:t>
                </w:r>
              </w:p>
            </w:tc>
            <w:tc>
              <w:tcPr>
                <w:tcW w:w="2970" w:type="dxa"/>
                <w:tcBorders>
                  <w:top w:val="single" w:sz="2" w:space="0" w:color="F2F2F2" w:themeColor="background1" w:themeShade="F2"/>
                  <w:bottom w:val="single" w:sz="2" w:space="0" w:color="F2F2F2" w:themeColor="background1" w:themeShade="F2"/>
                </w:tcBorders>
                <w:shd w:val="clear" w:color="auto" w:fill="F7F7F7"/>
                <w:vAlign w:val="center"/>
              </w:tcPr>
              <w:p w14:paraId="260B44F4"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Legal analyst</w:t>
                </w:r>
              </w:p>
            </w:tc>
            <w:tc>
              <w:tcPr>
                <w:tcW w:w="1890" w:type="dxa"/>
                <w:tcBorders>
                  <w:top w:val="single" w:sz="2" w:space="0" w:color="F2F2F2" w:themeColor="background1" w:themeShade="F2"/>
                  <w:bottom w:val="single" w:sz="2" w:space="0" w:color="F2F2F2" w:themeColor="background1" w:themeShade="F2"/>
                </w:tcBorders>
                <w:shd w:val="clear" w:color="auto" w:fill="F7F7F7"/>
                <w:vAlign w:val="center"/>
              </w:tcPr>
              <w:p w14:paraId="1960FF03"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LEGOP</w:t>
                </w:r>
              </w:p>
            </w:tc>
          </w:tr>
          <w:tr w:rsidR="004F0F3F" w14:paraId="7AEEB162" w14:textId="77777777" w:rsidTr="00DF5481">
            <w:trPr>
              <w:trHeight w:val="432"/>
            </w:trPr>
            <w:tc>
              <w:tcPr>
                <w:tcW w:w="2675" w:type="dxa"/>
                <w:tcBorders>
                  <w:top w:val="single" w:sz="2" w:space="0" w:color="F2F2F2" w:themeColor="background1" w:themeShade="F2"/>
                  <w:bottom w:val="single" w:sz="2" w:space="0" w:color="F2F2F2" w:themeColor="background1" w:themeShade="F2"/>
                </w:tcBorders>
                <w:shd w:val="clear" w:color="auto" w:fill="F7F7F7"/>
                <w:vAlign w:val="center"/>
              </w:tcPr>
              <w:p w14:paraId="2FD5905F"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Ruxandra Costache</w:t>
                </w:r>
              </w:p>
            </w:tc>
            <w:tc>
              <w:tcPr>
                <w:tcW w:w="3067" w:type="dxa"/>
                <w:tcBorders>
                  <w:top w:val="single" w:sz="2" w:space="0" w:color="F2F2F2" w:themeColor="background1" w:themeShade="F2"/>
                  <w:bottom w:val="single" w:sz="2" w:space="0" w:color="F2F2F2" w:themeColor="background1" w:themeShade="F2"/>
                </w:tcBorders>
                <w:shd w:val="clear" w:color="auto" w:fill="F7F7F7"/>
                <w:vAlign w:val="center"/>
              </w:tcPr>
              <w:p w14:paraId="2F1056D8"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Counsel</w:t>
                </w:r>
              </w:p>
            </w:tc>
            <w:tc>
              <w:tcPr>
                <w:tcW w:w="2970" w:type="dxa"/>
                <w:tcBorders>
                  <w:top w:val="single" w:sz="2" w:space="0" w:color="F2F2F2" w:themeColor="background1" w:themeShade="F2"/>
                  <w:bottom w:val="single" w:sz="2" w:space="0" w:color="F2F2F2" w:themeColor="background1" w:themeShade="F2"/>
                </w:tcBorders>
                <w:shd w:val="clear" w:color="auto" w:fill="F7F7F7"/>
                <w:vAlign w:val="center"/>
              </w:tcPr>
              <w:p w14:paraId="20E05724"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Senior counsel</w:t>
                </w:r>
              </w:p>
            </w:tc>
            <w:tc>
              <w:tcPr>
                <w:tcW w:w="1890" w:type="dxa"/>
                <w:tcBorders>
                  <w:top w:val="single" w:sz="2" w:space="0" w:color="F2F2F2" w:themeColor="background1" w:themeShade="F2"/>
                  <w:bottom w:val="single" w:sz="2" w:space="0" w:color="F2F2F2" w:themeColor="background1" w:themeShade="F2"/>
                </w:tcBorders>
                <w:shd w:val="clear" w:color="auto" w:fill="F7F7F7"/>
                <w:vAlign w:val="center"/>
              </w:tcPr>
              <w:p w14:paraId="597BBC2B"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LEGLE</w:t>
                </w:r>
              </w:p>
            </w:tc>
          </w:tr>
          <w:tr w:rsidR="004F0F3F" w14:paraId="25E342F4" w14:textId="77777777" w:rsidTr="00DF5481">
            <w:trPr>
              <w:trHeight w:val="432"/>
            </w:trPr>
            <w:tc>
              <w:tcPr>
                <w:tcW w:w="2675" w:type="dxa"/>
                <w:tcBorders>
                  <w:top w:val="single" w:sz="2" w:space="0" w:color="F2F2F2" w:themeColor="background1" w:themeShade="F2"/>
                  <w:bottom w:val="single" w:sz="2" w:space="0" w:color="F2F2F2" w:themeColor="background1" w:themeShade="F2"/>
                </w:tcBorders>
                <w:shd w:val="clear" w:color="auto" w:fill="F7F7F7"/>
                <w:vAlign w:val="center"/>
              </w:tcPr>
              <w:p w14:paraId="3217EECB"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William Hutchins Seitz</w:t>
                </w:r>
              </w:p>
            </w:tc>
            <w:tc>
              <w:tcPr>
                <w:tcW w:w="3067" w:type="dxa"/>
                <w:tcBorders>
                  <w:top w:val="single" w:sz="2" w:space="0" w:color="F2F2F2" w:themeColor="background1" w:themeShade="F2"/>
                  <w:bottom w:val="single" w:sz="2" w:space="0" w:color="F2F2F2" w:themeColor="background1" w:themeShade="F2"/>
                </w:tcBorders>
                <w:shd w:val="clear" w:color="auto" w:fill="F7F7F7"/>
                <w:vAlign w:val="center"/>
              </w:tcPr>
              <w:p w14:paraId="5B30B4B1"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Team Member</w:t>
                </w:r>
              </w:p>
            </w:tc>
            <w:tc>
              <w:tcPr>
                <w:tcW w:w="2970" w:type="dxa"/>
                <w:tcBorders>
                  <w:top w:val="single" w:sz="2" w:space="0" w:color="F2F2F2" w:themeColor="background1" w:themeShade="F2"/>
                  <w:bottom w:val="single" w:sz="2" w:space="0" w:color="F2F2F2" w:themeColor="background1" w:themeShade="F2"/>
                </w:tcBorders>
                <w:shd w:val="clear" w:color="auto" w:fill="F7F7F7"/>
                <w:vAlign w:val="center"/>
              </w:tcPr>
              <w:p w14:paraId="7690C70F"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Poverty analysis</w:t>
                </w:r>
              </w:p>
            </w:tc>
            <w:tc>
              <w:tcPr>
                <w:tcW w:w="1890" w:type="dxa"/>
                <w:tcBorders>
                  <w:top w:val="single" w:sz="2" w:space="0" w:color="F2F2F2" w:themeColor="background1" w:themeShade="F2"/>
                  <w:bottom w:val="single" w:sz="2" w:space="0" w:color="F2F2F2" w:themeColor="background1" w:themeShade="F2"/>
                </w:tcBorders>
                <w:shd w:val="clear" w:color="auto" w:fill="F7F7F7"/>
                <w:vAlign w:val="center"/>
              </w:tcPr>
              <w:p w14:paraId="2B3185B5" w14:textId="77777777" w:rsidR="003615CB" w:rsidRPr="00692E93" w:rsidRDefault="00880CEC" w:rsidP="003615CB">
                <w:pPr>
                  <w:rPr>
                    <w:rFonts w:asciiTheme="minorHAnsi" w:hAnsiTheme="minorHAnsi"/>
                    <w:sz w:val="22"/>
                    <w:szCs w:val="22"/>
                  </w:rPr>
                </w:pPr>
                <w:r>
                  <w:rPr>
                    <w:rFonts w:asciiTheme="minorHAnsi" w:hAnsiTheme="minorHAnsi"/>
                    <w:noProof/>
                    <w:sz w:val="22"/>
                    <w:szCs w:val="22"/>
                  </w:rPr>
                  <w:t>EECPV</w:t>
                </w:r>
              </w:p>
            </w:tc>
          </w:tr>
        </w:tbl>
        <w:p w14:paraId="1A8C4816" w14:textId="77777777" w:rsidR="003615CB" w:rsidRPr="00DF5481" w:rsidRDefault="003615CB" w:rsidP="00DF5481">
          <w:pPr>
            <w:shd w:val="clear" w:color="auto" w:fill="F7F7F7"/>
            <w:ind w:left="-691" w:right="-518"/>
            <w:rPr>
              <w:rFonts w:asciiTheme="minorHAnsi" w:hAnsiTheme="minorHAnsi"/>
              <w:color w:val="767171" w:themeColor="background2" w:themeShade="80"/>
              <w:sz w:val="22"/>
              <w:szCs w:val="22"/>
            </w:rPr>
          </w:pPr>
        </w:p>
        <w:p w14:paraId="12B6255F" w14:textId="77777777" w:rsidR="003615CB" w:rsidRDefault="00880CEC" w:rsidP="00DF5481">
          <w:pPr>
            <w:keepNext/>
            <w:widowControl/>
            <w:shd w:val="clear" w:color="auto" w:fill="F7F7F7"/>
            <w:ind w:left="-691" w:right="-518" w:firstLine="58"/>
            <w:rPr>
              <w:rFonts w:asciiTheme="minorHAnsi" w:hAnsiTheme="minorHAnsi"/>
              <w:b/>
              <w:bCs/>
              <w:color w:val="7F7F7F" w:themeColor="text1" w:themeTint="80"/>
              <w:sz w:val="22"/>
              <w:szCs w:val="22"/>
            </w:rPr>
          </w:pPr>
          <w:r w:rsidRPr="00692E93">
            <w:rPr>
              <w:rFonts w:asciiTheme="minorHAnsi" w:hAnsiTheme="minorHAnsi"/>
              <w:b/>
              <w:bCs/>
              <w:color w:val="7F7F7F" w:themeColor="text1" w:themeTint="80"/>
              <w:sz w:val="22"/>
              <w:szCs w:val="22"/>
            </w:rPr>
            <w:t>Extended Team</w:t>
          </w:r>
        </w:p>
        <w:tbl>
          <w:tblPr>
            <w:tblStyle w:val="TableGrid"/>
            <w:tblW w:w="10602" w:type="dxa"/>
            <w:tblInd w:w="-702" w:type="dxa"/>
            <w:tblBorders>
              <w:top w:val="nil"/>
              <w:left w:val="nil"/>
              <w:bottom w:val="nil"/>
              <w:right w:val="nil"/>
              <w:insideH w:val="nil"/>
              <w:insideV w:val="nil"/>
            </w:tblBorders>
            <w:shd w:val="clear" w:color="auto" w:fill="F7F7F7"/>
            <w:tblLayout w:type="fixed"/>
            <w:tblLook w:val="04A0" w:firstRow="1" w:lastRow="0" w:firstColumn="1" w:lastColumn="0" w:noHBand="0" w:noVBand="1"/>
          </w:tblPr>
          <w:tblGrid>
            <w:gridCol w:w="2675"/>
            <w:gridCol w:w="3067"/>
            <w:gridCol w:w="2970"/>
            <w:gridCol w:w="1890"/>
          </w:tblGrid>
          <w:tr w:rsidR="004F0F3F" w14:paraId="43A1B79C" w14:textId="77777777" w:rsidTr="00DF5481">
            <w:trPr>
              <w:trHeight w:val="432"/>
            </w:trPr>
            <w:tc>
              <w:tcPr>
                <w:tcW w:w="2675" w:type="dxa"/>
                <w:tcBorders>
                  <w:bottom w:val="single" w:sz="12" w:space="0" w:color="D9D9D9" w:themeColor="background1" w:themeShade="D9"/>
                </w:tcBorders>
                <w:shd w:val="clear" w:color="auto" w:fill="F7F7F7"/>
                <w:vAlign w:val="center"/>
              </w:tcPr>
              <w:p w14:paraId="70C47BE2" w14:textId="77777777" w:rsidR="003615CB" w:rsidRPr="00692E93" w:rsidRDefault="00880CEC" w:rsidP="003615CB">
                <w:pPr>
                  <w:ind w:left="-36"/>
                  <w:rPr>
                    <w:rFonts w:asciiTheme="minorHAnsi" w:hAnsiTheme="minorHAnsi"/>
                    <w:b/>
                    <w:sz w:val="22"/>
                    <w:szCs w:val="22"/>
                  </w:rPr>
                </w:pPr>
                <w:r w:rsidRPr="00692E93">
                  <w:rPr>
                    <w:rFonts w:asciiTheme="minorHAnsi" w:hAnsiTheme="minorHAnsi"/>
                    <w:b/>
                    <w:bCs/>
                    <w:color w:val="7F7F7F" w:themeColor="text1" w:themeTint="80"/>
                    <w:sz w:val="22"/>
                    <w:szCs w:val="22"/>
                  </w:rPr>
                  <w:t>Name</w:t>
                </w:r>
              </w:p>
            </w:tc>
            <w:tc>
              <w:tcPr>
                <w:tcW w:w="3067" w:type="dxa"/>
                <w:tcBorders>
                  <w:bottom w:val="single" w:sz="12" w:space="0" w:color="D9D9D9" w:themeColor="background1" w:themeShade="D9"/>
                </w:tcBorders>
                <w:shd w:val="clear" w:color="auto" w:fill="F7F7F7"/>
                <w:vAlign w:val="center"/>
              </w:tcPr>
              <w:p w14:paraId="3CD18D28" w14:textId="77777777" w:rsidR="003615CB" w:rsidRPr="00692E93" w:rsidRDefault="00880CEC" w:rsidP="003615CB">
                <w:pPr>
                  <w:rPr>
                    <w:rFonts w:asciiTheme="minorHAnsi" w:hAnsiTheme="minorHAnsi"/>
                    <w:b/>
                    <w:sz w:val="22"/>
                    <w:szCs w:val="22"/>
                  </w:rPr>
                </w:pPr>
                <w:r>
                  <w:rPr>
                    <w:rFonts w:asciiTheme="minorHAnsi" w:hAnsiTheme="minorHAnsi"/>
                    <w:b/>
                    <w:bCs/>
                    <w:color w:val="7F7F7F" w:themeColor="text1" w:themeTint="80"/>
                    <w:sz w:val="22"/>
                    <w:szCs w:val="22"/>
                  </w:rPr>
                  <w:t>Title</w:t>
                </w:r>
              </w:p>
            </w:tc>
            <w:tc>
              <w:tcPr>
                <w:tcW w:w="2970" w:type="dxa"/>
                <w:tcBorders>
                  <w:bottom w:val="single" w:sz="12" w:space="0" w:color="D9D9D9" w:themeColor="background1" w:themeShade="D9"/>
                </w:tcBorders>
                <w:shd w:val="clear" w:color="auto" w:fill="F7F7F7"/>
                <w:vAlign w:val="center"/>
              </w:tcPr>
              <w:p w14:paraId="4E20FB57" w14:textId="77777777" w:rsidR="003615CB" w:rsidRPr="00692E93" w:rsidRDefault="00880CEC" w:rsidP="003615CB">
                <w:pPr>
                  <w:rPr>
                    <w:rFonts w:asciiTheme="minorHAnsi" w:hAnsiTheme="minorHAnsi"/>
                    <w:b/>
                    <w:sz w:val="22"/>
                    <w:szCs w:val="22"/>
                  </w:rPr>
                </w:pPr>
                <w:r w:rsidRPr="004D4AEA">
                  <w:rPr>
                    <w:rFonts w:asciiTheme="minorHAnsi" w:hAnsiTheme="minorHAnsi"/>
                    <w:b/>
                    <w:bCs/>
                    <w:color w:val="7F7F7F" w:themeColor="text1" w:themeTint="80"/>
                    <w:sz w:val="22"/>
                    <w:szCs w:val="22"/>
                  </w:rPr>
                  <w:t>Organization</w:t>
                </w:r>
              </w:p>
            </w:tc>
            <w:tc>
              <w:tcPr>
                <w:tcW w:w="1890" w:type="dxa"/>
                <w:tcBorders>
                  <w:bottom w:val="single" w:sz="12" w:space="0" w:color="D9D9D9" w:themeColor="background1" w:themeShade="D9"/>
                </w:tcBorders>
                <w:shd w:val="clear" w:color="auto" w:fill="F7F7F7"/>
                <w:vAlign w:val="center"/>
              </w:tcPr>
              <w:p w14:paraId="62572134" w14:textId="77777777" w:rsidR="003615CB" w:rsidRPr="00692E93" w:rsidRDefault="00880CEC" w:rsidP="003615CB">
                <w:pPr>
                  <w:rPr>
                    <w:rFonts w:asciiTheme="minorHAnsi" w:hAnsiTheme="minorHAnsi"/>
                    <w:b/>
                    <w:sz w:val="22"/>
                    <w:szCs w:val="22"/>
                  </w:rPr>
                </w:pPr>
                <w:r>
                  <w:rPr>
                    <w:rFonts w:asciiTheme="minorHAnsi" w:hAnsiTheme="minorHAnsi"/>
                    <w:b/>
                    <w:bCs/>
                    <w:color w:val="7F7F7F" w:themeColor="text1" w:themeTint="80"/>
                    <w:sz w:val="22"/>
                    <w:szCs w:val="22"/>
                  </w:rPr>
                  <w:t>Location</w:t>
                </w:r>
              </w:p>
            </w:tc>
          </w:tr>
        </w:tbl>
        <w:p w14:paraId="2E0DAED8" w14:textId="77777777" w:rsidR="003D03F1" w:rsidRDefault="00880CEC" w:rsidP="00EA4C91">
          <w:pPr>
            <w:pStyle w:val="Normal3"/>
            <w:widowControl w:val="0"/>
            <w:spacing w:after="0" w:line="240" w:lineRule="auto"/>
            <w:ind w:left="-907"/>
          </w:pPr>
          <w:r>
            <w:rPr>
              <w:noProof/>
            </w:rPr>
            <mc:AlternateContent>
              <mc:Choice Requires="wps">
                <w:drawing>
                  <wp:anchor distT="0" distB="0" distL="114300" distR="114300" simplePos="0" relativeHeight="251666432" behindDoc="0" locked="0" layoutInCell="1" allowOverlap="1" wp14:anchorId="0833984E" wp14:editId="3E66961E">
                    <wp:simplePos x="0" y="0"/>
                    <wp:positionH relativeFrom="column">
                      <wp:posOffset>-937895</wp:posOffset>
                    </wp:positionH>
                    <wp:positionV relativeFrom="paragraph">
                      <wp:posOffset>167640</wp:posOffset>
                    </wp:positionV>
                    <wp:extent cx="7800230" cy="0"/>
                    <wp:effectExtent l="0" t="0" r="10795" b="19050"/>
                    <wp:wrapNone/>
                    <wp:docPr id="34" name="Straight Connector 34"/>
                    <wp:cNvGraphicFramePr/>
                    <a:graphic xmlns:a="http://schemas.openxmlformats.org/drawingml/2006/main">
                      <a:graphicData uri="http://schemas.microsoft.com/office/word/2010/wordprocessingShape">
                        <wps:wsp>
                          <wps:cNvCnPr/>
                          <wps:spPr>
                            <a:xfrm>
                              <a:off x="0" y="0"/>
                              <a:ext cx="7800230" cy="0"/>
                            </a:xfrm>
                            <a:prstGeom prst="line">
                              <a:avLst/>
                            </a:prstGeom>
                            <a:ln w="9525">
                              <a:solidFill>
                                <a:schemeClr val="tx1">
                                  <a:lumMod val="50000"/>
                                  <a:lumOff val="50000"/>
                                  <a:alpha val="4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4" o:spid="_x0000_s1032" style="mso-width-percent:0;mso-width-relative:margin;mso-wrap-distance-bottom:0;mso-wrap-distance-left:9pt;mso-wrap-distance-right:9pt;mso-wrap-distance-top:0;mso-wrap-style:square;position:absolute;visibility:visible;z-index:251667456" from="-73.85pt,13.2pt" to="540.35pt,13.2pt" strokecolor="gray">
                    <v:stroke joinstyle="miter" dashstyle="dash" opacity="26214f"/>
                  </v:line>
                </w:pict>
              </mc:Fallback>
            </mc:AlternateContent>
          </w:r>
        </w:p>
        <w:sdt>
          <w:sdtPr>
            <w:tag w:val="OPS_CORE_SECTION_END_2"/>
            <w:id w:val="1667855942"/>
            <w:lock w:val="sdtContentLocked"/>
            <w:placeholder>
              <w:docPart w:val="E59135870FB14B26AC9F09477B641399"/>
            </w:placeholder>
          </w:sdtPr>
          <w:sdtContent>
            <w:p w14:paraId="5DF95FC5" w14:textId="77777777" w:rsidR="003D03F1" w:rsidRDefault="00880CEC" w:rsidP="00D33DFA">
              <w:pPr>
                <w:pStyle w:val="Normal3"/>
                <w:widowControl w:val="0"/>
                <w:spacing w:after="0" w:line="14" w:lineRule="exact"/>
                <w:ind w:left="-907"/>
              </w:pPr>
              <w:r w:rsidRPr="00D33DFA">
                <w:rPr>
                  <w:color w:val="FFFFFF" w:themeColor="background1"/>
                </w:rPr>
                <w:t xml:space="preserve"> </w:t>
              </w:r>
            </w:p>
          </w:sdtContent>
        </w:sdt>
        <w:p w14:paraId="42DBF776" w14:textId="77777777" w:rsidR="003D03F1" w:rsidRDefault="00000000" w:rsidP="005F753C">
          <w:pPr>
            <w:pStyle w:val="Normal3"/>
            <w:widowControl w:val="0"/>
            <w:spacing w:after="0" w:line="14" w:lineRule="exact"/>
            <w:ind w:left="-907"/>
            <w:sectPr w:rsidR="003D03F1" w:rsidSect="00E51AFC">
              <w:type w:val="continuous"/>
              <w:pgSz w:w="12240" w:h="15840"/>
              <w:pgMar w:top="1440" w:right="1440" w:bottom="1440" w:left="1440" w:header="720" w:footer="720" w:gutter="0"/>
              <w:pgBorders w:offsetFrom="page">
                <w:bottom w:val="single" w:sz="8" w:space="24" w:color="F7F7F7"/>
              </w:pgBorders>
              <w:cols w:space="720"/>
              <w:docGrid w:linePitch="360"/>
            </w:sectPr>
          </w:pPr>
        </w:p>
      </w:sdtContent>
    </w:sdt>
    <w:p w14:paraId="0BB13D1E" w14:textId="77777777" w:rsidR="003D03F1" w:rsidRDefault="003D03F1" w:rsidP="003D03F1">
      <w:pPr>
        <w:pStyle w:val="Normal3"/>
        <w:widowControl w:val="0"/>
        <w:spacing w:after="0" w:line="240" w:lineRule="auto"/>
        <w:ind w:left="-907"/>
      </w:pPr>
    </w:p>
    <w:p w14:paraId="298253CF" w14:textId="4330547E" w:rsidR="003D03F1" w:rsidRDefault="003D03F1" w:rsidP="003D03F1">
      <w:pPr>
        <w:pStyle w:val="Normal3"/>
        <w:widowControl w:val="0"/>
        <w:spacing w:after="0" w:line="240" w:lineRule="auto"/>
        <w:ind w:left="-720"/>
      </w:pPr>
    </w:p>
    <w:sdt>
      <w:sdtPr>
        <w:id w:val="822894344"/>
        <w:lock w:val="contentLocked"/>
        <w:placeholder>
          <w:docPart w:val="12AC91C82EEE49BCB1C2B5BB063FD19F"/>
        </w:placeholder>
        <w:showingPlcHdr/>
      </w:sdtPr>
      <w:sdtContent>
        <w:p w14:paraId="07D5F09D" w14:textId="77777777" w:rsidR="00917788" w:rsidRDefault="00880CEC" w:rsidP="008426E9">
          <w:pPr>
            <w:pStyle w:val="Normal3"/>
            <w:widowControl w:val="0"/>
            <w:spacing w:after="0" w:line="14" w:lineRule="exact"/>
            <w:ind w:left="-907"/>
            <w:sectPr w:rsidR="00917788" w:rsidSect="00E51AFC">
              <w:headerReference w:type="default" r:id="rId20"/>
              <w:footerReference w:type="default" r:id="rId21"/>
              <w:type w:val="continuous"/>
              <w:pgSz w:w="12240" w:h="15840"/>
              <w:pgMar w:top="1440" w:right="1440" w:bottom="1440" w:left="1440" w:header="720" w:footer="720" w:gutter="0"/>
              <w:pgBorders w:offsetFrom="page">
                <w:bottom w:val="single" w:sz="8" w:space="24" w:color="F7F7F7"/>
              </w:pgBorders>
              <w:cols w:space="720"/>
              <w:docGrid w:linePitch="360"/>
            </w:sectPr>
          </w:pPr>
          <w:r>
            <w:t xml:space="preserve"> </w:t>
          </w:r>
        </w:p>
      </w:sdtContent>
    </w:sdt>
    <w:p w14:paraId="357C644B" w14:textId="77777777" w:rsidR="00ED7E26" w:rsidRDefault="00880CEC" w:rsidP="00ED7E26">
      <w:pPr>
        <w:pStyle w:val="Normal5"/>
        <w:spacing w:after="0" w:line="240" w:lineRule="auto"/>
        <w:ind w:left="-900"/>
        <w:jc w:val="center"/>
        <w:rPr>
          <w:b/>
        </w:rPr>
      </w:pPr>
      <w:r>
        <w:rPr>
          <w:noProof/>
        </w:rPr>
        <w:lastRenderedPageBreak/>
        <w:t>Tajikistan</w:t>
      </w:r>
    </w:p>
    <w:p w14:paraId="00206000" w14:textId="77777777" w:rsidR="00ED7E26" w:rsidRDefault="00ED7E26" w:rsidP="00ED7E26">
      <w:pPr>
        <w:pStyle w:val="Normal5"/>
        <w:spacing w:after="0" w:line="240" w:lineRule="auto"/>
        <w:ind w:left="-900"/>
        <w:jc w:val="center"/>
        <w:rPr>
          <w:b/>
        </w:rPr>
      </w:pPr>
    </w:p>
    <w:p w14:paraId="750F8FCD" w14:textId="77777777" w:rsidR="00ED7E26" w:rsidRDefault="00880CEC" w:rsidP="00ED7E26">
      <w:pPr>
        <w:pStyle w:val="Normal5"/>
        <w:spacing w:after="0" w:line="240" w:lineRule="auto"/>
        <w:ind w:left="-900"/>
        <w:jc w:val="center"/>
        <w:rPr>
          <w:b/>
        </w:rPr>
      </w:pPr>
      <w:r>
        <w:rPr>
          <w:noProof/>
        </w:rPr>
        <w:t>Additional Financing to Power Utility Financial Recovery Project</w:t>
      </w:r>
    </w:p>
    <w:p w14:paraId="710CA754" w14:textId="77777777" w:rsidR="0018767B" w:rsidRDefault="0018767B" w:rsidP="0018767B">
      <w:pPr>
        <w:rPr>
          <w:caps/>
        </w:rPr>
      </w:pPr>
    </w:p>
    <w:sdt>
      <w:sdtPr>
        <w:rPr>
          <w:rFonts w:ascii="Calibri" w:eastAsia="Times New Roman" w:hAnsi="Calibri"/>
          <w:b/>
          <w:caps/>
          <w:noProof/>
          <w:sz w:val="22"/>
        </w:rPr>
        <w:id w:val="710842278"/>
        <w:docPartObj>
          <w:docPartGallery w:val="Table of Contents"/>
          <w:docPartUnique/>
        </w:docPartObj>
      </w:sdtPr>
      <w:sdtEndPr>
        <w:rPr>
          <w:rFonts w:ascii="Arial" w:eastAsiaTheme="minorEastAsia" w:hAnsi="Arial"/>
          <w:b w:val="0"/>
          <w:noProof w:val="0"/>
          <w:sz w:val="24"/>
        </w:rPr>
      </w:sdtEndPr>
      <w:sdtContent>
        <w:p w14:paraId="0D7C337C" w14:textId="77777777" w:rsidR="00815E1A" w:rsidRPr="007E295C" w:rsidRDefault="00880CEC" w:rsidP="00815E1A">
          <w:pPr>
            <w:jc w:val="center"/>
            <w:rPr>
              <w:rFonts w:ascii="Calibri" w:eastAsia="Times New Roman" w:hAnsi="Calibri"/>
              <w:b/>
              <w:sz w:val="22"/>
            </w:rPr>
          </w:pPr>
          <w:r w:rsidRPr="007E295C">
            <w:rPr>
              <w:rFonts w:ascii="Calibri" w:eastAsia="Times New Roman" w:hAnsi="Calibri"/>
              <w:b/>
              <w:sz w:val="22"/>
            </w:rPr>
            <w:t>TABLE OF CONTENTS</w:t>
          </w:r>
        </w:p>
        <w:p w14:paraId="70CFDA29" w14:textId="77777777" w:rsidR="00815E1A" w:rsidRPr="007E295C" w:rsidRDefault="00815E1A" w:rsidP="00815E1A">
          <w:pPr>
            <w:rPr>
              <w:rFonts w:ascii="Calibri" w:eastAsia="Times New Roman" w:hAnsi="Calibri"/>
              <w:b/>
              <w:caps/>
              <w:sz w:val="22"/>
            </w:rPr>
          </w:pPr>
        </w:p>
        <w:p w14:paraId="19C00D70" w14:textId="77777777" w:rsidR="006234D0" w:rsidRDefault="00880CEC" w:rsidP="00815E1A">
          <w:pPr>
            <w:rPr>
              <w:noProof/>
            </w:rPr>
          </w:pPr>
          <w:r w:rsidRPr="007E295C">
            <w:t xml:space="preserve">  </w:t>
          </w:r>
          <w:r w:rsidRPr="007E295C">
            <w:fldChar w:fldCharType="begin"/>
          </w:r>
          <w:r w:rsidRPr="007E295C">
            <w:instrText xml:space="preserve"> TOC \o "1-3" \h \z \u </w:instrText>
          </w:r>
          <w:r w:rsidRPr="007E295C">
            <w:fldChar w:fldCharType="separate"/>
          </w:r>
        </w:p>
        <w:p w14:paraId="77D03C0E" w14:textId="12AF6067" w:rsidR="006234D0" w:rsidRDefault="00000000">
          <w:pPr>
            <w:pStyle w:val="TOC1"/>
            <w:rPr>
              <w:rFonts w:asciiTheme="minorHAnsi" w:eastAsiaTheme="minorEastAsia" w:hAnsiTheme="minorHAnsi" w:cstheme="minorBidi"/>
              <w:b w:val="0"/>
              <w:caps w:val="0"/>
              <w:color w:val="auto"/>
              <w:sz w:val="22"/>
              <w:szCs w:val="22"/>
            </w:rPr>
          </w:pPr>
          <w:hyperlink w:anchor="_Toc104869130" w:history="1">
            <w:r w:rsidR="006234D0" w:rsidRPr="00B42C60">
              <w:rPr>
                <w:rStyle w:val="Hyperlink"/>
              </w:rPr>
              <w:t>I.</w:t>
            </w:r>
            <w:r w:rsidR="006234D0">
              <w:rPr>
                <w:rFonts w:asciiTheme="minorHAnsi" w:eastAsiaTheme="minorEastAsia" w:hAnsiTheme="minorHAnsi" w:cstheme="minorBidi"/>
                <w:b w:val="0"/>
                <w:caps w:val="0"/>
                <w:color w:val="auto"/>
                <w:sz w:val="22"/>
                <w:szCs w:val="22"/>
              </w:rPr>
              <w:tab/>
            </w:r>
            <w:r w:rsidR="006234D0" w:rsidRPr="00B42C60">
              <w:rPr>
                <w:rStyle w:val="Hyperlink"/>
              </w:rPr>
              <w:t>INTRODUCTION</w:t>
            </w:r>
            <w:r w:rsidR="006234D0">
              <w:rPr>
                <w:webHidden/>
              </w:rPr>
              <w:tab/>
            </w:r>
            <w:r w:rsidR="006234D0">
              <w:rPr>
                <w:webHidden/>
              </w:rPr>
              <w:fldChar w:fldCharType="begin"/>
            </w:r>
            <w:r w:rsidR="006234D0">
              <w:rPr>
                <w:webHidden/>
              </w:rPr>
              <w:instrText xml:space="preserve"> PAGEREF _Toc104869130 \h </w:instrText>
            </w:r>
            <w:r w:rsidR="006234D0">
              <w:rPr>
                <w:webHidden/>
              </w:rPr>
            </w:r>
            <w:r w:rsidR="006234D0">
              <w:rPr>
                <w:webHidden/>
              </w:rPr>
              <w:fldChar w:fldCharType="separate"/>
            </w:r>
            <w:r w:rsidR="006234D0">
              <w:rPr>
                <w:webHidden/>
              </w:rPr>
              <w:t>7</w:t>
            </w:r>
            <w:r w:rsidR="006234D0">
              <w:rPr>
                <w:webHidden/>
              </w:rPr>
              <w:fldChar w:fldCharType="end"/>
            </w:r>
          </w:hyperlink>
        </w:p>
        <w:p w14:paraId="0A9CD209" w14:textId="22387123" w:rsidR="006234D0" w:rsidRDefault="00000000">
          <w:pPr>
            <w:pStyle w:val="TOC1"/>
            <w:rPr>
              <w:rFonts w:asciiTheme="minorHAnsi" w:eastAsiaTheme="minorEastAsia" w:hAnsiTheme="minorHAnsi" w:cstheme="minorBidi"/>
              <w:b w:val="0"/>
              <w:caps w:val="0"/>
              <w:color w:val="auto"/>
              <w:sz w:val="22"/>
              <w:szCs w:val="22"/>
            </w:rPr>
          </w:pPr>
          <w:hyperlink w:anchor="_Toc104869131" w:history="1">
            <w:r w:rsidR="006234D0" w:rsidRPr="00B42C60">
              <w:rPr>
                <w:rStyle w:val="Hyperlink"/>
              </w:rPr>
              <w:t>II.</w:t>
            </w:r>
            <w:r w:rsidR="006234D0">
              <w:rPr>
                <w:rFonts w:asciiTheme="minorHAnsi" w:eastAsiaTheme="minorEastAsia" w:hAnsiTheme="minorHAnsi" w:cstheme="minorBidi"/>
                <w:b w:val="0"/>
                <w:caps w:val="0"/>
                <w:color w:val="auto"/>
                <w:sz w:val="22"/>
                <w:szCs w:val="22"/>
              </w:rPr>
              <w:tab/>
            </w:r>
            <w:r w:rsidR="006234D0" w:rsidRPr="00B42C60">
              <w:rPr>
                <w:rStyle w:val="Hyperlink"/>
              </w:rPr>
              <w:t>BACKGROUND AND RATIONALE FOR ADDITIONAL FINANCING</w:t>
            </w:r>
            <w:r w:rsidR="006234D0">
              <w:rPr>
                <w:webHidden/>
              </w:rPr>
              <w:tab/>
            </w:r>
            <w:r w:rsidR="006234D0">
              <w:rPr>
                <w:webHidden/>
              </w:rPr>
              <w:fldChar w:fldCharType="begin"/>
            </w:r>
            <w:r w:rsidR="006234D0">
              <w:rPr>
                <w:webHidden/>
              </w:rPr>
              <w:instrText xml:space="preserve"> PAGEREF _Toc104869131 \h </w:instrText>
            </w:r>
            <w:r w:rsidR="006234D0">
              <w:rPr>
                <w:webHidden/>
              </w:rPr>
            </w:r>
            <w:r w:rsidR="006234D0">
              <w:rPr>
                <w:webHidden/>
              </w:rPr>
              <w:fldChar w:fldCharType="separate"/>
            </w:r>
            <w:r w:rsidR="006234D0">
              <w:rPr>
                <w:webHidden/>
              </w:rPr>
              <w:t>19</w:t>
            </w:r>
            <w:r w:rsidR="006234D0">
              <w:rPr>
                <w:webHidden/>
              </w:rPr>
              <w:fldChar w:fldCharType="end"/>
            </w:r>
          </w:hyperlink>
        </w:p>
        <w:p w14:paraId="3D325AF1" w14:textId="6C2BE2CE" w:rsidR="006234D0" w:rsidRDefault="00000000">
          <w:pPr>
            <w:pStyle w:val="TOC1"/>
            <w:rPr>
              <w:rFonts w:asciiTheme="minorHAnsi" w:eastAsiaTheme="minorEastAsia" w:hAnsiTheme="minorHAnsi" w:cstheme="minorBidi"/>
              <w:b w:val="0"/>
              <w:caps w:val="0"/>
              <w:color w:val="auto"/>
              <w:sz w:val="22"/>
              <w:szCs w:val="22"/>
            </w:rPr>
          </w:pPr>
          <w:hyperlink w:anchor="_Toc104869132" w:history="1">
            <w:r w:rsidR="006234D0" w:rsidRPr="00B42C60">
              <w:rPr>
                <w:rStyle w:val="Hyperlink"/>
              </w:rPr>
              <w:t>III.</w:t>
            </w:r>
            <w:r w:rsidR="006234D0">
              <w:rPr>
                <w:rFonts w:asciiTheme="minorHAnsi" w:eastAsiaTheme="minorEastAsia" w:hAnsiTheme="minorHAnsi" w:cstheme="minorBidi"/>
                <w:b w:val="0"/>
                <w:caps w:val="0"/>
                <w:color w:val="auto"/>
                <w:sz w:val="22"/>
                <w:szCs w:val="22"/>
              </w:rPr>
              <w:tab/>
            </w:r>
            <w:r w:rsidR="006234D0" w:rsidRPr="00B42C60">
              <w:rPr>
                <w:rStyle w:val="Hyperlink"/>
              </w:rPr>
              <w:t>PROPOSED CHANGES</w:t>
            </w:r>
            <w:r w:rsidR="006234D0">
              <w:rPr>
                <w:webHidden/>
              </w:rPr>
              <w:tab/>
            </w:r>
            <w:r w:rsidR="006234D0">
              <w:rPr>
                <w:webHidden/>
              </w:rPr>
              <w:fldChar w:fldCharType="begin"/>
            </w:r>
            <w:r w:rsidR="006234D0">
              <w:rPr>
                <w:webHidden/>
              </w:rPr>
              <w:instrText xml:space="preserve"> PAGEREF _Toc104869132 \h </w:instrText>
            </w:r>
            <w:r w:rsidR="006234D0">
              <w:rPr>
                <w:webHidden/>
              </w:rPr>
            </w:r>
            <w:r w:rsidR="006234D0">
              <w:rPr>
                <w:webHidden/>
              </w:rPr>
              <w:fldChar w:fldCharType="separate"/>
            </w:r>
            <w:r w:rsidR="006234D0">
              <w:rPr>
                <w:webHidden/>
              </w:rPr>
              <w:t>19</w:t>
            </w:r>
            <w:r w:rsidR="006234D0">
              <w:rPr>
                <w:webHidden/>
              </w:rPr>
              <w:fldChar w:fldCharType="end"/>
            </w:r>
          </w:hyperlink>
        </w:p>
        <w:p w14:paraId="4FD7A7D1" w14:textId="26D2BD3C" w:rsidR="006234D0" w:rsidRDefault="00000000">
          <w:pPr>
            <w:pStyle w:val="TOC1"/>
            <w:rPr>
              <w:rFonts w:asciiTheme="minorHAnsi" w:eastAsiaTheme="minorEastAsia" w:hAnsiTheme="minorHAnsi" w:cstheme="minorBidi"/>
              <w:b w:val="0"/>
              <w:caps w:val="0"/>
              <w:color w:val="auto"/>
              <w:sz w:val="22"/>
              <w:szCs w:val="22"/>
            </w:rPr>
          </w:pPr>
          <w:hyperlink w:anchor="_Toc104869133" w:history="1">
            <w:r w:rsidR="006234D0" w:rsidRPr="00B42C60">
              <w:rPr>
                <w:rStyle w:val="Hyperlink"/>
              </w:rPr>
              <w:t>IV.</w:t>
            </w:r>
            <w:r w:rsidR="006234D0">
              <w:rPr>
                <w:rFonts w:asciiTheme="minorHAnsi" w:eastAsiaTheme="minorEastAsia" w:hAnsiTheme="minorHAnsi" w:cstheme="minorBidi"/>
                <w:b w:val="0"/>
                <w:caps w:val="0"/>
                <w:color w:val="auto"/>
                <w:sz w:val="22"/>
                <w:szCs w:val="22"/>
              </w:rPr>
              <w:tab/>
            </w:r>
            <w:r w:rsidR="006234D0" w:rsidRPr="00B42C60">
              <w:rPr>
                <w:rStyle w:val="Hyperlink"/>
              </w:rPr>
              <w:t>APPRAISAL SUMMARY</w:t>
            </w:r>
            <w:r w:rsidR="006234D0">
              <w:rPr>
                <w:webHidden/>
              </w:rPr>
              <w:tab/>
            </w:r>
            <w:r w:rsidR="006234D0">
              <w:rPr>
                <w:webHidden/>
              </w:rPr>
              <w:fldChar w:fldCharType="begin"/>
            </w:r>
            <w:r w:rsidR="006234D0">
              <w:rPr>
                <w:webHidden/>
              </w:rPr>
              <w:instrText xml:space="preserve"> PAGEREF _Toc104869133 \h </w:instrText>
            </w:r>
            <w:r w:rsidR="006234D0">
              <w:rPr>
                <w:webHidden/>
              </w:rPr>
            </w:r>
            <w:r w:rsidR="006234D0">
              <w:rPr>
                <w:webHidden/>
              </w:rPr>
              <w:fldChar w:fldCharType="separate"/>
            </w:r>
            <w:r w:rsidR="006234D0">
              <w:rPr>
                <w:webHidden/>
              </w:rPr>
              <w:t>25</w:t>
            </w:r>
            <w:r w:rsidR="006234D0">
              <w:rPr>
                <w:webHidden/>
              </w:rPr>
              <w:fldChar w:fldCharType="end"/>
            </w:r>
          </w:hyperlink>
        </w:p>
        <w:p w14:paraId="1F4DD5B8" w14:textId="59CDF329" w:rsidR="006234D0" w:rsidRDefault="00000000">
          <w:pPr>
            <w:pStyle w:val="TOC1"/>
            <w:rPr>
              <w:rFonts w:asciiTheme="minorHAnsi" w:eastAsiaTheme="minorEastAsia" w:hAnsiTheme="minorHAnsi" w:cstheme="minorBidi"/>
              <w:b w:val="0"/>
              <w:caps w:val="0"/>
              <w:color w:val="auto"/>
              <w:sz w:val="22"/>
              <w:szCs w:val="22"/>
            </w:rPr>
          </w:pPr>
          <w:hyperlink w:anchor="_Toc104869134" w:history="1">
            <w:r w:rsidR="006234D0" w:rsidRPr="00B42C60">
              <w:rPr>
                <w:rStyle w:val="Hyperlink"/>
              </w:rPr>
              <w:t>V.</w:t>
            </w:r>
            <w:r w:rsidR="006234D0">
              <w:rPr>
                <w:rFonts w:asciiTheme="minorHAnsi" w:eastAsiaTheme="minorEastAsia" w:hAnsiTheme="minorHAnsi" w:cstheme="minorBidi"/>
                <w:b w:val="0"/>
                <w:caps w:val="0"/>
                <w:color w:val="auto"/>
                <w:sz w:val="22"/>
                <w:szCs w:val="22"/>
              </w:rPr>
              <w:tab/>
            </w:r>
            <w:r w:rsidR="006234D0" w:rsidRPr="00B42C60">
              <w:rPr>
                <w:rStyle w:val="Hyperlink"/>
              </w:rPr>
              <w:t>KEY RISKS</w:t>
            </w:r>
            <w:r w:rsidR="006234D0">
              <w:rPr>
                <w:webHidden/>
              </w:rPr>
              <w:tab/>
            </w:r>
            <w:r w:rsidR="006234D0">
              <w:rPr>
                <w:webHidden/>
              </w:rPr>
              <w:fldChar w:fldCharType="begin"/>
            </w:r>
            <w:r w:rsidR="006234D0">
              <w:rPr>
                <w:webHidden/>
              </w:rPr>
              <w:instrText xml:space="preserve"> PAGEREF _Toc104869134 \h </w:instrText>
            </w:r>
            <w:r w:rsidR="006234D0">
              <w:rPr>
                <w:webHidden/>
              </w:rPr>
            </w:r>
            <w:r w:rsidR="006234D0">
              <w:rPr>
                <w:webHidden/>
              </w:rPr>
              <w:fldChar w:fldCharType="separate"/>
            </w:r>
            <w:r w:rsidR="006234D0">
              <w:rPr>
                <w:webHidden/>
              </w:rPr>
              <w:t>34</w:t>
            </w:r>
            <w:r w:rsidR="006234D0">
              <w:rPr>
                <w:webHidden/>
              </w:rPr>
              <w:fldChar w:fldCharType="end"/>
            </w:r>
          </w:hyperlink>
        </w:p>
        <w:p w14:paraId="080CB0B0" w14:textId="2CC284B2" w:rsidR="006234D0" w:rsidRDefault="00000000">
          <w:pPr>
            <w:pStyle w:val="TOC1"/>
            <w:rPr>
              <w:rFonts w:asciiTheme="minorHAnsi" w:eastAsiaTheme="minorEastAsia" w:hAnsiTheme="minorHAnsi" w:cstheme="minorBidi"/>
              <w:b w:val="0"/>
              <w:caps w:val="0"/>
              <w:color w:val="auto"/>
              <w:sz w:val="22"/>
              <w:szCs w:val="22"/>
            </w:rPr>
          </w:pPr>
          <w:hyperlink w:anchor="_Toc104869135" w:history="1">
            <w:r w:rsidR="006234D0" w:rsidRPr="00B42C60">
              <w:rPr>
                <w:rStyle w:val="Hyperlink"/>
              </w:rPr>
              <w:t>VI.</w:t>
            </w:r>
            <w:r w:rsidR="006234D0">
              <w:rPr>
                <w:rFonts w:asciiTheme="minorHAnsi" w:eastAsiaTheme="minorEastAsia" w:hAnsiTheme="minorHAnsi" w:cstheme="minorBidi"/>
                <w:b w:val="0"/>
                <w:caps w:val="0"/>
                <w:color w:val="auto"/>
                <w:sz w:val="22"/>
                <w:szCs w:val="22"/>
              </w:rPr>
              <w:tab/>
            </w:r>
            <w:r w:rsidR="006234D0" w:rsidRPr="00B42C60">
              <w:rPr>
                <w:rStyle w:val="Hyperlink"/>
              </w:rPr>
              <w:t>WORLD BANK GRIEVANCE REDRESS</w:t>
            </w:r>
            <w:r w:rsidR="006234D0">
              <w:rPr>
                <w:webHidden/>
              </w:rPr>
              <w:tab/>
            </w:r>
            <w:r w:rsidR="006234D0">
              <w:rPr>
                <w:webHidden/>
              </w:rPr>
              <w:fldChar w:fldCharType="begin"/>
            </w:r>
            <w:r w:rsidR="006234D0">
              <w:rPr>
                <w:webHidden/>
              </w:rPr>
              <w:instrText xml:space="preserve"> PAGEREF _Toc104869135 \h </w:instrText>
            </w:r>
            <w:r w:rsidR="006234D0">
              <w:rPr>
                <w:webHidden/>
              </w:rPr>
            </w:r>
            <w:r w:rsidR="006234D0">
              <w:rPr>
                <w:webHidden/>
              </w:rPr>
              <w:fldChar w:fldCharType="separate"/>
            </w:r>
            <w:r w:rsidR="006234D0">
              <w:rPr>
                <w:webHidden/>
              </w:rPr>
              <w:t>36</w:t>
            </w:r>
            <w:r w:rsidR="006234D0">
              <w:rPr>
                <w:webHidden/>
              </w:rPr>
              <w:fldChar w:fldCharType="end"/>
            </w:r>
          </w:hyperlink>
        </w:p>
        <w:p w14:paraId="69E3164B" w14:textId="60C8175F" w:rsidR="006234D0" w:rsidRDefault="00000000">
          <w:pPr>
            <w:pStyle w:val="TOC1"/>
            <w:rPr>
              <w:rFonts w:asciiTheme="minorHAnsi" w:eastAsiaTheme="minorEastAsia" w:hAnsiTheme="minorHAnsi" w:cstheme="minorBidi"/>
              <w:b w:val="0"/>
              <w:caps w:val="0"/>
              <w:color w:val="auto"/>
              <w:sz w:val="22"/>
              <w:szCs w:val="22"/>
            </w:rPr>
          </w:pPr>
          <w:hyperlink w:anchor="_Toc104869136" w:history="1">
            <w:r w:rsidR="006234D0" w:rsidRPr="00B42C60">
              <w:rPr>
                <w:rStyle w:val="Hyperlink"/>
              </w:rPr>
              <w:t>VII.</w:t>
            </w:r>
            <w:r w:rsidR="006234D0">
              <w:rPr>
                <w:rFonts w:asciiTheme="minorHAnsi" w:eastAsiaTheme="minorEastAsia" w:hAnsiTheme="minorHAnsi" w:cstheme="minorBidi"/>
                <w:b w:val="0"/>
                <w:caps w:val="0"/>
                <w:color w:val="auto"/>
                <w:sz w:val="22"/>
                <w:szCs w:val="22"/>
              </w:rPr>
              <w:tab/>
            </w:r>
            <w:r w:rsidR="006234D0" w:rsidRPr="00B42C60">
              <w:rPr>
                <w:rStyle w:val="Hyperlink"/>
              </w:rPr>
              <w:t>SUMMARY TABLE OF CHANGES</w:t>
            </w:r>
            <w:r w:rsidR="006234D0">
              <w:rPr>
                <w:webHidden/>
              </w:rPr>
              <w:tab/>
            </w:r>
            <w:r w:rsidR="006234D0">
              <w:rPr>
                <w:webHidden/>
              </w:rPr>
              <w:fldChar w:fldCharType="begin"/>
            </w:r>
            <w:r w:rsidR="006234D0">
              <w:rPr>
                <w:webHidden/>
              </w:rPr>
              <w:instrText xml:space="preserve"> PAGEREF _Toc104869136 \h </w:instrText>
            </w:r>
            <w:r w:rsidR="006234D0">
              <w:rPr>
                <w:webHidden/>
              </w:rPr>
            </w:r>
            <w:r w:rsidR="006234D0">
              <w:rPr>
                <w:webHidden/>
              </w:rPr>
              <w:fldChar w:fldCharType="separate"/>
            </w:r>
            <w:r w:rsidR="006234D0">
              <w:rPr>
                <w:webHidden/>
              </w:rPr>
              <w:t>38</w:t>
            </w:r>
            <w:r w:rsidR="006234D0">
              <w:rPr>
                <w:webHidden/>
              </w:rPr>
              <w:fldChar w:fldCharType="end"/>
            </w:r>
          </w:hyperlink>
        </w:p>
        <w:p w14:paraId="47DB2A97" w14:textId="2D84E846" w:rsidR="006234D0" w:rsidRDefault="00000000">
          <w:pPr>
            <w:pStyle w:val="TOC1"/>
            <w:rPr>
              <w:rFonts w:asciiTheme="minorHAnsi" w:eastAsiaTheme="minorEastAsia" w:hAnsiTheme="minorHAnsi" w:cstheme="minorBidi"/>
              <w:b w:val="0"/>
              <w:caps w:val="0"/>
              <w:color w:val="auto"/>
              <w:sz w:val="22"/>
              <w:szCs w:val="22"/>
            </w:rPr>
          </w:pPr>
          <w:hyperlink w:anchor="_Toc104869137" w:history="1">
            <w:r w:rsidR="006234D0" w:rsidRPr="00B42C60">
              <w:rPr>
                <w:rStyle w:val="Hyperlink"/>
              </w:rPr>
              <w:t>VIII.</w:t>
            </w:r>
            <w:r w:rsidR="006234D0">
              <w:rPr>
                <w:rFonts w:asciiTheme="minorHAnsi" w:eastAsiaTheme="minorEastAsia" w:hAnsiTheme="minorHAnsi" w:cstheme="minorBidi"/>
                <w:b w:val="0"/>
                <w:caps w:val="0"/>
                <w:color w:val="auto"/>
                <w:sz w:val="22"/>
                <w:szCs w:val="22"/>
              </w:rPr>
              <w:tab/>
            </w:r>
            <w:r w:rsidR="006234D0" w:rsidRPr="00B42C60">
              <w:rPr>
                <w:rStyle w:val="Hyperlink"/>
                <w:rFonts w:cs="Times New Roman"/>
                <w:bCs/>
              </w:rPr>
              <w:t>DETAILED CHANGE(S)</w:t>
            </w:r>
            <w:r w:rsidR="006234D0">
              <w:rPr>
                <w:webHidden/>
              </w:rPr>
              <w:tab/>
            </w:r>
            <w:r w:rsidR="006234D0">
              <w:rPr>
                <w:webHidden/>
              </w:rPr>
              <w:fldChar w:fldCharType="begin"/>
            </w:r>
            <w:r w:rsidR="006234D0">
              <w:rPr>
                <w:webHidden/>
              </w:rPr>
              <w:instrText xml:space="preserve"> PAGEREF _Toc104869137 \h </w:instrText>
            </w:r>
            <w:r w:rsidR="006234D0">
              <w:rPr>
                <w:webHidden/>
              </w:rPr>
            </w:r>
            <w:r w:rsidR="006234D0">
              <w:rPr>
                <w:webHidden/>
              </w:rPr>
              <w:fldChar w:fldCharType="separate"/>
            </w:r>
            <w:r w:rsidR="006234D0">
              <w:rPr>
                <w:webHidden/>
              </w:rPr>
              <w:t>38</w:t>
            </w:r>
            <w:r w:rsidR="006234D0">
              <w:rPr>
                <w:webHidden/>
              </w:rPr>
              <w:fldChar w:fldCharType="end"/>
            </w:r>
          </w:hyperlink>
        </w:p>
        <w:p w14:paraId="3DFDB98C" w14:textId="746127C0" w:rsidR="006234D0" w:rsidRDefault="00000000">
          <w:pPr>
            <w:pStyle w:val="TOC1"/>
            <w:rPr>
              <w:rFonts w:asciiTheme="minorHAnsi" w:eastAsiaTheme="minorEastAsia" w:hAnsiTheme="minorHAnsi" w:cstheme="minorBidi"/>
              <w:b w:val="0"/>
              <w:caps w:val="0"/>
              <w:color w:val="auto"/>
              <w:sz w:val="22"/>
              <w:szCs w:val="22"/>
            </w:rPr>
          </w:pPr>
          <w:hyperlink w:anchor="_Toc104869138" w:history="1">
            <w:r w:rsidR="006234D0" w:rsidRPr="00B42C60">
              <w:rPr>
                <w:rStyle w:val="Hyperlink"/>
              </w:rPr>
              <w:t>IX.   RESULTS FRAMEWORK AND MONITORING</w:t>
            </w:r>
            <w:r w:rsidR="006234D0">
              <w:rPr>
                <w:webHidden/>
              </w:rPr>
              <w:tab/>
            </w:r>
            <w:r w:rsidR="006234D0">
              <w:rPr>
                <w:webHidden/>
              </w:rPr>
              <w:fldChar w:fldCharType="begin"/>
            </w:r>
            <w:r w:rsidR="006234D0">
              <w:rPr>
                <w:webHidden/>
              </w:rPr>
              <w:instrText xml:space="preserve"> PAGEREF _Toc104869138 \h </w:instrText>
            </w:r>
            <w:r w:rsidR="006234D0">
              <w:rPr>
                <w:webHidden/>
              </w:rPr>
            </w:r>
            <w:r w:rsidR="006234D0">
              <w:rPr>
                <w:webHidden/>
              </w:rPr>
              <w:fldChar w:fldCharType="separate"/>
            </w:r>
            <w:r w:rsidR="006234D0">
              <w:rPr>
                <w:webHidden/>
              </w:rPr>
              <w:t>40</w:t>
            </w:r>
            <w:r w:rsidR="006234D0">
              <w:rPr>
                <w:webHidden/>
              </w:rPr>
              <w:fldChar w:fldCharType="end"/>
            </w:r>
          </w:hyperlink>
        </w:p>
        <w:p w14:paraId="49C40FC4" w14:textId="275E13B0" w:rsidR="006234D0" w:rsidRDefault="00000000">
          <w:pPr>
            <w:pStyle w:val="TOC1"/>
            <w:rPr>
              <w:rFonts w:asciiTheme="minorHAnsi" w:eastAsiaTheme="minorEastAsia" w:hAnsiTheme="minorHAnsi" w:cstheme="minorBidi"/>
              <w:b w:val="0"/>
              <w:caps w:val="0"/>
              <w:color w:val="auto"/>
              <w:sz w:val="22"/>
              <w:szCs w:val="22"/>
            </w:rPr>
          </w:pPr>
          <w:hyperlink w:anchor="_Toc104869139" w:history="1">
            <w:r w:rsidR="006234D0" w:rsidRPr="00B42C60">
              <w:rPr>
                <w:rStyle w:val="Hyperlink"/>
              </w:rPr>
              <w:t>ANNEX 1:  INTEGRATED RISK ASSESSMENT</w:t>
            </w:r>
            <w:r w:rsidR="006234D0">
              <w:rPr>
                <w:webHidden/>
              </w:rPr>
              <w:tab/>
            </w:r>
            <w:r w:rsidR="006234D0">
              <w:rPr>
                <w:webHidden/>
              </w:rPr>
              <w:fldChar w:fldCharType="begin"/>
            </w:r>
            <w:r w:rsidR="006234D0">
              <w:rPr>
                <w:webHidden/>
              </w:rPr>
              <w:instrText xml:space="preserve"> PAGEREF _Toc104869139 \h </w:instrText>
            </w:r>
            <w:r w:rsidR="006234D0">
              <w:rPr>
                <w:webHidden/>
              </w:rPr>
            </w:r>
            <w:r w:rsidR="006234D0">
              <w:rPr>
                <w:webHidden/>
              </w:rPr>
              <w:fldChar w:fldCharType="separate"/>
            </w:r>
            <w:r w:rsidR="006234D0">
              <w:rPr>
                <w:webHidden/>
              </w:rPr>
              <w:t>101</w:t>
            </w:r>
            <w:r w:rsidR="006234D0">
              <w:rPr>
                <w:webHidden/>
              </w:rPr>
              <w:fldChar w:fldCharType="end"/>
            </w:r>
          </w:hyperlink>
        </w:p>
        <w:p w14:paraId="019DBF3A" w14:textId="0937FC0B" w:rsidR="006234D0" w:rsidRDefault="00000000">
          <w:pPr>
            <w:pStyle w:val="TOC1"/>
            <w:rPr>
              <w:rFonts w:asciiTheme="minorHAnsi" w:eastAsiaTheme="minorEastAsia" w:hAnsiTheme="minorHAnsi" w:cstheme="minorBidi"/>
              <w:b w:val="0"/>
              <w:caps w:val="0"/>
              <w:color w:val="auto"/>
              <w:sz w:val="22"/>
              <w:szCs w:val="22"/>
            </w:rPr>
          </w:pPr>
          <w:hyperlink w:anchor="_Toc104869140" w:history="1">
            <w:r w:rsidR="006234D0" w:rsidRPr="00B42C60">
              <w:rPr>
                <w:rStyle w:val="Hyperlink"/>
              </w:rPr>
              <w:t>ANNEX 2: MODIFIED PROGRAM ACTION PLAN</w:t>
            </w:r>
            <w:r w:rsidR="006234D0">
              <w:rPr>
                <w:webHidden/>
              </w:rPr>
              <w:tab/>
            </w:r>
            <w:r w:rsidR="006234D0">
              <w:rPr>
                <w:webHidden/>
              </w:rPr>
              <w:fldChar w:fldCharType="begin"/>
            </w:r>
            <w:r w:rsidR="006234D0">
              <w:rPr>
                <w:webHidden/>
              </w:rPr>
              <w:instrText xml:space="preserve"> PAGEREF _Toc104869140 \h </w:instrText>
            </w:r>
            <w:r w:rsidR="006234D0">
              <w:rPr>
                <w:webHidden/>
              </w:rPr>
            </w:r>
            <w:r w:rsidR="006234D0">
              <w:rPr>
                <w:webHidden/>
              </w:rPr>
              <w:fldChar w:fldCharType="separate"/>
            </w:r>
            <w:r w:rsidR="006234D0">
              <w:rPr>
                <w:webHidden/>
              </w:rPr>
              <w:t>102</w:t>
            </w:r>
            <w:r w:rsidR="006234D0">
              <w:rPr>
                <w:webHidden/>
              </w:rPr>
              <w:fldChar w:fldCharType="end"/>
            </w:r>
          </w:hyperlink>
        </w:p>
        <w:p w14:paraId="1BBDD290" w14:textId="1BFF3195" w:rsidR="006234D0" w:rsidRDefault="00000000">
          <w:pPr>
            <w:pStyle w:val="TOC1"/>
            <w:rPr>
              <w:rFonts w:asciiTheme="minorHAnsi" w:eastAsiaTheme="minorEastAsia" w:hAnsiTheme="minorHAnsi" w:cstheme="minorBidi"/>
              <w:b w:val="0"/>
              <w:caps w:val="0"/>
              <w:color w:val="auto"/>
              <w:sz w:val="22"/>
              <w:szCs w:val="22"/>
            </w:rPr>
          </w:pPr>
          <w:hyperlink w:anchor="_Toc104869141" w:history="1">
            <w:r w:rsidR="006234D0" w:rsidRPr="00B42C60">
              <w:rPr>
                <w:rStyle w:val="Hyperlink"/>
              </w:rPr>
              <w:t>ANNEX 3: DETAILED IMPLEMENTAION PROGRESS</w:t>
            </w:r>
            <w:r w:rsidR="006234D0">
              <w:rPr>
                <w:webHidden/>
              </w:rPr>
              <w:tab/>
            </w:r>
            <w:r w:rsidR="006234D0">
              <w:rPr>
                <w:webHidden/>
              </w:rPr>
              <w:fldChar w:fldCharType="begin"/>
            </w:r>
            <w:r w:rsidR="006234D0">
              <w:rPr>
                <w:webHidden/>
              </w:rPr>
              <w:instrText xml:space="preserve"> PAGEREF _Toc104869141 \h </w:instrText>
            </w:r>
            <w:r w:rsidR="006234D0">
              <w:rPr>
                <w:webHidden/>
              </w:rPr>
            </w:r>
            <w:r w:rsidR="006234D0">
              <w:rPr>
                <w:webHidden/>
              </w:rPr>
              <w:fldChar w:fldCharType="separate"/>
            </w:r>
            <w:r w:rsidR="006234D0">
              <w:rPr>
                <w:webHidden/>
              </w:rPr>
              <w:t>107</w:t>
            </w:r>
            <w:r w:rsidR="006234D0">
              <w:rPr>
                <w:webHidden/>
              </w:rPr>
              <w:fldChar w:fldCharType="end"/>
            </w:r>
          </w:hyperlink>
        </w:p>
        <w:p w14:paraId="3C4B9BF6" w14:textId="77777777" w:rsidR="004F0F3F" w:rsidRPr="007E295C" w:rsidRDefault="00880CEC" w:rsidP="00815E1A">
          <w:r w:rsidRPr="007E295C">
            <w:fldChar w:fldCharType="end"/>
          </w:r>
        </w:p>
      </w:sdtContent>
    </w:sdt>
    <w:p w14:paraId="3BAB05E8" w14:textId="77777777" w:rsidR="00ED7E26" w:rsidRDefault="00ED7E26" w:rsidP="0018767B">
      <w:pPr>
        <w:rPr>
          <w:caps/>
        </w:rPr>
      </w:pPr>
    </w:p>
    <w:p w14:paraId="2B0E7172" w14:textId="77777777" w:rsidR="0018767B" w:rsidRDefault="0018767B" w:rsidP="0018767B"/>
    <w:p w14:paraId="6422E5EC" w14:textId="77777777" w:rsidR="0018767B" w:rsidRPr="0018767B" w:rsidRDefault="0018767B" w:rsidP="0018767B">
      <w:pPr>
        <w:sectPr w:rsidR="0018767B" w:rsidRPr="0018767B" w:rsidSect="00E51AFC">
          <w:headerReference w:type="default" r:id="rId22"/>
          <w:footerReference w:type="default" r:id="rId23"/>
          <w:pgSz w:w="12240" w:h="15840"/>
          <w:pgMar w:top="1440" w:right="1440" w:bottom="1440" w:left="1440" w:header="720" w:footer="720" w:gutter="0"/>
          <w:pgBorders w:offsetFrom="page">
            <w:bottom w:val="single" w:sz="8" w:space="24" w:color="F7F7F7"/>
          </w:pgBorders>
          <w:cols w:space="720"/>
          <w:docGrid w:linePitch="360"/>
        </w:sectPr>
      </w:pPr>
    </w:p>
    <w:p w14:paraId="29DB81D3" w14:textId="77777777" w:rsidR="003615CB" w:rsidRDefault="003615CB" w:rsidP="00902334">
      <w:pPr>
        <w:tabs>
          <w:tab w:val="left" w:pos="4170"/>
        </w:tabs>
        <w:spacing w:line="14" w:lineRule="exact"/>
        <w:rPr>
          <w:rFonts w:asciiTheme="minorHAnsi" w:hAnsiTheme="minorHAnsi"/>
          <w:b/>
          <w:bCs/>
          <w:color w:val="7F7F7F" w:themeColor="text1" w:themeTint="80"/>
          <w:sz w:val="22"/>
          <w:szCs w:val="22"/>
        </w:rPr>
      </w:pPr>
    </w:p>
    <w:tbl>
      <w:tblPr>
        <w:tblStyle w:val="TableGrid"/>
        <w:tblW w:w="10714" w:type="dxa"/>
        <w:tblInd w:w="-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C"/>
        <w:tblLayout w:type="fixed"/>
        <w:tblLook w:val="04A0" w:firstRow="1" w:lastRow="0" w:firstColumn="1" w:lastColumn="0" w:noHBand="0" w:noVBand="1"/>
      </w:tblPr>
      <w:tblGrid>
        <w:gridCol w:w="10714"/>
      </w:tblGrid>
      <w:tr w:rsidR="004F0F3F" w14:paraId="3EAC9472" w14:textId="77777777" w:rsidTr="00D71994">
        <w:trPr>
          <w:trHeight w:val="432"/>
        </w:trPr>
        <w:tc>
          <w:tcPr>
            <w:tcW w:w="10714" w:type="dxa"/>
            <w:shd w:val="clear" w:color="auto" w:fill="F2F7FC"/>
            <w:vAlign w:val="center"/>
          </w:tcPr>
          <w:p w14:paraId="6510557D" w14:textId="5534417E" w:rsidR="003615CB" w:rsidRPr="00DD5666" w:rsidRDefault="00C231A6" w:rsidP="00F61F1D">
            <w:pPr>
              <w:pStyle w:val="NoSpacing"/>
              <w:numPr>
                <w:ilvl w:val="0"/>
                <w:numId w:val="1"/>
              </w:numPr>
              <w:ind w:left="256" w:hanging="270"/>
              <w:outlineLvl w:val="0"/>
              <w:rPr>
                <w:rFonts w:asciiTheme="minorHAnsi" w:hAnsiTheme="minorHAnsi"/>
                <w:b/>
                <w:sz w:val="22"/>
                <w:szCs w:val="22"/>
              </w:rPr>
            </w:pPr>
            <w:bookmarkStart w:id="1" w:name="_Toc104869130"/>
            <w:r>
              <w:rPr>
                <w:rFonts w:asciiTheme="minorHAnsi" w:hAnsiTheme="minorHAnsi"/>
                <w:b/>
                <w:sz w:val="22"/>
                <w:szCs w:val="22"/>
              </w:rPr>
              <w:t>INTRODUCTION</w:t>
            </w:r>
            <w:bookmarkEnd w:id="1"/>
          </w:p>
        </w:tc>
      </w:tr>
    </w:tbl>
    <w:p w14:paraId="7DC7B2CD" w14:textId="77777777" w:rsidR="003615CB" w:rsidRDefault="003615CB" w:rsidP="00902334">
      <w:pPr>
        <w:ind w:left="-630"/>
        <w:rPr>
          <w:rFonts w:asciiTheme="minorHAnsi" w:hAnsiTheme="minorHAnsi"/>
          <w:b/>
          <w:bCs/>
          <w:color w:val="7F7F7F" w:themeColor="text1" w:themeTint="80"/>
          <w:sz w:val="22"/>
          <w:szCs w:val="22"/>
        </w:rPr>
      </w:pPr>
    </w:p>
    <w:p w14:paraId="463611F4" w14:textId="02A99535" w:rsidR="006234D0" w:rsidRPr="006234D0" w:rsidRDefault="006234D0" w:rsidP="006234D0">
      <w:pPr>
        <w:pStyle w:val="ListParagraph"/>
        <w:widowControl/>
        <w:numPr>
          <w:ilvl w:val="0"/>
          <w:numId w:val="3"/>
        </w:numPr>
        <w:tabs>
          <w:tab w:val="left" w:pos="0"/>
        </w:tabs>
        <w:spacing w:after="120"/>
        <w:ind w:left="-360" w:firstLine="0"/>
        <w:contextualSpacing w:val="0"/>
        <w:jc w:val="both"/>
        <w:rPr>
          <w:rFonts w:ascii="Calibri" w:eastAsia="Times New Roman" w:hAnsi="Calibri" w:cs="Calibri"/>
          <w:color w:val="auto"/>
          <w:sz w:val="20"/>
          <w:szCs w:val="20"/>
        </w:rPr>
      </w:pPr>
      <w:r w:rsidRPr="006234D0">
        <w:rPr>
          <w:rFonts w:asciiTheme="minorHAnsi" w:eastAsiaTheme="minorHAnsi" w:hAnsiTheme="minorHAnsi" w:cstheme="minorHAnsi"/>
          <w:iCs/>
          <w:color w:val="auto"/>
          <w:sz w:val="22"/>
          <w:szCs w:val="22"/>
        </w:rPr>
        <w:t xml:space="preserve">This Program Paper seeks the approval of the Executive Directors to provide an additional grant in an amount of US$80 million to the Republic of Tajikistan under the Power Utility Financial Recovery </w:t>
      </w:r>
      <w:proofErr w:type="spellStart"/>
      <w:r w:rsidRPr="006234D0">
        <w:rPr>
          <w:rFonts w:asciiTheme="minorHAnsi" w:eastAsiaTheme="minorHAnsi" w:hAnsiTheme="minorHAnsi" w:cstheme="minorHAnsi"/>
          <w:iCs/>
          <w:color w:val="auto"/>
          <w:sz w:val="22"/>
          <w:szCs w:val="22"/>
        </w:rPr>
        <w:t>PforR</w:t>
      </w:r>
      <w:proofErr w:type="spellEnd"/>
      <w:r w:rsidRPr="006234D0">
        <w:rPr>
          <w:rFonts w:asciiTheme="minorHAnsi" w:eastAsiaTheme="minorHAnsi" w:hAnsiTheme="minorHAnsi" w:cstheme="minorHAnsi"/>
          <w:iCs/>
          <w:color w:val="auto"/>
          <w:sz w:val="22"/>
          <w:szCs w:val="22"/>
        </w:rPr>
        <w:t xml:space="preserve"> (P168211, Grant No. D558-TJ). </w:t>
      </w:r>
      <w:r w:rsidRPr="006234D0">
        <w:rPr>
          <w:rFonts w:asciiTheme="minorHAnsi" w:eastAsiaTheme="minorHAnsi" w:hAnsiTheme="minorHAnsi" w:cstheme="minorHAnsi"/>
          <w:color w:val="auto"/>
          <w:sz w:val="22"/>
          <w:szCs w:val="22"/>
        </w:rPr>
        <w:t xml:space="preserve">The original grant, in the amount of US$134 million, was approved on February 25, </w:t>
      </w:r>
      <w:proofErr w:type="gramStart"/>
      <w:r w:rsidRPr="006234D0">
        <w:rPr>
          <w:rFonts w:asciiTheme="minorHAnsi" w:eastAsiaTheme="minorHAnsi" w:hAnsiTheme="minorHAnsi" w:cstheme="minorHAnsi"/>
          <w:color w:val="auto"/>
          <w:sz w:val="22"/>
          <w:szCs w:val="22"/>
        </w:rPr>
        <w:t>2020</w:t>
      </w:r>
      <w:proofErr w:type="gramEnd"/>
      <w:r w:rsidRPr="006234D0">
        <w:rPr>
          <w:rFonts w:asciiTheme="minorHAnsi" w:eastAsiaTheme="minorHAnsi" w:hAnsiTheme="minorHAnsi" w:cstheme="minorHAnsi"/>
          <w:color w:val="auto"/>
          <w:sz w:val="22"/>
          <w:szCs w:val="22"/>
        </w:rPr>
        <w:t xml:space="preserve"> and became effective on July 1, 2020. The project closing date has remained the same, August 30, 2026, and the disbursement rate is 46 percent.</w:t>
      </w:r>
    </w:p>
    <w:p w14:paraId="235B9B27" w14:textId="77777777" w:rsidR="006234D0" w:rsidRPr="000F688B" w:rsidRDefault="006234D0" w:rsidP="006234D0">
      <w:pPr>
        <w:pStyle w:val="ListParagraph"/>
        <w:widowControl/>
        <w:numPr>
          <w:ilvl w:val="0"/>
          <w:numId w:val="3"/>
        </w:numPr>
        <w:tabs>
          <w:tab w:val="left" w:pos="0"/>
        </w:tabs>
        <w:spacing w:after="120"/>
        <w:ind w:left="-360" w:firstLine="0"/>
        <w:contextualSpacing w:val="0"/>
        <w:jc w:val="both"/>
        <w:rPr>
          <w:rFonts w:ascii="Calibri" w:eastAsia="Times New Roman" w:hAnsi="Calibri" w:cs="Calibri"/>
          <w:color w:val="auto"/>
          <w:sz w:val="20"/>
          <w:szCs w:val="20"/>
        </w:rPr>
      </w:pPr>
      <w:r>
        <w:rPr>
          <w:rFonts w:asciiTheme="minorHAnsi" w:eastAsiaTheme="minorHAnsi" w:hAnsiTheme="minorHAnsi" w:cstheme="minorHAnsi"/>
          <w:color w:val="auto"/>
          <w:sz w:val="22"/>
          <w:szCs w:val="22"/>
        </w:rPr>
        <w:t>T</w:t>
      </w:r>
      <w:r w:rsidRPr="009C7875">
        <w:rPr>
          <w:rFonts w:asciiTheme="minorHAnsi" w:eastAsiaTheme="minorHAnsi" w:hAnsiTheme="minorHAnsi" w:cstheme="minorHAnsi"/>
          <w:iCs/>
          <w:color w:val="auto"/>
          <w:sz w:val="22"/>
          <w:szCs w:val="22"/>
        </w:rPr>
        <w:t xml:space="preserve">he proposed </w:t>
      </w:r>
      <w:r>
        <w:rPr>
          <w:rFonts w:asciiTheme="minorHAnsi" w:eastAsiaTheme="minorHAnsi" w:hAnsiTheme="minorHAnsi" w:cstheme="minorHAnsi"/>
          <w:iCs/>
          <w:color w:val="auto"/>
          <w:sz w:val="22"/>
          <w:szCs w:val="22"/>
        </w:rPr>
        <w:t>additional financing</w:t>
      </w:r>
      <w:r w:rsidRPr="009C7875">
        <w:rPr>
          <w:rFonts w:asciiTheme="minorHAnsi" w:eastAsiaTheme="minorHAnsi" w:hAnsiTheme="minorHAnsi" w:cstheme="minorHAnsi"/>
          <w:iCs/>
          <w:color w:val="auto"/>
          <w:sz w:val="22"/>
          <w:szCs w:val="22"/>
        </w:rPr>
        <w:t xml:space="preserve"> </w:t>
      </w:r>
      <w:r>
        <w:rPr>
          <w:rFonts w:asciiTheme="minorHAnsi" w:eastAsiaTheme="minorHAnsi" w:hAnsiTheme="minorHAnsi" w:cstheme="minorHAnsi"/>
          <w:iCs/>
          <w:color w:val="auto"/>
          <w:sz w:val="22"/>
          <w:szCs w:val="22"/>
        </w:rPr>
        <w:t xml:space="preserve">(AF) </w:t>
      </w:r>
      <w:r w:rsidRPr="009C7875">
        <w:rPr>
          <w:rFonts w:asciiTheme="minorHAnsi" w:eastAsiaTheme="minorHAnsi" w:hAnsiTheme="minorHAnsi" w:cstheme="minorHAnsi"/>
          <w:iCs/>
          <w:color w:val="auto"/>
          <w:sz w:val="22"/>
          <w:szCs w:val="22"/>
        </w:rPr>
        <w:t xml:space="preserve">would help to cover the shortfall in </w:t>
      </w:r>
      <w:r>
        <w:rPr>
          <w:rFonts w:asciiTheme="minorHAnsi" w:eastAsiaTheme="minorHAnsi" w:hAnsiTheme="minorHAnsi" w:cstheme="minorHAnsi"/>
          <w:iCs/>
          <w:color w:val="auto"/>
          <w:sz w:val="22"/>
          <w:szCs w:val="22"/>
        </w:rPr>
        <w:t>counterpart</w:t>
      </w:r>
      <w:r w:rsidRPr="009C7875">
        <w:rPr>
          <w:rFonts w:asciiTheme="minorHAnsi" w:eastAsiaTheme="minorHAnsi" w:hAnsiTheme="minorHAnsi" w:cstheme="minorHAnsi"/>
          <w:iCs/>
          <w:color w:val="auto"/>
          <w:sz w:val="22"/>
          <w:szCs w:val="22"/>
        </w:rPr>
        <w:t xml:space="preserve"> financing </w:t>
      </w:r>
      <w:r>
        <w:rPr>
          <w:rFonts w:asciiTheme="minorHAnsi" w:eastAsiaTheme="minorHAnsi" w:hAnsiTheme="minorHAnsi" w:cstheme="minorHAnsi"/>
          <w:iCs/>
          <w:color w:val="auto"/>
          <w:sz w:val="22"/>
          <w:szCs w:val="22"/>
        </w:rPr>
        <w:t xml:space="preserve">of </w:t>
      </w:r>
      <w:r w:rsidRPr="009C7875">
        <w:rPr>
          <w:rFonts w:asciiTheme="minorHAnsi" w:eastAsiaTheme="minorHAnsi" w:hAnsiTheme="minorHAnsi" w:cstheme="minorHAnsi"/>
          <w:iCs/>
          <w:color w:val="auto"/>
          <w:sz w:val="22"/>
          <w:szCs w:val="22"/>
        </w:rPr>
        <w:t xml:space="preserve">the Program due to external </w:t>
      </w:r>
      <w:r>
        <w:rPr>
          <w:rFonts w:asciiTheme="minorHAnsi" w:eastAsiaTheme="minorHAnsi" w:hAnsiTheme="minorHAnsi" w:cstheme="minorHAnsi"/>
          <w:iCs/>
          <w:color w:val="auto"/>
          <w:sz w:val="22"/>
          <w:szCs w:val="22"/>
        </w:rPr>
        <w:t xml:space="preserve">and unanticipated </w:t>
      </w:r>
      <w:r w:rsidRPr="009C7875">
        <w:rPr>
          <w:rFonts w:asciiTheme="minorHAnsi" w:eastAsiaTheme="minorHAnsi" w:hAnsiTheme="minorHAnsi" w:cstheme="minorHAnsi"/>
          <w:iCs/>
          <w:color w:val="auto"/>
          <w:sz w:val="22"/>
          <w:szCs w:val="22"/>
        </w:rPr>
        <w:t>shocks</w:t>
      </w:r>
      <w:r>
        <w:rPr>
          <w:rFonts w:asciiTheme="minorHAnsi" w:eastAsiaTheme="minorHAnsi" w:hAnsiTheme="minorHAnsi" w:cstheme="minorHAnsi"/>
          <w:iCs/>
          <w:color w:val="auto"/>
          <w:sz w:val="22"/>
          <w:szCs w:val="22"/>
        </w:rPr>
        <w:t xml:space="preserve"> including the COVID-19 pandemic, political and economic developments in Afghanistan (a major importer of electricity produced by Tajikistan), and the war in Ukraine. </w:t>
      </w:r>
      <w:r w:rsidRPr="009C7875">
        <w:rPr>
          <w:rFonts w:asciiTheme="minorHAnsi" w:eastAsiaTheme="minorHAnsi" w:hAnsiTheme="minorHAnsi" w:cstheme="minorHAnsi"/>
          <w:iCs/>
          <w:color w:val="auto"/>
          <w:sz w:val="22"/>
          <w:szCs w:val="22"/>
        </w:rPr>
        <w:t xml:space="preserve"> The proposed AF would expand the boundaries of the Program to achieve new results (with new DLIs) related to </w:t>
      </w:r>
      <w:r>
        <w:rPr>
          <w:rFonts w:asciiTheme="minorHAnsi" w:eastAsiaTheme="minorHAnsi" w:hAnsiTheme="minorHAnsi" w:cstheme="minorHAnsi"/>
          <w:iCs/>
          <w:color w:val="auto"/>
          <w:sz w:val="22"/>
          <w:szCs w:val="22"/>
        </w:rPr>
        <w:t xml:space="preserve">the </w:t>
      </w:r>
      <w:r w:rsidRPr="009C7875">
        <w:rPr>
          <w:rFonts w:asciiTheme="minorHAnsi" w:eastAsiaTheme="minorHAnsi" w:hAnsiTheme="minorHAnsi" w:cstheme="minorHAnsi"/>
          <w:iCs/>
          <w:color w:val="auto"/>
          <w:sz w:val="22"/>
          <w:szCs w:val="22"/>
        </w:rPr>
        <w:t xml:space="preserve">efficiency of electricity sector expenditures </w:t>
      </w:r>
      <w:r>
        <w:rPr>
          <w:rFonts w:asciiTheme="minorHAnsi" w:eastAsiaTheme="minorHAnsi" w:hAnsiTheme="minorHAnsi" w:cstheme="minorHAnsi"/>
          <w:iCs/>
          <w:color w:val="auto"/>
          <w:sz w:val="22"/>
          <w:szCs w:val="22"/>
        </w:rPr>
        <w:t>and the</w:t>
      </w:r>
      <w:r w:rsidRPr="009C7875">
        <w:rPr>
          <w:rFonts w:asciiTheme="minorHAnsi" w:eastAsiaTheme="minorHAnsi" w:hAnsiTheme="minorHAnsi" w:cstheme="minorHAnsi"/>
          <w:iCs/>
          <w:color w:val="auto"/>
          <w:sz w:val="22"/>
          <w:szCs w:val="22"/>
        </w:rPr>
        <w:t xml:space="preserve"> transparen</w:t>
      </w:r>
      <w:r>
        <w:rPr>
          <w:rFonts w:asciiTheme="minorHAnsi" w:eastAsiaTheme="minorHAnsi" w:hAnsiTheme="minorHAnsi" w:cstheme="minorHAnsi"/>
          <w:iCs/>
          <w:color w:val="auto"/>
          <w:sz w:val="22"/>
          <w:szCs w:val="22"/>
        </w:rPr>
        <w:t xml:space="preserve">cy </w:t>
      </w:r>
      <w:r w:rsidRPr="009C7875">
        <w:rPr>
          <w:rFonts w:asciiTheme="minorHAnsi" w:eastAsiaTheme="minorHAnsi" w:hAnsiTheme="minorHAnsi" w:cstheme="minorHAnsi"/>
          <w:iCs/>
          <w:color w:val="auto"/>
          <w:sz w:val="22"/>
          <w:szCs w:val="22"/>
        </w:rPr>
        <w:t>and predictab</w:t>
      </w:r>
      <w:r>
        <w:rPr>
          <w:rFonts w:asciiTheme="minorHAnsi" w:eastAsiaTheme="minorHAnsi" w:hAnsiTheme="minorHAnsi" w:cstheme="minorHAnsi"/>
          <w:iCs/>
          <w:color w:val="auto"/>
          <w:sz w:val="22"/>
          <w:szCs w:val="22"/>
        </w:rPr>
        <w:t>ility</w:t>
      </w:r>
      <w:r w:rsidRPr="009C7875">
        <w:rPr>
          <w:rFonts w:asciiTheme="minorHAnsi" w:eastAsiaTheme="minorHAnsi" w:hAnsiTheme="minorHAnsi" w:cstheme="minorHAnsi"/>
          <w:iCs/>
          <w:color w:val="auto"/>
          <w:sz w:val="22"/>
          <w:szCs w:val="22"/>
        </w:rPr>
        <w:t xml:space="preserve"> </w:t>
      </w:r>
      <w:r>
        <w:rPr>
          <w:rFonts w:asciiTheme="minorHAnsi" w:eastAsiaTheme="minorHAnsi" w:hAnsiTheme="minorHAnsi" w:cstheme="minorHAnsi"/>
          <w:iCs/>
          <w:color w:val="auto"/>
          <w:sz w:val="22"/>
          <w:szCs w:val="22"/>
        </w:rPr>
        <w:t xml:space="preserve">of </w:t>
      </w:r>
      <w:r w:rsidRPr="009C7875">
        <w:rPr>
          <w:rFonts w:asciiTheme="minorHAnsi" w:eastAsiaTheme="minorHAnsi" w:hAnsiTheme="minorHAnsi" w:cstheme="minorHAnsi"/>
          <w:iCs/>
          <w:color w:val="auto"/>
          <w:sz w:val="22"/>
          <w:szCs w:val="22"/>
        </w:rPr>
        <w:t>cash flows in the sector. Th</w:t>
      </w:r>
      <w:r>
        <w:rPr>
          <w:rFonts w:asciiTheme="minorHAnsi" w:eastAsiaTheme="minorHAnsi" w:hAnsiTheme="minorHAnsi" w:cstheme="minorHAnsi"/>
          <w:iCs/>
          <w:color w:val="auto"/>
          <w:sz w:val="22"/>
          <w:szCs w:val="22"/>
        </w:rPr>
        <w:t>e</w:t>
      </w:r>
      <w:r w:rsidRPr="009C7875">
        <w:rPr>
          <w:rFonts w:asciiTheme="minorHAnsi" w:eastAsiaTheme="minorHAnsi" w:hAnsiTheme="minorHAnsi" w:cstheme="minorHAnsi"/>
          <w:iCs/>
          <w:color w:val="auto"/>
          <w:sz w:val="22"/>
          <w:szCs w:val="22"/>
        </w:rPr>
        <w:t xml:space="preserve">se new measures are based on the updated Government program.  </w:t>
      </w:r>
    </w:p>
    <w:p w14:paraId="0C5BF506" w14:textId="5AD020C0" w:rsidR="006234D0" w:rsidRPr="00455118" w:rsidRDefault="006234D0" w:rsidP="006234D0">
      <w:pPr>
        <w:pStyle w:val="ListParagraph"/>
        <w:widowControl/>
        <w:numPr>
          <w:ilvl w:val="0"/>
          <w:numId w:val="3"/>
        </w:numPr>
        <w:tabs>
          <w:tab w:val="left" w:pos="0"/>
        </w:tabs>
        <w:spacing w:after="120"/>
        <w:ind w:left="-360" w:firstLine="0"/>
        <w:contextualSpacing w:val="0"/>
        <w:jc w:val="both"/>
        <w:rPr>
          <w:rFonts w:asciiTheme="minorHAnsi" w:eastAsiaTheme="minorHAnsi" w:hAnsiTheme="minorHAnsi" w:cstheme="minorHAnsi"/>
          <w:color w:val="auto"/>
          <w:sz w:val="22"/>
          <w:szCs w:val="22"/>
        </w:rPr>
      </w:pPr>
      <w:r>
        <w:rPr>
          <w:rFonts w:asciiTheme="minorHAnsi" w:eastAsiaTheme="minorHAnsi" w:hAnsiTheme="minorHAnsi" w:cstheme="minorHAnsi"/>
          <w:iCs/>
          <w:color w:val="auto"/>
          <w:sz w:val="22"/>
          <w:szCs w:val="22"/>
        </w:rPr>
        <w:t xml:space="preserve">This Program Paper additionally seeks approval to restructure the parent project. </w:t>
      </w:r>
      <w:r w:rsidRPr="00830EC6">
        <w:rPr>
          <w:rFonts w:asciiTheme="minorHAnsi" w:eastAsiaTheme="minorHAnsi" w:hAnsiTheme="minorHAnsi" w:cstheme="minorHAnsi"/>
          <w:color w:val="auto"/>
          <w:sz w:val="22"/>
          <w:szCs w:val="22"/>
        </w:rPr>
        <w:t xml:space="preserve">The </w:t>
      </w:r>
      <w:r>
        <w:rPr>
          <w:rFonts w:asciiTheme="minorHAnsi" w:eastAsiaTheme="minorHAnsi" w:hAnsiTheme="minorHAnsi" w:cstheme="minorHAnsi"/>
          <w:color w:val="auto"/>
          <w:sz w:val="22"/>
          <w:szCs w:val="22"/>
        </w:rPr>
        <w:t>project development objective (</w:t>
      </w:r>
      <w:r w:rsidRPr="00830EC6">
        <w:rPr>
          <w:rFonts w:asciiTheme="minorHAnsi" w:eastAsiaTheme="minorHAnsi" w:hAnsiTheme="minorHAnsi" w:cstheme="minorHAnsi"/>
          <w:color w:val="auto"/>
          <w:sz w:val="22"/>
          <w:szCs w:val="22"/>
        </w:rPr>
        <w:t>PDO</w:t>
      </w:r>
      <w:r>
        <w:rPr>
          <w:rFonts w:asciiTheme="minorHAnsi" w:eastAsiaTheme="minorHAnsi" w:hAnsiTheme="minorHAnsi" w:cstheme="minorHAnsi"/>
          <w:color w:val="auto"/>
          <w:sz w:val="22"/>
          <w:szCs w:val="22"/>
        </w:rPr>
        <w:t xml:space="preserve">), which includes reference to the power utility company, Barqi Tojik (BT), is proposed to be revised </w:t>
      </w:r>
      <w:r w:rsidRPr="00830EC6">
        <w:rPr>
          <w:rFonts w:asciiTheme="minorHAnsi" w:eastAsiaTheme="minorHAnsi" w:hAnsiTheme="minorHAnsi" w:cstheme="minorHAnsi"/>
          <w:color w:val="auto"/>
          <w:sz w:val="22"/>
          <w:szCs w:val="22"/>
        </w:rPr>
        <w:t xml:space="preserve">to reflect the unbundling of </w:t>
      </w:r>
      <w:r>
        <w:rPr>
          <w:rFonts w:asciiTheme="minorHAnsi" w:eastAsiaTheme="minorHAnsi" w:hAnsiTheme="minorHAnsi" w:cstheme="minorHAnsi"/>
          <w:color w:val="auto"/>
          <w:sz w:val="22"/>
          <w:szCs w:val="22"/>
        </w:rPr>
        <w:t>the company into</w:t>
      </w:r>
      <w:r w:rsidRPr="00830EC6">
        <w:rPr>
          <w:rFonts w:asciiTheme="minorHAnsi" w:eastAsiaTheme="minorHAnsi" w:hAnsiTheme="minorHAnsi" w:cstheme="minorHAnsi"/>
          <w:color w:val="auto"/>
          <w:sz w:val="22"/>
          <w:szCs w:val="22"/>
        </w:rPr>
        <w:t xml:space="preserve"> separate and legally independent electricity generation, transmission, and distribution companies. </w:t>
      </w:r>
      <w:r>
        <w:rPr>
          <w:rFonts w:asciiTheme="minorHAnsi" w:eastAsiaTheme="minorHAnsi" w:hAnsiTheme="minorHAnsi" w:cstheme="minorHAnsi"/>
          <w:color w:val="auto"/>
          <w:sz w:val="22"/>
          <w:szCs w:val="22"/>
        </w:rPr>
        <w:t xml:space="preserve">Some results indicators also need to be modified to reflect the unbundling. </w:t>
      </w:r>
      <w:r>
        <w:rPr>
          <w:rFonts w:asciiTheme="minorHAnsi" w:eastAsiaTheme="minorHAnsi" w:hAnsiTheme="minorHAnsi" w:cstheme="minorHAnsi"/>
          <w:iCs/>
          <w:color w:val="auto"/>
          <w:sz w:val="22"/>
          <w:szCs w:val="22"/>
        </w:rPr>
        <w:t xml:space="preserve">The project closing date is proposed to be extended to August 31, 2032, to match: (a) the duration of the revised Government program to allow capturing the impacts from implementation of measures under the Program, and (b) the deadline to achieve targets for some indicators extended concomitantly. </w:t>
      </w:r>
    </w:p>
    <w:p w14:paraId="225AA17F" w14:textId="303DF0E2" w:rsidR="006F3A0F" w:rsidRPr="005F31CC" w:rsidRDefault="006234D0" w:rsidP="005F31CC">
      <w:pPr>
        <w:pStyle w:val="ListParagraph"/>
        <w:widowControl/>
        <w:numPr>
          <w:ilvl w:val="0"/>
          <w:numId w:val="3"/>
        </w:numPr>
        <w:tabs>
          <w:tab w:val="left" w:pos="0"/>
        </w:tabs>
        <w:spacing w:after="120"/>
        <w:ind w:left="-360" w:firstLine="0"/>
        <w:contextualSpacing w:val="0"/>
        <w:jc w:val="both"/>
        <w:rPr>
          <w:rFonts w:asciiTheme="minorHAnsi" w:eastAsiaTheme="minorHAnsi" w:hAnsiTheme="minorHAnsi" w:cstheme="minorHAnsi"/>
          <w:color w:val="auto"/>
          <w:sz w:val="22"/>
          <w:szCs w:val="22"/>
        </w:rPr>
      </w:pPr>
      <w:r>
        <w:rPr>
          <w:rFonts w:asciiTheme="minorHAnsi" w:eastAsiaTheme="minorHAnsi" w:hAnsiTheme="minorHAnsi" w:cstheme="minorHAnsi"/>
          <w:iCs/>
          <w:color w:val="auto"/>
          <w:sz w:val="22"/>
          <w:szCs w:val="22"/>
        </w:rPr>
        <w:t xml:space="preserve">If the AF and an extension of the closing date are approved, it is expected that the key outcomes of the Program - strengthened financial viability and improved governance of the electricity sector, and increased reliability of electricity supply—can still be achieved. </w:t>
      </w:r>
    </w:p>
    <w:tbl>
      <w:tblPr>
        <w:tblStyle w:val="TableGrid3"/>
        <w:tblW w:w="10714" w:type="dxa"/>
        <w:tblInd w:w="-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C"/>
        <w:tblLayout w:type="fixed"/>
        <w:tblLook w:val="04A0" w:firstRow="1" w:lastRow="0" w:firstColumn="1" w:lastColumn="0" w:noHBand="0" w:noVBand="1"/>
      </w:tblPr>
      <w:tblGrid>
        <w:gridCol w:w="10714"/>
      </w:tblGrid>
      <w:tr w:rsidR="004F0F3F" w14:paraId="34EEABA0" w14:textId="77777777" w:rsidTr="00926638">
        <w:trPr>
          <w:trHeight w:val="432"/>
        </w:trPr>
        <w:tc>
          <w:tcPr>
            <w:tcW w:w="10714" w:type="dxa"/>
            <w:shd w:val="clear" w:color="auto" w:fill="F2F7FC"/>
            <w:vAlign w:val="center"/>
          </w:tcPr>
          <w:p w14:paraId="75540FCA" w14:textId="6928A7AF" w:rsidR="006F3A0F" w:rsidRPr="00DD5666" w:rsidRDefault="00C231A6" w:rsidP="00061265">
            <w:pPr>
              <w:pStyle w:val="NoSpacing"/>
              <w:keepNext/>
              <w:numPr>
                <w:ilvl w:val="0"/>
                <w:numId w:val="1"/>
              </w:numPr>
              <w:ind w:left="346" w:hanging="346"/>
              <w:outlineLvl w:val="0"/>
              <w:rPr>
                <w:rFonts w:asciiTheme="minorHAnsi" w:hAnsiTheme="minorHAnsi"/>
                <w:b/>
                <w:sz w:val="22"/>
                <w:szCs w:val="22"/>
              </w:rPr>
            </w:pPr>
            <w:bookmarkStart w:id="2" w:name="_Toc104869131"/>
            <w:r w:rsidRPr="006F3A0F">
              <w:rPr>
                <w:rFonts w:asciiTheme="minorHAnsi" w:hAnsiTheme="minorHAnsi"/>
                <w:b/>
                <w:sz w:val="22"/>
                <w:szCs w:val="22"/>
              </w:rPr>
              <w:t>BACKGROUND AND RATIONALE FOR ADDITIONAL FINANCING</w:t>
            </w:r>
            <w:bookmarkEnd w:id="2"/>
          </w:p>
        </w:tc>
      </w:tr>
    </w:tbl>
    <w:p w14:paraId="23B10445" w14:textId="4007AF1F" w:rsidR="00992F42" w:rsidRPr="00992F42" w:rsidRDefault="00992F42" w:rsidP="00CB0465">
      <w:pPr>
        <w:pStyle w:val="ListParagraph"/>
        <w:widowControl/>
        <w:numPr>
          <w:ilvl w:val="0"/>
          <w:numId w:val="28"/>
        </w:numPr>
        <w:tabs>
          <w:tab w:val="left" w:pos="0"/>
        </w:tabs>
        <w:autoSpaceDE/>
        <w:autoSpaceDN/>
        <w:adjustRightInd/>
        <w:spacing w:before="120" w:after="120"/>
        <w:contextualSpacing w:val="0"/>
        <w:jc w:val="both"/>
        <w:rPr>
          <w:rFonts w:asciiTheme="minorHAnsi" w:hAnsiTheme="minorHAnsi" w:cstheme="minorHAnsi"/>
          <w:b/>
          <w:bCs/>
          <w:sz w:val="22"/>
          <w:szCs w:val="22"/>
        </w:rPr>
      </w:pPr>
      <w:r w:rsidRPr="00992F42">
        <w:rPr>
          <w:rFonts w:asciiTheme="minorHAnsi" w:hAnsiTheme="minorHAnsi" w:cstheme="minorHAnsi"/>
          <w:b/>
          <w:bCs/>
          <w:sz w:val="22"/>
          <w:szCs w:val="22"/>
        </w:rPr>
        <w:t>Electricity Sector Background</w:t>
      </w:r>
    </w:p>
    <w:p w14:paraId="342A35D4" w14:textId="6520388F" w:rsidR="00992F42" w:rsidRDefault="00992F42" w:rsidP="00992F42">
      <w:pPr>
        <w:pStyle w:val="ListParagraph"/>
        <w:widowControl/>
        <w:numPr>
          <w:ilvl w:val="0"/>
          <w:numId w:val="3"/>
        </w:numPr>
        <w:tabs>
          <w:tab w:val="left" w:pos="0"/>
        </w:tabs>
        <w:autoSpaceDE/>
        <w:autoSpaceDN/>
        <w:adjustRightInd/>
        <w:spacing w:after="120"/>
        <w:ind w:left="-360" w:firstLine="0"/>
        <w:contextualSpacing w:val="0"/>
        <w:jc w:val="both"/>
        <w:rPr>
          <w:rFonts w:asciiTheme="minorHAnsi" w:hAnsiTheme="minorHAnsi" w:cstheme="minorHAnsi"/>
          <w:sz w:val="22"/>
          <w:szCs w:val="22"/>
        </w:rPr>
      </w:pPr>
      <w:r w:rsidRPr="004A27D0">
        <w:rPr>
          <w:rFonts w:asciiTheme="minorHAnsi" w:hAnsiTheme="minorHAnsi" w:cstheme="minorHAnsi"/>
          <w:b/>
          <w:sz w:val="22"/>
          <w:szCs w:val="22"/>
        </w:rPr>
        <w:t xml:space="preserve">The </w:t>
      </w:r>
      <w:r>
        <w:rPr>
          <w:rFonts w:asciiTheme="minorHAnsi" w:hAnsiTheme="minorHAnsi" w:cstheme="minorHAnsi"/>
          <w:b/>
          <w:sz w:val="22"/>
          <w:szCs w:val="22"/>
        </w:rPr>
        <w:t>electricity</w:t>
      </w:r>
      <w:r w:rsidRPr="004A27D0">
        <w:rPr>
          <w:rFonts w:asciiTheme="minorHAnsi" w:hAnsiTheme="minorHAnsi" w:cstheme="minorHAnsi"/>
          <w:b/>
          <w:sz w:val="22"/>
          <w:szCs w:val="22"/>
        </w:rPr>
        <w:t xml:space="preserve"> sector in Tajikistan is comprised of two state-owned electricity generation companies, two independent power producers, electricity transmission and distribution companies, and a concession in </w:t>
      </w:r>
      <w:proofErr w:type="spellStart"/>
      <w:r w:rsidRPr="004A27D0">
        <w:rPr>
          <w:rFonts w:asciiTheme="minorHAnsi" w:hAnsiTheme="minorHAnsi" w:cstheme="minorHAnsi"/>
          <w:b/>
          <w:sz w:val="22"/>
          <w:szCs w:val="22"/>
        </w:rPr>
        <w:t>Gorno</w:t>
      </w:r>
      <w:proofErr w:type="spellEnd"/>
      <w:r w:rsidRPr="004A27D0">
        <w:rPr>
          <w:rFonts w:asciiTheme="minorHAnsi" w:hAnsiTheme="minorHAnsi" w:cstheme="minorHAnsi"/>
          <w:b/>
          <w:sz w:val="22"/>
          <w:szCs w:val="22"/>
        </w:rPr>
        <w:t>-Badakhshan Autonomous Oblast (GBAO) combining electricity generation and distribution</w:t>
      </w:r>
      <w:r w:rsidRPr="004A27D0">
        <w:rPr>
          <w:rFonts w:asciiTheme="minorHAnsi" w:hAnsiTheme="minorHAnsi" w:cstheme="minorHAnsi"/>
          <w:sz w:val="22"/>
          <w:szCs w:val="22"/>
        </w:rPr>
        <w:t xml:space="preserve">. </w:t>
      </w:r>
      <w:r w:rsidR="009B13C6">
        <w:rPr>
          <w:rFonts w:asciiTheme="minorHAnsi" w:hAnsiTheme="minorHAnsi" w:cstheme="minorHAnsi"/>
          <w:sz w:val="22"/>
          <w:szCs w:val="22"/>
        </w:rPr>
        <w:t xml:space="preserve">At the time of the parent project, </w:t>
      </w:r>
      <w:r w:rsidRPr="004A27D0">
        <w:rPr>
          <w:rFonts w:asciiTheme="minorHAnsi" w:hAnsiTheme="minorHAnsi" w:cstheme="minorHAnsi"/>
          <w:sz w:val="22"/>
          <w:szCs w:val="22"/>
        </w:rPr>
        <w:t>Barqi Tojik Open Joint Stock</w:t>
      </w:r>
      <w:r>
        <w:rPr>
          <w:rFonts w:asciiTheme="minorHAnsi" w:hAnsiTheme="minorHAnsi" w:cstheme="minorHAnsi"/>
          <w:sz w:val="22"/>
          <w:szCs w:val="22"/>
        </w:rPr>
        <w:t xml:space="preserve"> Holding</w:t>
      </w:r>
      <w:r w:rsidRPr="004A27D0">
        <w:rPr>
          <w:rFonts w:asciiTheme="minorHAnsi" w:hAnsiTheme="minorHAnsi" w:cstheme="minorHAnsi"/>
          <w:sz w:val="22"/>
          <w:szCs w:val="22"/>
        </w:rPr>
        <w:t xml:space="preserve"> Company (BT)</w:t>
      </w:r>
      <w:r w:rsidR="009B13C6">
        <w:rPr>
          <w:rFonts w:asciiTheme="minorHAnsi" w:hAnsiTheme="minorHAnsi" w:cstheme="minorHAnsi"/>
          <w:sz w:val="22"/>
          <w:szCs w:val="22"/>
        </w:rPr>
        <w:t xml:space="preserve"> was a vertically integrated company responsible for electricity generation, transmission, and distribution. The Government has carried out the unbundling of BT into separate electricity generation, transmission, and distribution companies. Currently, BT</w:t>
      </w:r>
      <w:r w:rsidRPr="004A27D0">
        <w:rPr>
          <w:rFonts w:asciiTheme="minorHAnsi" w:hAnsiTheme="minorHAnsi" w:cstheme="minorHAnsi"/>
          <w:sz w:val="22"/>
          <w:szCs w:val="22"/>
        </w:rPr>
        <w:t xml:space="preserve"> is the</w:t>
      </w:r>
      <w:r w:rsidR="0094417D">
        <w:rPr>
          <w:rFonts w:asciiTheme="minorHAnsi" w:hAnsiTheme="minorHAnsi" w:cstheme="minorHAnsi"/>
          <w:sz w:val="22"/>
          <w:szCs w:val="22"/>
        </w:rPr>
        <w:t xml:space="preserve"> largest</w:t>
      </w:r>
      <w:r w:rsidRPr="004A27D0">
        <w:rPr>
          <w:rFonts w:asciiTheme="minorHAnsi" w:hAnsiTheme="minorHAnsi" w:cstheme="minorHAnsi"/>
          <w:sz w:val="22"/>
          <w:szCs w:val="22"/>
        </w:rPr>
        <w:t xml:space="preserve"> state-owned generation company which owns and operates all utility-scale generation plants in the country</w:t>
      </w:r>
      <w:r>
        <w:rPr>
          <w:rFonts w:asciiTheme="minorHAnsi" w:hAnsiTheme="minorHAnsi" w:cstheme="minorHAnsi"/>
          <w:sz w:val="22"/>
          <w:szCs w:val="22"/>
        </w:rPr>
        <w:t>,</w:t>
      </w:r>
      <w:r w:rsidRPr="004A27D0">
        <w:rPr>
          <w:rFonts w:asciiTheme="minorHAnsi" w:hAnsiTheme="minorHAnsi" w:cstheme="minorHAnsi"/>
          <w:sz w:val="22"/>
          <w:szCs w:val="22"/>
        </w:rPr>
        <w:t xml:space="preserve"> except for GBAO</w:t>
      </w:r>
      <w:r>
        <w:rPr>
          <w:rFonts w:asciiTheme="minorHAnsi" w:hAnsiTheme="minorHAnsi" w:cstheme="minorHAnsi"/>
          <w:sz w:val="22"/>
          <w:szCs w:val="22"/>
        </w:rPr>
        <w:t>, and is the electricity market operator</w:t>
      </w:r>
      <w:r w:rsidRPr="004A27D0">
        <w:rPr>
          <w:rFonts w:asciiTheme="minorHAnsi" w:hAnsiTheme="minorHAnsi" w:cstheme="minorHAnsi"/>
          <w:sz w:val="22"/>
          <w:szCs w:val="22"/>
        </w:rPr>
        <w:t xml:space="preserve">. Rogun Joint Stock Company (JSC) is </w:t>
      </w:r>
      <w:r w:rsidR="0094417D">
        <w:rPr>
          <w:rFonts w:asciiTheme="minorHAnsi" w:hAnsiTheme="minorHAnsi" w:cstheme="minorHAnsi"/>
          <w:sz w:val="22"/>
          <w:szCs w:val="22"/>
        </w:rPr>
        <w:t xml:space="preserve">the second state-owned generation company </w:t>
      </w:r>
      <w:r w:rsidRPr="004A27D0">
        <w:rPr>
          <w:rFonts w:asciiTheme="minorHAnsi" w:hAnsiTheme="minorHAnsi" w:cstheme="minorHAnsi"/>
          <w:sz w:val="22"/>
          <w:szCs w:val="22"/>
        </w:rPr>
        <w:t xml:space="preserve">responsible for construction and operation of the 3,780 MW Rogun HPP project. </w:t>
      </w:r>
      <w:r>
        <w:rPr>
          <w:rFonts w:asciiTheme="minorHAnsi" w:hAnsiTheme="minorHAnsi" w:cstheme="minorHAnsi"/>
          <w:sz w:val="22"/>
          <w:szCs w:val="22"/>
        </w:rPr>
        <w:t>The t</w:t>
      </w:r>
      <w:r w:rsidRPr="004A27D0">
        <w:rPr>
          <w:rFonts w:asciiTheme="minorHAnsi" w:hAnsiTheme="minorHAnsi" w:cstheme="minorHAnsi"/>
          <w:sz w:val="22"/>
          <w:szCs w:val="22"/>
        </w:rPr>
        <w:t xml:space="preserve">wo Independent Power Producers (IPPs) – Sangtuda-1 and Sangtuda-2 </w:t>
      </w:r>
      <w:r>
        <w:rPr>
          <w:rFonts w:asciiTheme="minorHAnsi" w:hAnsiTheme="minorHAnsi" w:cstheme="minorHAnsi"/>
          <w:sz w:val="22"/>
          <w:szCs w:val="22"/>
        </w:rPr>
        <w:t>hydro power plants (HPPs)</w:t>
      </w:r>
      <w:r w:rsidRPr="004A27D0">
        <w:rPr>
          <w:rFonts w:asciiTheme="minorHAnsi" w:hAnsiTheme="minorHAnsi" w:cstheme="minorHAnsi"/>
          <w:sz w:val="22"/>
          <w:szCs w:val="22"/>
        </w:rPr>
        <w:t xml:space="preserve"> – were commissioned in 2006 and 2011 respectively to help the country address the issue </w:t>
      </w:r>
      <w:r>
        <w:rPr>
          <w:rFonts w:asciiTheme="minorHAnsi" w:hAnsiTheme="minorHAnsi" w:cstheme="minorHAnsi"/>
          <w:sz w:val="22"/>
          <w:szCs w:val="22"/>
        </w:rPr>
        <w:t xml:space="preserve">of </w:t>
      </w:r>
      <w:r w:rsidRPr="0094417D">
        <w:rPr>
          <w:rFonts w:asciiTheme="minorHAnsi" w:hAnsiTheme="minorHAnsi" w:cstheme="minorHAnsi"/>
          <w:sz w:val="22"/>
          <w:szCs w:val="22"/>
        </w:rPr>
        <w:t xml:space="preserve">electricity supply shortages. Both IPPs have 20-year Power Purchase Agreements (PPAs) with BT. In June 2019, as part of the unbundling of BT, the Government established two new state-owned electricity transmission and distribution companies, </w:t>
      </w:r>
      <w:proofErr w:type="spellStart"/>
      <w:r w:rsidRPr="0094417D">
        <w:rPr>
          <w:rFonts w:asciiTheme="minorHAnsi" w:eastAsia="Times New Roman" w:hAnsiTheme="minorHAnsi" w:cstheme="minorHAnsi"/>
          <w:sz w:val="22"/>
          <w:szCs w:val="22"/>
        </w:rPr>
        <w:t>Shabakahoi</w:t>
      </w:r>
      <w:proofErr w:type="spellEnd"/>
      <w:r>
        <w:rPr>
          <w:rFonts w:asciiTheme="minorHAnsi" w:eastAsia="Times New Roman" w:hAnsiTheme="minorHAnsi" w:cstheme="minorHAnsi"/>
          <w:sz w:val="22"/>
          <w:szCs w:val="22"/>
        </w:rPr>
        <w:t xml:space="preserve"> </w:t>
      </w:r>
      <w:proofErr w:type="spellStart"/>
      <w:r w:rsidRPr="004A27D0">
        <w:rPr>
          <w:rFonts w:asciiTheme="minorHAnsi" w:eastAsia="Times New Roman" w:hAnsiTheme="minorHAnsi" w:cstheme="minorHAnsi"/>
          <w:sz w:val="22"/>
          <w:szCs w:val="22"/>
        </w:rPr>
        <w:t>Intiqoli</w:t>
      </w:r>
      <w:proofErr w:type="spellEnd"/>
      <w:r w:rsidRPr="004A27D0">
        <w:rPr>
          <w:rFonts w:asciiTheme="minorHAnsi" w:eastAsia="Times New Roman" w:hAnsiTheme="minorHAnsi" w:cstheme="minorHAnsi"/>
          <w:sz w:val="22"/>
          <w:szCs w:val="22"/>
        </w:rPr>
        <w:t xml:space="preserve"> </w:t>
      </w:r>
      <w:proofErr w:type="spellStart"/>
      <w:r w:rsidRPr="004A27D0">
        <w:rPr>
          <w:rFonts w:asciiTheme="minorHAnsi" w:eastAsia="Times New Roman" w:hAnsiTheme="minorHAnsi" w:cstheme="minorHAnsi"/>
          <w:sz w:val="22"/>
          <w:szCs w:val="22"/>
        </w:rPr>
        <w:t>Barq</w:t>
      </w:r>
      <w:proofErr w:type="spellEnd"/>
      <w:r w:rsidRPr="004A27D0">
        <w:rPr>
          <w:rFonts w:asciiTheme="minorHAnsi" w:eastAsia="Times New Roman" w:hAnsiTheme="minorHAnsi" w:cstheme="minorHAnsi"/>
          <w:sz w:val="22"/>
          <w:szCs w:val="22"/>
        </w:rPr>
        <w:t xml:space="preserve"> (SIB) Open Joint-Stock Company (OJSC)</w:t>
      </w:r>
      <w:r>
        <w:rPr>
          <w:rFonts w:asciiTheme="minorHAnsi" w:eastAsia="Times New Roman" w:hAnsiTheme="minorHAnsi" w:cstheme="minorHAnsi"/>
          <w:sz w:val="22"/>
          <w:szCs w:val="22"/>
        </w:rPr>
        <w:t xml:space="preserve"> </w:t>
      </w:r>
      <w:r w:rsidRPr="004A27D0">
        <w:rPr>
          <w:rFonts w:asciiTheme="minorHAnsi" w:eastAsia="Times New Roman" w:hAnsiTheme="minorHAnsi" w:cstheme="minorHAnsi"/>
          <w:sz w:val="22"/>
          <w:szCs w:val="22"/>
        </w:rPr>
        <w:t>and</w:t>
      </w:r>
      <w:r>
        <w:rPr>
          <w:rFonts w:asciiTheme="minorHAnsi" w:eastAsia="Times New Roman" w:hAnsiTheme="minorHAnsi" w:cstheme="minorHAnsi"/>
          <w:sz w:val="22"/>
          <w:szCs w:val="22"/>
        </w:rPr>
        <w:t xml:space="preserve"> </w:t>
      </w:r>
      <w:proofErr w:type="spellStart"/>
      <w:r w:rsidRPr="004A27D0">
        <w:rPr>
          <w:rFonts w:asciiTheme="minorHAnsi" w:eastAsia="Times New Roman" w:hAnsiTheme="minorHAnsi" w:cstheme="minorHAnsi"/>
          <w:sz w:val="22"/>
          <w:szCs w:val="22"/>
        </w:rPr>
        <w:lastRenderedPageBreak/>
        <w:t>Shabakahoi</w:t>
      </w:r>
      <w:proofErr w:type="spellEnd"/>
      <w:r w:rsidRPr="004A27D0">
        <w:rPr>
          <w:rFonts w:asciiTheme="minorHAnsi" w:eastAsia="Times New Roman" w:hAnsiTheme="minorHAnsi" w:cstheme="minorHAnsi"/>
          <w:sz w:val="22"/>
          <w:szCs w:val="22"/>
        </w:rPr>
        <w:t xml:space="preserve"> </w:t>
      </w:r>
      <w:proofErr w:type="spellStart"/>
      <w:r w:rsidRPr="004A27D0">
        <w:rPr>
          <w:rFonts w:asciiTheme="minorHAnsi" w:eastAsia="Times New Roman" w:hAnsiTheme="minorHAnsi" w:cstheme="minorHAnsi"/>
          <w:sz w:val="22"/>
          <w:szCs w:val="22"/>
        </w:rPr>
        <w:t>Taqsimoti</w:t>
      </w:r>
      <w:proofErr w:type="spellEnd"/>
      <w:r w:rsidRPr="004A27D0">
        <w:rPr>
          <w:rFonts w:asciiTheme="minorHAnsi" w:eastAsia="Times New Roman" w:hAnsiTheme="minorHAnsi" w:cstheme="minorHAnsi"/>
          <w:sz w:val="22"/>
          <w:szCs w:val="22"/>
        </w:rPr>
        <w:t xml:space="preserve"> </w:t>
      </w:r>
      <w:proofErr w:type="spellStart"/>
      <w:r w:rsidRPr="004A27D0">
        <w:rPr>
          <w:rFonts w:asciiTheme="minorHAnsi" w:eastAsia="Times New Roman" w:hAnsiTheme="minorHAnsi" w:cstheme="minorHAnsi"/>
          <w:sz w:val="22"/>
          <w:szCs w:val="22"/>
        </w:rPr>
        <w:t>Barq</w:t>
      </w:r>
      <w:proofErr w:type="spellEnd"/>
      <w:r w:rsidRPr="004A27D0">
        <w:rPr>
          <w:rFonts w:asciiTheme="minorHAnsi" w:eastAsia="Times New Roman" w:hAnsiTheme="minorHAnsi" w:cstheme="minorHAnsi"/>
          <w:sz w:val="22"/>
          <w:szCs w:val="22"/>
        </w:rPr>
        <w:t xml:space="preserve"> (STB) OJSC respectively.</w:t>
      </w:r>
      <w:r w:rsidRPr="004A27D0">
        <w:rPr>
          <w:rFonts w:asciiTheme="minorHAnsi" w:hAnsiTheme="minorHAnsi" w:cstheme="minorHAnsi"/>
          <w:sz w:val="22"/>
          <w:szCs w:val="22"/>
        </w:rPr>
        <w:t xml:space="preserve"> Pamir Energy Company (PEC) generates and supplies electricity to consumers in GBAO under a 25-year concession agreement, which expires in 2027.</w:t>
      </w:r>
    </w:p>
    <w:p w14:paraId="525FE5D9" w14:textId="615F1E97" w:rsidR="00992F42" w:rsidRPr="00141A49" w:rsidRDefault="00992F42" w:rsidP="00992F42">
      <w:pPr>
        <w:pStyle w:val="ListParagraph"/>
        <w:widowControl/>
        <w:numPr>
          <w:ilvl w:val="0"/>
          <w:numId w:val="3"/>
        </w:numPr>
        <w:tabs>
          <w:tab w:val="left" w:pos="0"/>
        </w:tabs>
        <w:autoSpaceDE/>
        <w:autoSpaceDN/>
        <w:adjustRightInd/>
        <w:spacing w:after="120"/>
        <w:ind w:left="-360" w:firstLine="0"/>
        <w:contextualSpacing w:val="0"/>
        <w:jc w:val="both"/>
        <w:rPr>
          <w:rFonts w:asciiTheme="minorHAnsi" w:hAnsiTheme="minorHAnsi"/>
          <w:bCs/>
          <w:noProof/>
          <w:color w:val="auto"/>
          <w:sz w:val="22"/>
          <w:szCs w:val="22"/>
        </w:rPr>
      </w:pPr>
      <w:r w:rsidRPr="001C72BF">
        <w:rPr>
          <w:rFonts w:asciiTheme="minorHAnsi" w:hAnsiTheme="minorHAnsi" w:cstheme="minorHAnsi"/>
          <w:b/>
          <w:bCs/>
          <w:sz w:val="22"/>
          <w:szCs w:val="22"/>
        </w:rPr>
        <w:t xml:space="preserve">In recognition of the importance of the electricity sector, and </w:t>
      </w:r>
      <w:proofErr w:type="gramStart"/>
      <w:r w:rsidRPr="001C72BF">
        <w:rPr>
          <w:rFonts w:asciiTheme="minorHAnsi" w:hAnsiTheme="minorHAnsi" w:cstheme="minorHAnsi"/>
          <w:b/>
          <w:bCs/>
          <w:sz w:val="22"/>
          <w:szCs w:val="22"/>
        </w:rPr>
        <w:t>BT in particular, for</w:t>
      </w:r>
      <w:proofErr w:type="gramEnd"/>
      <w:r w:rsidRPr="001C72BF">
        <w:rPr>
          <w:rFonts w:asciiTheme="minorHAnsi" w:hAnsiTheme="minorHAnsi" w:cstheme="minorHAnsi"/>
          <w:b/>
          <w:bCs/>
          <w:sz w:val="22"/>
          <w:szCs w:val="22"/>
        </w:rPr>
        <w:t xml:space="preserve"> social and economic development in the country, the Government initiated a Program for Financial Recovery of Barqi Tojik Open Joint Stock Holding Company for 2019-2025.</w:t>
      </w:r>
      <w:r>
        <w:rPr>
          <w:rFonts w:asciiTheme="minorHAnsi" w:hAnsiTheme="minorHAnsi" w:cstheme="minorHAnsi"/>
          <w:sz w:val="22"/>
          <w:szCs w:val="22"/>
        </w:rPr>
        <w:t xml:space="preserve"> This program</w:t>
      </w:r>
      <w:r w:rsidR="00E65A07">
        <w:rPr>
          <w:rFonts w:asciiTheme="minorHAnsi" w:hAnsiTheme="minorHAnsi" w:cstheme="minorHAnsi"/>
          <w:sz w:val="22"/>
          <w:szCs w:val="22"/>
        </w:rPr>
        <w:t xml:space="preserve"> of</w:t>
      </w:r>
      <w:r>
        <w:rPr>
          <w:rFonts w:asciiTheme="minorHAnsi" w:hAnsiTheme="minorHAnsi" w:cstheme="minorHAnsi"/>
          <w:sz w:val="22"/>
          <w:szCs w:val="22"/>
        </w:rPr>
        <w:t xml:space="preserve"> </w:t>
      </w:r>
      <w:r w:rsidR="00E65A07">
        <w:rPr>
          <w:rFonts w:asciiTheme="minorHAnsi" w:hAnsiTheme="minorHAnsi" w:cstheme="minorHAnsi"/>
          <w:bCs/>
          <w:sz w:val="22"/>
          <w:szCs w:val="22"/>
        </w:rPr>
        <w:t>US$1.5</w:t>
      </w:r>
      <w:r w:rsidRPr="004A27D0">
        <w:rPr>
          <w:rFonts w:asciiTheme="minorHAnsi" w:hAnsiTheme="minorHAnsi" w:cstheme="minorHAnsi"/>
          <w:bCs/>
          <w:sz w:val="22"/>
          <w:szCs w:val="22"/>
        </w:rPr>
        <w:t xml:space="preserve"> billion</w:t>
      </w:r>
      <w:r>
        <w:rPr>
          <w:rFonts w:asciiTheme="minorHAnsi" w:hAnsiTheme="minorHAnsi" w:cstheme="minorHAnsi"/>
          <w:bCs/>
          <w:sz w:val="22"/>
          <w:szCs w:val="22"/>
        </w:rPr>
        <w:t xml:space="preserve"> </w:t>
      </w:r>
      <w:r w:rsidRPr="00E65A07">
        <w:rPr>
          <w:rFonts w:asciiTheme="minorHAnsi" w:hAnsiTheme="minorHAnsi" w:cstheme="minorHAnsi"/>
          <w:bCs/>
          <w:sz w:val="22"/>
          <w:szCs w:val="22"/>
        </w:rPr>
        <w:t>was projected to be financed through BT’s additional cash flows and cost savings resulting from the implementation of operational and financial efficiency improvements; support from the Asian Development Bank (ADB) for metering and</w:t>
      </w:r>
      <w:r w:rsidRPr="004A27D0">
        <w:rPr>
          <w:rFonts w:asciiTheme="minorHAnsi" w:hAnsiTheme="minorHAnsi" w:cstheme="minorHAnsi"/>
          <w:bCs/>
          <w:sz w:val="22"/>
          <w:szCs w:val="22"/>
        </w:rPr>
        <w:t xml:space="preserve"> billing in seven large cities </w:t>
      </w:r>
      <w:r>
        <w:rPr>
          <w:rFonts w:asciiTheme="minorHAnsi" w:hAnsiTheme="minorHAnsi" w:cstheme="minorHAnsi"/>
          <w:bCs/>
          <w:sz w:val="22"/>
          <w:szCs w:val="22"/>
        </w:rPr>
        <w:t>(</w:t>
      </w:r>
      <w:r w:rsidRPr="004A27D0">
        <w:rPr>
          <w:rFonts w:asciiTheme="minorHAnsi" w:hAnsiTheme="minorHAnsi" w:cstheme="minorHAnsi"/>
          <w:bCs/>
          <w:sz w:val="22"/>
          <w:szCs w:val="22"/>
        </w:rPr>
        <w:t>accounting for about 55 percent of total annual electricity consumption</w:t>
      </w:r>
      <w:r>
        <w:rPr>
          <w:rFonts w:asciiTheme="minorHAnsi" w:hAnsiTheme="minorHAnsi" w:cstheme="minorHAnsi"/>
          <w:bCs/>
          <w:sz w:val="22"/>
          <w:szCs w:val="22"/>
        </w:rPr>
        <w:t>)</w:t>
      </w:r>
      <w:r w:rsidRPr="004A27D0">
        <w:rPr>
          <w:rFonts w:asciiTheme="minorHAnsi" w:hAnsiTheme="minorHAnsi" w:cstheme="minorHAnsi"/>
          <w:bCs/>
          <w:sz w:val="22"/>
          <w:szCs w:val="22"/>
        </w:rPr>
        <w:t xml:space="preserve">; and financing </w:t>
      </w:r>
      <w:r>
        <w:rPr>
          <w:rFonts w:asciiTheme="minorHAnsi" w:hAnsiTheme="minorHAnsi" w:cstheme="minorHAnsi"/>
          <w:bCs/>
          <w:sz w:val="22"/>
          <w:szCs w:val="22"/>
        </w:rPr>
        <w:t>from the World Bank</w:t>
      </w:r>
      <w:r w:rsidRPr="00141A49">
        <w:rPr>
          <w:rFonts w:asciiTheme="minorHAnsi" w:hAnsiTheme="minorHAnsi" w:cstheme="minorHAnsi"/>
          <w:sz w:val="22"/>
          <w:szCs w:val="22"/>
        </w:rPr>
        <w:t>. The Government program covers the entire value chain of the power sector and includes the</w:t>
      </w:r>
      <w:r>
        <w:rPr>
          <w:rFonts w:asciiTheme="minorHAnsi" w:hAnsiTheme="minorHAnsi" w:cstheme="minorHAnsi"/>
          <w:b/>
          <w:bCs/>
          <w:sz w:val="22"/>
          <w:szCs w:val="22"/>
        </w:rPr>
        <w:t xml:space="preserve"> </w:t>
      </w:r>
      <w:r w:rsidRPr="00607835">
        <w:rPr>
          <w:rFonts w:asciiTheme="minorHAnsi" w:hAnsiTheme="minorHAnsi" w:cstheme="minorHAnsi"/>
          <w:sz w:val="22"/>
          <w:szCs w:val="22"/>
        </w:rPr>
        <w:t>unbundling</w:t>
      </w:r>
      <w:r>
        <w:rPr>
          <w:rFonts w:asciiTheme="minorHAnsi" w:hAnsiTheme="minorHAnsi" w:cstheme="minorHAnsi"/>
          <w:sz w:val="22"/>
          <w:szCs w:val="22"/>
        </w:rPr>
        <w:t xml:space="preserve"> </w:t>
      </w:r>
      <w:r w:rsidRPr="00607835">
        <w:rPr>
          <w:rFonts w:asciiTheme="minorHAnsi" w:hAnsiTheme="minorHAnsi" w:cstheme="minorHAnsi"/>
          <w:sz w:val="22"/>
          <w:szCs w:val="22"/>
        </w:rPr>
        <w:t xml:space="preserve">of </w:t>
      </w:r>
      <w:r>
        <w:rPr>
          <w:rFonts w:asciiTheme="minorHAnsi" w:hAnsiTheme="minorHAnsi" w:cstheme="minorHAnsi"/>
          <w:sz w:val="22"/>
          <w:szCs w:val="22"/>
        </w:rPr>
        <w:t xml:space="preserve">the </w:t>
      </w:r>
      <w:r w:rsidRPr="00607835">
        <w:rPr>
          <w:rFonts w:asciiTheme="minorHAnsi" w:hAnsiTheme="minorHAnsi" w:cstheme="minorHAnsi"/>
          <w:sz w:val="22"/>
          <w:szCs w:val="22"/>
        </w:rPr>
        <w:t>sector</w:t>
      </w:r>
      <w:r>
        <w:rPr>
          <w:rFonts w:asciiTheme="minorHAnsi" w:hAnsiTheme="minorHAnsi" w:cstheme="minorHAnsi"/>
          <w:sz w:val="22"/>
          <w:szCs w:val="22"/>
        </w:rPr>
        <w:t xml:space="preserve"> </w:t>
      </w:r>
      <w:r w:rsidRPr="00607835">
        <w:rPr>
          <w:rFonts w:asciiTheme="minorHAnsi" w:hAnsiTheme="minorHAnsi" w:cstheme="minorHAnsi"/>
          <w:sz w:val="22"/>
          <w:szCs w:val="22"/>
        </w:rPr>
        <w:t>into legally independent electricity generation, transmission, and distribution companies</w:t>
      </w:r>
      <w:r>
        <w:rPr>
          <w:rFonts w:asciiTheme="minorHAnsi" w:hAnsiTheme="minorHAnsi" w:cstheme="minorHAnsi"/>
          <w:sz w:val="22"/>
          <w:szCs w:val="22"/>
        </w:rPr>
        <w:t>.</w:t>
      </w:r>
      <w:r w:rsidRPr="00607835">
        <w:rPr>
          <w:rFonts w:asciiTheme="minorHAnsi" w:hAnsiTheme="minorHAnsi" w:cstheme="minorHAnsi"/>
          <w:b/>
          <w:bCs/>
          <w:sz w:val="22"/>
          <w:szCs w:val="22"/>
        </w:rPr>
        <w:t xml:space="preserve"> </w:t>
      </w:r>
    </w:p>
    <w:p w14:paraId="44019BE2" w14:textId="3405B007" w:rsidR="00992F42" w:rsidRDefault="00992F42" w:rsidP="00992F42">
      <w:pPr>
        <w:pStyle w:val="ListParagraph"/>
        <w:widowControl/>
        <w:numPr>
          <w:ilvl w:val="0"/>
          <w:numId w:val="3"/>
        </w:numPr>
        <w:tabs>
          <w:tab w:val="left" w:pos="0"/>
        </w:tabs>
        <w:autoSpaceDE/>
        <w:autoSpaceDN/>
        <w:adjustRightInd/>
        <w:spacing w:after="120"/>
        <w:ind w:left="-360" w:firstLine="0"/>
        <w:contextualSpacing w:val="0"/>
        <w:jc w:val="both"/>
        <w:rPr>
          <w:rFonts w:asciiTheme="minorHAnsi" w:hAnsiTheme="minorHAnsi"/>
          <w:bCs/>
          <w:noProof/>
          <w:color w:val="auto"/>
          <w:sz w:val="22"/>
          <w:szCs w:val="22"/>
        </w:rPr>
      </w:pPr>
      <w:r w:rsidRPr="001C72BF">
        <w:rPr>
          <w:rFonts w:asciiTheme="minorHAnsi" w:hAnsiTheme="minorHAnsi" w:cstheme="minorHAnsi"/>
          <w:b/>
          <w:bCs/>
          <w:sz w:val="22"/>
          <w:szCs w:val="22"/>
        </w:rPr>
        <w:t xml:space="preserve">In support of the Government program, the </w:t>
      </w:r>
      <w:r w:rsidR="007162B9">
        <w:rPr>
          <w:rFonts w:asciiTheme="minorHAnsi" w:hAnsiTheme="minorHAnsi" w:cstheme="minorHAnsi"/>
          <w:b/>
          <w:bCs/>
          <w:sz w:val="22"/>
          <w:szCs w:val="22"/>
        </w:rPr>
        <w:t>World Bank</w:t>
      </w:r>
      <w:r w:rsidRPr="001C72BF">
        <w:rPr>
          <w:rFonts w:asciiTheme="minorHAnsi" w:hAnsiTheme="minorHAnsi" w:cstheme="minorHAnsi"/>
          <w:b/>
          <w:bCs/>
          <w:sz w:val="22"/>
          <w:szCs w:val="22"/>
        </w:rPr>
        <w:t xml:space="preserve"> approved the Power Utility Financial Recovery Program-for-Results (</w:t>
      </w:r>
      <w:proofErr w:type="spellStart"/>
      <w:r w:rsidRPr="001C72BF">
        <w:rPr>
          <w:rFonts w:asciiTheme="minorHAnsi" w:hAnsiTheme="minorHAnsi" w:cstheme="minorHAnsi"/>
          <w:b/>
          <w:bCs/>
          <w:sz w:val="22"/>
          <w:szCs w:val="22"/>
        </w:rPr>
        <w:t>PforR</w:t>
      </w:r>
      <w:proofErr w:type="spellEnd"/>
      <w:r w:rsidRPr="001C72BF">
        <w:rPr>
          <w:rFonts w:asciiTheme="minorHAnsi" w:hAnsiTheme="minorHAnsi" w:cstheme="minorHAnsi"/>
          <w:b/>
          <w:bCs/>
          <w:sz w:val="22"/>
          <w:szCs w:val="22"/>
        </w:rPr>
        <w:t>) for US$ 134 million in FY20 (the parent project).</w:t>
      </w:r>
      <w:r w:rsidRPr="00141A49">
        <w:rPr>
          <w:rFonts w:asciiTheme="minorHAnsi" w:hAnsiTheme="minorHAnsi" w:cstheme="minorHAnsi"/>
          <w:sz w:val="22"/>
          <w:szCs w:val="22"/>
        </w:rPr>
        <w:t xml:space="preserve"> The objectives of the </w:t>
      </w:r>
      <w:proofErr w:type="spellStart"/>
      <w:r w:rsidRPr="00141A49">
        <w:rPr>
          <w:rFonts w:asciiTheme="minorHAnsi" w:hAnsiTheme="minorHAnsi" w:cstheme="minorHAnsi"/>
          <w:sz w:val="22"/>
          <w:szCs w:val="22"/>
        </w:rPr>
        <w:t>PforR</w:t>
      </w:r>
      <w:proofErr w:type="spellEnd"/>
      <w:r w:rsidRPr="00141A49">
        <w:rPr>
          <w:rFonts w:asciiTheme="minorHAnsi" w:hAnsiTheme="minorHAnsi" w:cstheme="minorHAnsi"/>
          <w:sz w:val="22"/>
          <w:szCs w:val="22"/>
        </w:rPr>
        <w:t xml:space="preserve"> are </w:t>
      </w:r>
      <w:r w:rsidRPr="004F411B">
        <w:rPr>
          <w:rFonts w:asciiTheme="minorHAnsi" w:hAnsiTheme="minorHAnsi"/>
          <w:noProof/>
          <w:color w:val="auto"/>
          <w:sz w:val="22"/>
          <w:szCs w:val="22"/>
        </w:rPr>
        <w:t>to improve the financial viability, increase the reliability of electricity supply, and strengthen the governance of</w:t>
      </w:r>
      <w:r w:rsidRPr="00A0264B">
        <w:rPr>
          <w:rFonts w:asciiTheme="minorHAnsi" w:hAnsiTheme="minorHAnsi"/>
          <w:bCs/>
          <w:noProof/>
          <w:color w:val="auto"/>
          <w:sz w:val="22"/>
          <w:szCs w:val="22"/>
        </w:rPr>
        <w:t xml:space="preserve"> BT</w:t>
      </w:r>
      <w:r>
        <w:rPr>
          <w:rFonts w:asciiTheme="minorHAnsi" w:hAnsiTheme="minorHAnsi"/>
          <w:bCs/>
          <w:noProof/>
          <w:color w:val="auto"/>
          <w:sz w:val="22"/>
          <w:szCs w:val="22"/>
        </w:rPr>
        <w:t xml:space="preserve">. To improve financial viability, the project supports results in the areas of increased tariffs, reduced cash deficits, and reduced debt. To increase the reliability of electricty supply, the project supports results related to the operationalization of the Sangtuda 1 HPP, reduction of equipment failures in transmission and distribution, and aligning of investments in the sector with updated plans. With regard to the governance of BT, the project supports the establishment of functional Supervisory Boards (SBs) and formation of </w:t>
      </w:r>
      <w:r w:rsidRPr="00141A49">
        <w:rPr>
          <w:rFonts w:asciiTheme="minorHAnsi" w:hAnsiTheme="minorHAnsi"/>
          <w:bCs/>
          <w:noProof/>
          <w:color w:val="auto"/>
          <w:sz w:val="22"/>
          <w:szCs w:val="22"/>
        </w:rPr>
        <w:t>specialized committees, and the publication of key operational data and un-audited financial statements.</w:t>
      </w:r>
    </w:p>
    <w:p w14:paraId="0CC61614" w14:textId="3292E8FC" w:rsidR="00992F42" w:rsidRPr="001C72BF" w:rsidRDefault="00992F42" w:rsidP="00992F42">
      <w:pPr>
        <w:pStyle w:val="ListParagraph"/>
        <w:widowControl/>
        <w:numPr>
          <w:ilvl w:val="0"/>
          <w:numId w:val="3"/>
        </w:numPr>
        <w:tabs>
          <w:tab w:val="left" w:pos="0"/>
        </w:tabs>
        <w:autoSpaceDE/>
        <w:autoSpaceDN/>
        <w:adjustRightInd/>
        <w:spacing w:after="120"/>
        <w:ind w:left="-360" w:firstLine="0"/>
        <w:contextualSpacing w:val="0"/>
        <w:jc w:val="both"/>
        <w:rPr>
          <w:rFonts w:asciiTheme="minorHAnsi" w:hAnsiTheme="minorHAnsi"/>
          <w:noProof/>
          <w:color w:val="auto"/>
          <w:sz w:val="22"/>
          <w:szCs w:val="22"/>
        </w:rPr>
      </w:pPr>
      <w:r w:rsidRPr="001C72BF">
        <w:rPr>
          <w:rFonts w:asciiTheme="minorHAnsi" w:hAnsiTheme="minorHAnsi"/>
          <w:b/>
          <w:bCs/>
          <w:noProof/>
          <w:color w:val="auto"/>
          <w:sz w:val="22"/>
          <w:szCs w:val="22"/>
        </w:rPr>
        <w:t xml:space="preserve">Since the PforR became effective in July 2020, a number of factors have affected the </w:t>
      </w:r>
      <w:r w:rsidR="00835D9C">
        <w:rPr>
          <w:rFonts w:asciiTheme="minorHAnsi" w:hAnsiTheme="minorHAnsi"/>
          <w:b/>
          <w:bCs/>
          <w:noProof/>
          <w:color w:val="auto"/>
          <w:sz w:val="22"/>
          <w:szCs w:val="22"/>
        </w:rPr>
        <w:t>electricity</w:t>
      </w:r>
      <w:r w:rsidRPr="001C72BF">
        <w:rPr>
          <w:rFonts w:asciiTheme="minorHAnsi" w:hAnsiTheme="minorHAnsi"/>
          <w:b/>
          <w:bCs/>
          <w:noProof/>
          <w:color w:val="auto"/>
          <w:sz w:val="22"/>
          <w:szCs w:val="22"/>
        </w:rPr>
        <w:t xml:space="preserve"> sector in Tajikistan.</w:t>
      </w:r>
      <w:r w:rsidRPr="00141A49">
        <w:rPr>
          <w:rFonts w:asciiTheme="minorHAnsi" w:hAnsiTheme="minorHAnsi"/>
          <w:noProof/>
          <w:color w:val="auto"/>
          <w:sz w:val="22"/>
          <w:szCs w:val="22"/>
        </w:rPr>
        <w:t xml:space="preserve"> </w:t>
      </w:r>
      <w:r>
        <w:rPr>
          <w:rFonts w:asciiTheme="minorHAnsi" w:hAnsiTheme="minorHAnsi"/>
          <w:noProof/>
          <w:color w:val="auto"/>
          <w:sz w:val="22"/>
          <w:szCs w:val="22"/>
        </w:rPr>
        <w:t>The</w:t>
      </w:r>
      <w:r w:rsidRPr="00141A49">
        <w:rPr>
          <w:rFonts w:asciiTheme="minorHAnsi" w:hAnsiTheme="minorHAnsi"/>
          <w:noProof/>
          <w:color w:val="auto"/>
          <w:sz w:val="22"/>
          <w:szCs w:val="22"/>
        </w:rPr>
        <w:t xml:space="preserve"> </w:t>
      </w:r>
      <w:r w:rsidRPr="00A400F9">
        <w:rPr>
          <w:rFonts w:asciiTheme="minorHAnsi" w:hAnsiTheme="minorHAnsi" w:cstheme="minorHAnsi"/>
          <w:sz w:val="22"/>
          <w:szCs w:val="22"/>
        </w:rPr>
        <w:t xml:space="preserve">COVID-19 </w:t>
      </w:r>
      <w:r>
        <w:rPr>
          <w:rFonts w:asciiTheme="minorHAnsi" w:hAnsiTheme="minorHAnsi" w:cstheme="minorHAnsi"/>
          <w:sz w:val="22"/>
          <w:szCs w:val="22"/>
        </w:rPr>
        <w:t xml:space="preserve">pandemic </w:t>
      </w:r>
      <w:r w:rsidRPr="00A400F9">
        <w:rPr>
          <w:rFonts w:asciiTheme="minorHAnsi" w:hAnsiTheme="minorHAnsi" w:cstheme="minorHAnsi"/>
          <w:sz w:val="22"/>
          <w:szCs w:val="22"/>
        </w:rPr>
        <w:t>and the conflict in Ukraine</w:t>
      </w:r>
      <w:r>
        <w:rPr>
          <w:rFonts w:asciiTheme="minorHAnsi" w:hAnsiTheme="minorHAnsi" w:cstheme="minorHAnsi"/>
          <w:sz w:val="22"/>
          <w:szCs w:val="22"/>
        </w:rPr>
        <w:t xml:space="preserve"> had significant macroeconomic impacts</w:t>
      </w:r>
      <w:r w:rsidR="00835D9C">
        <w:rPr>
          <w:rFonts w:asciiTheme="minorHAnsi" w:hAnsiTheme="minorHAnsi" w:cstheme="minorHAnsi"/>
          <w:sz w:val="22"/>
          <w:szCs w:val="22"/>
        </w:rPr>
        <w:t xml:space="preserve"> that led to </w:t>
      </w:r>
      <w:r w:rsidRPr="00141A49">
        <w:rPr>
          <w:rFonts w:asciiTheme="minorHAnsi" w:hAnsiTheme="minorHAnsi"/>
          <w:noProof/>
          <w:color w:val="auto"/>
          <w:sz w:val="22"/>
          <w:szCs w:val="22"/>
        </w:rPr>
        <w:t xml:space="preserve">larger-than-projected depreciation of the </w:t>
      </w:r>
      <w:r>
        <w:rPr>
          <w:rFonts w:asciiTheme="minorHAnsi" w:hAnsiTheme="minorHAnsi"/>
          <w:noProof/>
          <w:color w:val="auto"/>
          <w:sz w:val="22"/>
          <w:szCs w:val="22"/>
        </w:rPr>
        <w:t>local currency (</w:t>
      </w:r>
      <w:r w:rsidRPr="00141A49">
        <w:rPr>
          <w:rFonts w:asciiTheme="minorHAnsi" w:hAnsiTheme="minorHAnsi"/>
          <w:noProof/>
          <w:color w:val="auto"/>
          <w:sz w:val="22"/>
          <w:szCs w:val="22"/>
        </w:rPr>
        <w:t>TJS</w:t>
      </w:r>
      <w:r>
        <w:rPr>
          <w:rFonts w:asciiTheme="minorHAnsi" w:hAnsiTheme="minorHAnsi"/>
          <w:noProof/>
          <w:color w:val="auto"/>
          <w:sz w:val="22"/>
          <w:szCs w:val="22"/>
        </w:rPr>
        <w:t>)</w:t>
      </w:r>
      <w:r>
        <w:rPr>
          <w:rFonts w:asciiTheme="minorHAnsi" w:hAnsiTheme="minorHAnsi" w:cstheme="minorHAnsi"/>
          <w:sz w:val="22"/>
          <w:szCs w:val="22"/>
        </w:rPr>
        <w:t>,</w:t>
      </w:r>
      <w:r w:rsidRPr="004F411B">
        <w:rPr>
          <w:rFonts w:asciiTheme="minorHAnsi" w:hAnsiTheme="minorHAnsi"/>
          <w:noProof/>
          <w:color w:val="auto"/>
          <w:sz w:val="22"/>
          <w:szCs w:val="22"/>
        </w:rPr>
        <w:t xml:space="preserve"> </w:t>
      </w:r>
      <w:r w:rsidRPr="00141A49">
        <w:rPr>
          <w:rFonts w:asciiTheme="minorHAnsi" w:hAnsiTheme="minorHAnsi"/>
          <w:noProof/>
          <w:color w:val="auto"/>
          <w:sz w:val="22"/>
          <w:szCs w:val="22"/>
        </w:rPr>
        <w:t>which</w:t>
      </w:r>
      <w:r>
        <w:rPr>
          <w:rFonts w:asciiTheme="minorHAnsi" w:hAnsiTheme="minorHAnsi"/>
          <w:noProof/>
          <w:color w:val="auto"/>
          <w:sz w:val="22"/>
          <w:szCs w:val="22"/>
        </w:rPr>
        <w:t xml:space="preserve"> in turn</w:t>
      </w:r>
      <w:r w:rsidRPr="00141A49">
        <w:rPr>
          <w:rFonts w:asciiTheme="minorHAnsi" w:hAnsiTheme="minorHAnsi"/>
          <w:noProof/>
          <w:color w:val="auto"/>
          <w:sz w:val="22"/>
          <w:szCs w:val="22"/>
        </w:rPr>
        <w:t xml:space="preserve"> increased the costs of electricity purchases from IPPs and the debt service costs of BT</w:t>
      </w:r>
      <w:r>
        <w:rPr>
          <w:rFonts w:asciiTheme="minorHAnsi" w:hAnsiTheme="minorHAnsi"/>
          <w:noProof/>
          <w:color w:val="auto"/>
          <w:sz w:val="22"/>
          <w:szCs w:val="22"/>
        </w:rPr>
        <w:t xml:space="preserve">. The economic impacts of COVID also meant that </w:t>
      </w:r>
      <w:r w:rsidRPr="00141A49">
        <w:rPr>
          <w:rFonts w:asciiTheme="minorHAnsi" w:hAnsiTheme="minorHAnsi"/>
          <w:noProof/>
          <w:color w:val="auto"/>
          <w:sz w:val="22"/>
          <w:szCs w:val="22"/>
        </w:rPr>
        <w:t xml:space="preserve">tariffs could not be raised </w:t>
      </w:r>
      <w:r>
        <w:rPr>
          <w:rFonts w:asciiTheme="minorHAnsi" w:hAnsiTheme="minorHAnsi"/>
          <w:noProof/>
          <w:color w:val="auto"/>
          <w:sz w:val="22"/>
          <w:szCs w:val="22"/>
        </w:rPr>
        <w:t xml:space="preserve">for two years in a row, leading to </w:t>
      </w:r>
      <w:r w:rsidRPr="00141A49">
        <w:rPr>
          <w:rFonts w:asciiTheme="minorHAnsi" w:hAnsiTheme="minorHAnsi"/>
          <w:noProof/>
          <w:color w:val="auto"/>
          <w:sz w:val="22"/>
          <w:szCs w:val="22"/>
        </w:rPr>
        <w:t xml:space="preserve">lower-than-expected revenues from domestic </w:t>
      </w:r>
      <w:r>
        <w:rPr>
          <w:rFonts w:asciiTheme="minorHAnsi" w:hAnsiTheme="minorHAnsi"/>
          <w:noProof/>
          <w:color w:val="auto"/>
          <w:sz w:val="22"/>
          <w:szCs w:val="22"/>
        </w:rPr>
        <w:t xml:space="preserve">electricity </w:t>
      </w:r>
      <w:r w:rsidRPr="00141A49">
        <w:rPr>
          <w:rFonts w:asciiTheme="minorHAnsi" w:hAnsiTheme="minorHAnsi"/>
          <w:noProof/>
          <w:color w:val="auto"/>
          <w:sz w:val="22"/>
          <w:szCs w:val="22"/>
        </w:rPr>
        <w:t>sales</w:t>
      </w:r>
      <w:r>
        <w:rPr>
          <w:rFonts w:asciiTheme="minorHAnsi" w:hAnsiTheme="minorHAnsi"/>
          <w:noProof/>
          <w:color w:val="auto"/>
          <w:sz w:val="22"/>
          <w:szCs w:val="22"/>
        </w:rPr>
        <w:t>. T</w:t>
      </w:r>
      <w:r w:rsidRPr="00141A49">
        <w:rPr>
          <w:rFonts w:asciiTheme="minorHAnsi" w:hAnsiTheme="minorHAnsi"/>
          <w:noProof/>
          <w:color w:val="auto"/>
          <w:sz w:val="22"/>
          <w:szCs w:val="22"/>
        </w:rPr>
        <w:t>he political and economic situation in Afghanistan led to delayed payments</w:t>
      </w:r>
      <w:r w:rsidRPr="006A0A87">
        <w:rPr>
          <w:rFonts w:asciiTheme="minorHAnsi" w:hAnsiTheme="minorHAnsi"/>
          <w:noProof/>
          <w:color w:val="auto"/>
          <w:sz w:val="22"/>
          <w:szCs w:val="22"/>
        </w:rPr>
        <w:t xml:space="preserve"> </w:t>
      </w:r>
      <w:r w:rsidR="00835D9C">
        <w:rPr>
          <w:rFonts w:asciiTheme="minorHAnsi" w:hAnsiTheme="minorHAnsi"/>
          <w:noProof/>
          <w:color w:val="auto"/>
          <w:sz w:val="22"/>
          <w:szCs w:val="22"/>
        </w:rPr>
        <w:t>for electricity exported by Tajikistan</w:t>
      </w:r>
      <w:r>
        <w:rPr>
          <w:rFonts w:asciiTheme="minorHAnsi" w:hAnsiTheme="minorHAnsi"/>
          <w:noProof/>
          <w:color w:val="auto"/>
          <w:sz w:val="22"/>
          <w:szCs w:val="22"/>
        </w:rPr>
        <w:t xml:space="preserve">. And </w:t>
      </w:r>
      <w:r w:rsidRPr="00141A49">
        <w:rPr>
          <w:rFonts w:asciiTheme="minorHAnsi" w:hAnsiTheme="minorHAnsi"/>
          <w:noProof/>
          <w:color w:val="auto"/>
          <w:sz w:val="22"/>
          <w:szCs w:val="22"/>
        </w:rPr>
        <w:t xml:space="preserve">unfavorable hydrology led to lower electricity generation from </w:t>
      </w:r>
      <w:r>
        <w:rPr>
          <w:rFonts w:asciiTheme="minorHAnsi" w:hAnsiTheme="minorHAnsi"/>
          <w:noProof/>
          <w:color w:val="auto"/>
          <w:sz w:val="22"/>
          <w:szCs w:val="22"/>
        </w:rPr>
        <w:t xml:space="preserve">existing HPPS, resulting in a </w:t>
      </w:r>
      <w:r w:rsidRPr="00141A49">
        <w:rPr>
          <w:rFonts w:asciiTheme="minorHAnsi" w:hAnsiTheme="minorHAnsi"/>
          <w:noProof/>
          <w:color w:val="auto"/>
          <w:sz w:val="22"/>
          <w:szCs w:val="22"/>
        </w:rPr>
        <w:t>lower volume of exports</w:t>
      </w:r>
      <w:r>
        <w:rPr>
          <w:rFonts w:asciiTheme="minorHAnsi" w:hAnsiTheme="minorHAnsi"/>
          <w:noProof/>
          <w:color w:val="auto"/>
          <w:sz w:val="22"/>
          <w:szCs w:val="22"/>
        </w:rPr>
        <w:t xml:space="preserve">.  </w:t>
      </w:r>
      <w:r w:rsidR="00FA6288">
        <w:rPr>
          <w:rFonts w:asciiTheme="minorHAnsi" w:hAnsiTheme="minorHAnsi"/>
          <w:noProof/>
          <w:color w:val="auto"/>
          <w:sz w:val="22"/>
          <w:szCs w:val="22"/>
        </w:rPr>
        <w:t>All these external factors</w:t>
      </w:r>
      <w:r>
        <w:rPr>
          <w:rFonts w:asciiTheme="minorHAnsi" w:hAnsiTheme="minorHAnsi"/>
          <w:noProof/>
          <w:color w:val="auto"/>
          <w:sz w:val="22"/>
          <w:szCs w:val="22"/>
        </w:rPr>
        <w:t xml:space="preserve"> had a negative impact </w:t>
      </w:r>
      <w:r w:rsidRPr="001C72BF">
        <w:rPr>
          <w:rFonts w:asciiTheme="minorHAnsi" w:hAnsiTheme="minorHAnsi"/>
          <w:noProof/>
          <w:color w:val="auto"/>
          <w:sz w:val="22"/>
          <w:szCs w:val="22"/>
        </w:rPr>
        <w:t>on the financial viability of BT.</w:t>
      </w:r>
    </w:p>
    <w:p w14:paraId="2649C31A" w14:textId="77777777" w:rsidR="00992F42" w:rsidRPr="001C72BF" w:rsidRDefault="00992F42" w:rsidP="00992F42">
      <w:pPr>
        <w:pStyle w:val="ListParagraph"/>
        <w:widowControl/>
        <w:numPr>
          <w:ilvl w:val="0"/>
          <w:numId w:val="3"/>
        </w:numPr>
        <w:tabs>
          <w:tab w:val="left" w:pos="0"/>
        </w:tabs>
        <w:autoSpaceDE/>
        <w:autoSpaceDN/>
        <w:adjustRightInd/>
        <w:spacing w:after="120"/>
        <w:ind w:left="-360" w:firstLine="0"/>
        <w:contextualSpacing w:val="0"/>
        <w:jc w:val="both"/>
        <w:rPr>
          <w:rFonts w:asciiTheme="minorHAnsi" w:hAnsiTheme="minorHAnsi" w:cstheme="minorHAnsi"/>
          <w:sz w:val="22"/>
          <w:szCs w:val="22"/>
        </w:rPr>
      </w:pPr>
      <w:r w:rsidRPr="001C72BF">
        <w:rPr>
          <w:rFonts w:asciiTheme="minorHAnsi" w:hAnsiTheme="minorHAnsi" w:cstheme="minorHAnsi"/>
          <w:b/>
          <w:bCs/>
          <w:sz w:val="22"/>
          <w:szCs w:val="22"/>
        </w:rPr>
        <w:t>The financial viability of the electricity sector remains a top priority for the Government because the sector will continue to play a major role as an important pillar of an export-oriented economy</w:t>
      </w:r>
      <w:r w:rsidRPr="001C72BF">
        <w:rPr>
          <w:rFonts w:asciiTheme="minorHAnsi" w:hAnsiTheme="minorHAnsi" w:cstheme="minorHAnsi"/>
          <w:sz w:val="22"/>
          <w:szCs w:val="22"/>
        </w:rPr>
        <w:t xml:space="preserve">. Electricity is not only a service essential for social development and economic activity in the country but also an important building block of the Government’s objectives to develop an export-oriented economy consistent with the National Development Strategy 2030. This AF is proposed </w:t>
      </w:r>
      <w:proofErr w:type="gramStart"/>
      <w:r w:rsidRPr="001C72BF">
        <w:rPr>
          <w:rFonts w:asciiTheme="minorHAnsi" w:hAnsiTheme="minorHAnsi" w:cstheme="minorHAnsi"/>
          <w:sz w:val="22"/>
          <w:szCs w:val="22"/>
        </w:rPr>
        <w:t>in light of</w:t>
      </w:r>
      <w:proofErr w:type="gramEnd"/>
      <w:r w:rsidRPr="001C72BF">
        <w:rPr>
          <w:rFonts w:asciiTheme="minorHAnsi" w:hAnsiTheme="minorHAnsi" w:cstheme="minorHAnsi"/>
          <w:sz w:val="22"/>
          <w:szCs w:val="22"/>
        </w:rPr>
        <w:t xml:space="preserve"> the unforeseen setbacks that the power sector has faced in the last two years. The funds are considered necessary to ensure that important reforms that have been initiated, and that are still considered a priority by the government, can continue to be pursued, and to enable BT and its related (unbundled) entities to achieve the financial viability that is critical for sustainable and reliable electricity generation and distribution for the development of the country. </w:t>
      </w:r>
    </w:p>
    <w:p w14:paraId="76CE7B02" w14:textId="3DDAB3EC" w:rsidR="00992F42" w:rsidRPr="007D3BAD" w:rsidRDefault="00992F42" w:rsidP="00CB0465">
      <w:pPr>
        <w:pStyle w:val="ListParagraph"/>
        <w:widowControl/>
        <w:numPr>
          <w:ilvl w:val="0"/>
          <w:numId w:val="28"/>
        </w:numPr>
        <w:tabs>
          <w:tab w:val="left" w:pos="0"/>
        </w:tabs>
        <w:autoSpaceDE/>
        <w:autoSpaceDN/>
        <w:adjustRightInd/>
        <w:spacing w:after="120"/>
        <w:contextualSpacing w:val="0"/>
        <w:jc w:val="both"/>
        <w:rPr>
          <w:rFonts w:asciiTheme="minorHAnsi" w:hAnsiTheme="minorHAnsi" w:cstheme="minorHAnsi"/>
          <w:b/>
          <w:bCs/>
          <w:sz w:val="22"/>
          <w:szCs w:val="22"/>
        </w:rPr>
      </w:pPr>
      <w:r w:rsidRPr="004A27D0">
        <w:rPr>
          <w:rFonts w:asciiTheme="minorHAnsi" w:hAnsiTheme="minorHAnsi" w:cstheme="minorHAnsi"/>
          <w:b/>
          <w:bCs/>
          <w:sz w:val="22"/>
          <w:szCs w:val="22"/>
        </w:rPr>
        <w:t>Implementation Progress</w:t>
      </w:r>
      <w:r>
        <w:rPr>
          <w:rFonts w:asciiTheme="minorHAnsi" w:hAnsiTheme="minorHAnsi" w:cstheme="minorHAnsi"/>
          <w:b/>
          <w:bCs/>
          <w:sz w:val="22"/>
          <w:szCs w:val="22"/>
        </w:rPr>
        <w:t xml:space="preserve"> of the Parent Project</w:t>
      </w:r>
    </w:p>
    <w:p w14:paraId="6A51EF44" w14:textId="0512398D" w:rsidR="00992F42" w:rsidRPr="003F3328" w:rsidRDefault="00992F42" w:rsidP="00992F42">
      <w:pPr>
        <w:pStyle w:val="ListParagraph"/>
        <w:widowControl/>
        <w:numPr>
          <w:ilvl w:val="0"/>
          <w:numId w:val="3"/>
        </w:numPr>
        <w:tabs>
          <w:tab w:val="left" w:pos="0"/>
        </w:tabs>
        <w:autoSpaceDE/>
        <w:autoSpaceDN/>
        <w:adjustRightInd/>
        <w:spacing w:after="120"/>
        <w:ind w:left="-360" w:firstLine="0"/>
        <w:contextualSpacing w:val="0"/>
        <w:jc w:val="both"/>
        <w:rPr>
          <w:rFonts w:asciiTheme="minorHAnsi" w:hAnsiTheme="minorHAnsi" w:cstheme="minorHAnsi"/>
          <w:sz w:val="22"/>
          <w:szCs w:val="22"/>
        </w:rPr>
      </w:pPr>
      <w:r w:rsidRPr="003F3328">
        <w:rPr>
          <w:rFonts w:asciiTheme="minorHAnsi" w:hAnsiTheme="minorHAnsi" w:cstheme="minorHAnsi"/>
          <w:sz w:val="22"/>
          <w:szCs w:val="22"/>
        </w:rPr>
        <w:t xml:space="preserve">The </w:t>
      </w:r>
      <w:proofErr w:type="spellStart"/>
      <w:r w:rsidRPr="003F3328">
        <w:rPr>
          <w:rFonts w:asciiTheme="minorHAnsi" w:hAnsiTheme="minorHAnsi" w:cstheme="minorHAnsi"/>
          <w:sz w:val="22"/>
          <w:szCs w:val="22"/>
        </w:rPr>
        <w:t>PforR’s</w:t>
      </w:r>
      <w:proofErr w:type="spellEnd"/>
      <w:r w:rsidRPr="003F3328">
        <w:rPr>
          <w:rFonts w:asciiTheme="minorHAnsi" w:hAnsiTheme="minorHAnsi" w:cstheme="minorHAnsi"/>
          <w:sz w:val="22"/>
          <w:szCs w:val="22"/>
        </w:rPr>
        <w:t xml:space="preserve"> objectives are </w:t>
      </w:r>
      <w:r w:rsidRPr="003F3328">
        <w:rPr>
          <w:rFonts w:asciiTheme="minorHAnsi" w:hAnsiTheme="minorHAnsi"/>
          <w:noProof/>
          <w:color w:val="auto"/>
          <w:sz w:val="22"/>
          <w:szCs w:val="22"/>
        </w:rPr>
        <w:t>to improve the financial viability, increase the reliability of electricity supply, and strengthen the governance of</w:t>
      </w:r>
      <w:r w:rsidRPr="003F3328">
        <w:rPr>
          <w:rFonts w:asciiTheme="minorHAnsi" w:hAnsiTheme="minorHAnsi"/>
          <w:bCs/>
          <w:noProof/>
          <w:color w:val="auto"/>
          <w:sz w:val="22"/>
          <w:szCs w:val="22"/>
        </w:rPr>
        <w:t xml:space="preserve"> BT. </w:t>
      </w:r>
      <w:r w:rsidRPr="003F3328">
        <w:rPr>
          <w:rFonts w:asciiTheme="minorHAnsi" w:hAnsiTheme="minorHAnsi" w:cstheme="minorHAnsi"/>
          <w:sz w:val="22"/>
          <w:szCs w:val="22"/>
        </w:rPr>
        <w:t>The project’s rating for progress towards the achievement of the PDOs is Moderately Satisfactory as th</w:t>
      </w:r>
      <w:r w:rsidR="00835D9C">
        <w:rPr>
          <w:rFonts w:asciiTheme="minorHAnsi" w:hAnsiTheme="minorHAnsi" w:cstheme="minorHAnsi"/>
          <w:sz w:val="22"/>
          <w:szCs w:val="22"/>
        </w:rPr>
        <w:t>e</w:t>
      </w:r>
      <w:r w:rsidRPr="003F3328">
        <w:rPr>
          <w:rFonts w:asciiTheme="minorHAnsi" w:hAnsiTheme="minorHAnsi" w:cstheme="minorHAnsi"/>
          <w:sz w:val="22"/>
          <w:szCs w:val="22"/>
        </w:rPr>
        <w:t xml:space="preserve"> external shocks described above have impacted the financial standing of BT and will delay the achievement of key results indicators beyond the current closing date. Implementation </w:t>
      </w:r>
      <w:r w:rsidRPr="003F3328">
        <w:rPr>
          <w:rFonts w:asciiTheme="minorHAnsi" w:hAnsiTheme="minorHAnsi" w:cstheme="minorHAnsi"/>
          <w:sz w:val="22"/>
          <w:szCs w:val="22"/>
        </w:rPr>
        <w:lastRenderedPageBreak/>
        <w:t>progress is rated Moderately Satisfactory due to delays in the implementation of certain activities, which delayed the achievement of some Disbursement Linked Indicators</w:t>
      </w:r>
      <w:r w:rsidR="00835D9C">
        <w:rPr>
          <w:rFonts w:asciiTheme="minorHAnsi" w:hAnsiTheme="minorHAnsi" w:cstheme="minorHAnsi"/>
          <w:sz w:val="22"/>
          <w:szCs w:val="22"/>
        </w:rPr>
        <w:t xml:space="preserve"> (DLIs)</w:t>
      </w:r>
      <w:r w:rsidRPr="003F3328">
        <w:rPr>
          <w:rFonts w:asciiTheme="minorHAnsi" w:hAnsiTheme="minorHAnsi" w:cstheme="minorHAnsi"/>
          <w:sz w:val="22"/>
          <w:szCs w:val="22"/>
        </w:rPr>
        <w:t xml:space="preserve"> within the timeframes stipulated. </w:t>
      </w:r>
      <w:r>
        <w:rPr>
          <w:rFonts w:asciiTheme="minorHAnsi" w:hAnsiTheme="minorHAnsi" w:cstheme="minorHAnsi"/>
          <w:sz w:val="22"/>
          <w:szCs w:val="22"/>
        </w:rPr>
        <w:t xml:space="preserve">Despite </w:t>
      </w:r>
      <w:r w:rsidRPr="003F3328">
        <w:rPr>
          <w:rFonts w:asciiTheme="minorHAnsi" w:hAnsiTheme="minorHAnsi" w:cstheme="minorHAnsi"/>
          <w:sz w:val="22"/>
          <w:szCs w:val="22"/>
        </w:rPr>
        <w:t>the implementation difficulties, the following have been achieved (see Annex 6 for details):</w:t>
      </w:r>
    </w:p>
    <w:p w14:paraId="6454E123" w14:textId="242AABC4" w:rsidR="00992F42" w:rsidRPr="00091693" w:rsidRDefault="00992F42" w:rsidP="00992F42">
      <w:pPr>
        <w:pStyle w:val="ListParagraph"/>
        <w:widowControl/>
        <w:numPr>
          <w:ilvl w:val="1"/>
          <w:numId w:val="3"/>
        </w:numPr>
        <w:tabs>
          <w:tab w:val="left" w:pos="0"/>
        </w:tabs>
        <w:autoSpaceDE/>
        <w:autoSpaceDN/>
        <w:adjustRightInd/>
        <w:spacing w:after="120"/>
        <w:ind w:left="360"/>
        <w:contextualSpacing w:val="0"/>
        <w:jc w:val="both"/>
        <w:rPr>
          <w:rFonts w:asciiTheme="minorHAnsi" w:hAnsiTheme="minorHAnsi" w:cstheme="minorHAnsi"/>
          <w:i/>
          <w:iCs/>
          <w:sz w:val="22"/>
          <w:szCs w:val="22"/>
        </w:rPr>
      </w:pPr>
      <w:r w:rsidRPr="00091693">
        <w:rPr>
          <w:rFonts w:asciiTheme="minorHAnsi" w:hAnsiTheme="minorHAnsi" w:cstheme="minorHAnsi"/>
          <w:i/>
          <w:iCs/>
          <w:sz w:val="22"/>
          <w:szCs w:val="22"/>
        </w:rPr>
        <w:t>Progress towards the financial viability of BT</w:t>
      </w:r>
      <w:r w:rsidR="00835D9C">
        <w:rPr>
          <w:rFonts w:asciiTheme="minorHAnsi" w:hAnsiTheme="minorHAnsi" w:cstheme="minorHAnsi"/>
          <w:i/>
          <w:iCs/>
          <w:sz w:val="22"/>
          <w:szCs w:val="22"/>
        </w:rPr>
        <w:t>.</w:t>
      </w:r>
      <w:r w:rsidRPr="00091693">
        <w:rPr>
          <w:rFonts w:asciiTheme="minorHAnsi" w:hAnsiTheme="minorHAnsi" w:cstheme="minorHAnsi"/>
          <w:i/>
          <w:iCs/>
          <w:sz w:val="22"/>
          <w:szCs w:val="22"/>
        </w:rPr>
        <w:t xml:space="preserve"> </w:t>
      </w:r>
    </w:p>
    <w:p w14:paraId="274DE8F6" w14:textId="57E2AE0E" w:rsidR="00992F42" w:rsidRPr="00091693" w:rsidRDefault="00992F42" w:rsidP="00992F42">
      <w:pPr>
        <w:pStyle w:val="ListParagraph"/>
        <w:widowControl/>
        <w:numPr>
          <w:ilvl w:val="2"/>
          <w:numId w:val="3"/>
        </w:numPr>
        <w:tabs>
          <w:tab w:val="left" w:pos="0"/>
        </w:tabs>
        <w:autoSpaceDE/>
        <w:autoSpaceDN/>
        <w:adjustRightInd/>
        <w:spacing w:after="120"/>
        <w:ind w:left="630"/>
        <w:contextualSpacing w:val="0"/>
        <w:jc w:val="both"/>
        <w:rPr>
          <w:rFonts w:asciiTheme="minorHAnsi" w:hAnsiTheme="minorHAnsi" w:cstheme="minorHAnsi"/>
          <w:sz w:val="22"/>
          <w:szCs w:val="22"/>
        </w:rPr>
      </w:pPr>
      <w:r w:rsidRPr="00091693">
        <w:rPr>
          <w:rFonts w:asciiTheme="minorHAnsi" w:hAnsiTheme="minorHAnsi" w:cstheme="minorHAnsi"/>
          <w:sz w:val="22"/>
          <w:szCs w:val="22"/>
        </w:rPr>
        <w:t>BT’s debt</w:t>
      </w:r>
      <w:r w:rsidR="006C36B1">
        <w:rPr>
          <w:rFonts w:asciiTheme="minorHAnsi" w:hAnsiTheme="minorHAnsi" w:cstheme="minorHAnsi"/>
          <w:sz w:val="22"/>
          <w:szCs w:val="22"/>
        </w:rPr>
        <w:t xml:space="preserve"> of about TJS5 billion</w:t>
      </w:r>
      <w:r w:rsidRPr="00091693">
        <w:rPr>
          <w:rFonts w:asciiTheme="minorHAnsi" w:hAnsiTheme="minorHAnsi" w:cstheme="minorHAnsi"/>
          <w:sz w:val="22"/>
          <w:szCs w:val="22"/>
        </w:rPr>
        <w:t xml:space="preserve"> </w:t>
      </w:r>
      <w:r w:rsidR="00835D9C">
        <w:rPr>
          <w:rFonts w:asciiTheme="minorHAnsi" w:hAnsiTheme="minorHAnsi" w:cstheme="minorHAnsi"/>
          <w:sz w:val="22"/>
          <w:szCs w:val="22"/>
        </w:rPr>
        <w:t xml:space="preserve">to </w:t>
      </w:r>
      <w:r w:rsidRPr="00091693">
        <w:rPr>
          <w:rFonts w:asciiTheme="minorHAnsi" w:hAnsiTheme="minorHAnsi" w:cstheme="minorHAnsi"/>
          <w:sz w:val="22"/>
          <w:szCs w:val="22"/>
        </w:rPr>
        <w:t xml:space="preserve">the Ministry of Finance (MOF) </w:t>
      </w:r>
      <w:r w:rsidR="006C36B1">
        <w:rPr>
          <w:rFonts w:asciiTheme="minorHAnsi" w:hAnsiTheme="minorHAnsi" w:cstheme="minorHAnsi"/>
          <w:sz w:val="22"/>
          <w:szCs w:val="22"/>
        </w:rPr>
        <w:t xml:space="preserve">was converted into BT’s equity </w:t>
      </w:r>
      <w:r w:rsidR="006C36B1" w:rsidRPr="00091693">
        <w:rPr>
          <w:rFonts w:asciiTheme="minorHAnsi" w:hAnsiTheme="minorHAnsi" w:cstheme="minorHAnsi"/>
          <w:sz w:val="22"/>
          <w:szCs w:val="22"/>
        </w:rPr>
        <w:t>through</w:t>
      </w:r>
      <w:r w:rsidRPr="00091693">
        <w:rPr>
          <w:rFonts w:asciiTheme="minorHAnsi" w:hAnsiTheme="minorHAnsi" w:cstheme="minorHAnsi"/>
          <w:sz w:val="22"/>
          <w:szCs w:val="22"/>
        </w:rPr>
        <w:t xml:space="preserve"> the revision of </w:t>
      </w:r>
      <w:r w:rsidR="003037B5">
        <w:rPr>
          <w:rFonts w:asciiTheme="minorHAnsi" w:eastAsia="Times New Roman" w:hAnsiTheme="minorHAnsi" w:cstheme="minorHAnsi"/>
          <w:sz w:val="22"/>
          <w:szCs w:val="22"/>
        </w:rPr>
        <w:t>the Group 1</w:t>
      </w:r>
      <w:r w:rsidRPr="00091693">
        <w:rPr>
          <w:rFonts w:asciiTheme="minorHAnsi" w:eastAsia="Times New Roman" w:hAnsiTheme="minorHAnsi" w:cstheme="minorHAnsi"/>
          <w:sz w:val="22"/>
          <w:szCs w:val="22"/>
        </w:rPr>
        <w:t xml:space="preserve"> Subsidiary Agreements between BT</w:t>
      </w:r>
      <w:r w:rsidRPr="00091693">
        <w:rPr>
          <w:rStyle w:val="FootnoteReference"/>
          <w:rFonts w:asciiTheme="minorHAnsi" w:hAnsiTheme="minorHAnsi" w:cstheme="minorHAnsi"/>
          <w:sz w:val="22"/>
          <w:szCs w:val="22"/>
        </w:rPr>
        <w:footnoteReference w:id="1"/>
      </w:r>
      <w:r w:rsidRPr="00091693">
        <w:rPr>
          <w:rFonts w:asciiTheme="minorHAnsi" w:eastAsia="Times New Roman" w:hAnsiTheme="minorHAnsi" w:cstheme="minorHAnsi"/>
          <w:sz w:val="22"/>
          <w:szCs w:val="22"/>
        </w:rPr>
        <w:t xml:space="preserve"> and MOF</w:t>
      </w:r>
      <w:r>
        <w:rPr>
          <w:rFonts w:asciiTheme="minorHAnsi" w:eastAsia="Times New Roman" w:hAnsiTheme="minorHAnsi" w:cstheme="minorHAnsi"/>
          <w:sz w:val="22"/>
          <w:szCs w:val="22"/>
        </w:rPr>
        <w:t xml:space="preserve">. The outstanding balance of loans under these subsidiary agreements and the associated fines and penalties for overdue debt service were </w:t>
      </w:r>
      <w:r w:rsidRPr="004A27D0">
        <w:rPr>
          <w:rFonts w:asciiTheme="minorHAnsi" w:eastAsia="Times New Roman" w:hAnsiTheme="minorHAnsi" w:cstheme="minorHAnsi"/>
          <w:sz w:val="22"/>
          <w:szCs w:val="22"/>
        </w:rPr>
        <w:t>converted into BT’s equity</w:t>
      </w:r>
      <w:r>
        <w:rPr>
          <w:rFonts w:asciiTheme="minorHAnsi" w:eastAsia="Times New Roman" w:hAnsiTheme="minorHAnsi" w:cstheme="minorHAnsi"/>
          <w:sz w:val="22"/>
          <w:szCs w:val="22"/>
        </w:rPr>
        <w:t>. For the remaining loans, revisions to the Subsidiary Agreements have been finalized, the debt amounts have been reconciled, and the amendments are expected to be signed by September 30, 2022.</w:t>
      </w:r>
    </w:p>
    <w:p w14:paraId="72EEF8C2" w14:textId="525A1A6B" w:rsidR="00992F42" w:rsidRDefault="00992F42" w:rsidP="00992F42">
      <w:pPr>
        <w:pStyle w:val="ListParagraph"/>
        <w:widowControl/>
        <w:numPr>
          <w:ilvl w:val="2"/>
          <w:numId w:val="3"/>
        </w:numPr>
        <w:tabs>
          <w:tab w:val="left" w:pos="0"/>
        </w:tabs>
        <w:autoSpaceDE/>
        <w:autoSpaceDN/>
        <w:adjustRightInd/>
        <w:spacing w:after="120"/>
        <w:ind w:left="630"/>
        <w:contextualSpacing w:val="0"/>
        <w:jc w:val="both"/>
        <w:rPr>
          <w:rFonts w:asciiTheme="minorHAnsi" w:hAnsiTheme="minorHAnsi" w:cstheme="minorHAnsi"/>
          <w:sz w:val="22"/>
          <w:szCs w:val="22"/>
        </w:rPr>
      </w:pPr>
      <w:r w:rsidRPr="00707509">
        <w:rPr>
          <w:rFonts w:asciiTheme="minorHAnsi" w:eastAsia="Times New Roman" w:hAnsiTheme="minorHAnsi" w:cstheme="minorHAnsi"/>
          <w:sz w:val="22"/>
          <w:szCs w:val="22"/>
        </w:rPr>
        <w:t xml:space="preserve">The BT </w:t>
      </w:r>
      <w:r w:rsidRPr="00835D9C">
        <w:rPr>
          <w:rFonts w:asciiTheme="minorHAnsi" w:eastAsia="Times New Roman" w:hAnsiTheme="minorHAnsi" w:cstheme="minorHAnsi"/>
          <w:sz w:val="22"/>
          <w:szCs w:val="22"/>
        </w:rPr>
        <w:t xml:space="preserve">Supervisory Board </w:t>
      </w:r>
      <w:r w:rsidR="00835D9C">
        <w:rPr>
          <w:rFonts w:asciiTheme="minorHAnsi" w:eastAsia="Times New Roman" w:hAnsiTheme="minorHAnsi" w:cstheme="minorHAnsi"/>
          <w:sz w:val="22"/>
          <w:szCs w:val="22"/>
        </w:rPr>
        <w:t>adopted</w:t>
      </w:r>
      <w:r w:rsidRPr="00835D9C">
        <w:rPr>
          <w:rFonts w:asciiTheme="minorHAnsi" w:eastAsia="Times New Roman" w:hAnsiTheme="minorHAnsi" w:cstheme="minorHAnsi"/>
          <w:sz w:val="22"/>
          <w:szCs w:val="22"/>
        </w:rPr>
        <w:t xml:space="preserve"> a decision prohibiting BT from borrowing from </w:t>
      </w:r>
      <w:r w:rsidRPr="00835D9C">
        <w:rPr>
          <w:rFonts w:asciiTheme="minorHAnsi" w:hAnsiTheme="minorHAnsi" w:cstheme="minorHAnsi"/>
          <w:sz w:val="22"/>
          <w:szCs w:val="22"/>
        </w:rPr>
        <w:t>MOF unless the terms of such financing are aligned with the terms</w:t>
      </w:r>
      <w:r w:rsidRPr="00B011A5">
        <w:rPr>
          <w:rFonts w:asciiTheme="minorHAnsi" w:hAnsiTheme="minorHAnsi" w:cstheme="minorHAnsi"/>
          <w:sz w:val="22"/>
          <w:szCs w:val="22"/>
        </w:rPr>
        <w:t xml:space="preserve"> reflected in the legal agreements with respective financiers.</w:t>
      </w:r>
      <w:r>
        <w:rPr>
          <w:rFonts w:asciiTheme="minorHAnsi" w:hAnsiTheme="minorHAnsi" w:cstheme="minorHAnsi"/>
          <w:sz w:val="22"/>
          <w:szCs w:val="22"/>
        </w:rPr>
        <w:t xml:space="preserve"> It should also be noted that BT did not take on any new</w:t>
      </w:r>
      <w:r w:rsidRPr="007C74DD">
        <w:rPr>
          <w:rFonts w:asciiTheme="minorHAnsi" w:hAnsiTheme="minorHAnsi" w:cstheme="minorHAnsi"/>
          <w:sz w:val="22"/>
          <w:szCs w:val="22"/>
        </w:rPr>
        <w:t xml:space="preserve"> </w:t>
      </w:r>
      <w:r>
        <w:rPr>
          <w:rFonts w:asciiTheme="minorHAnsi" w:hAnsiTheme="minorHAnsi" w:cstheme="minorHAnsi"/>
          <w:sz w:val="22"/>
          <w:szCs w:val="22"/>
        </w:rPr>
        <w:t>commercial loans during this period to ensure compliance with the DLI on reduction of cash deficits</w:t>
      </w:r>
      <w:r w:rsidRPr="007C74DD">
        <w:rPr>
          <w:rFonts w:asciiTheme="minorHAnsi" w:hAnsiTheme="minorHAnsi" w:cstheme="minorHAnsi"/>
          <w:sz w:val="22"/>
          <w:szCs w:val="22"/>
        </w:rPr>
        <w:t>.</w:t>
      </w:r>
    </w:p>
    <w:p w14:paraId="54CA310C" w14:textId="6E5BB36A" w:rsidR="00992F42" w:rsidRPr="00D51356" w:rsidRDefault="00992F42" w:rsidP="00992F42">
      <w:pPr>
        <w:pStyle w:val="ListParagraph"/>
        <w:widowControl/>
        <w:numPr>
          <w:ilvl w:val="1"/>
          <w:numId w:val="3"/>
        </w:numPr>
        <w:tabs>
          <w:tab w:val="left" w:pos="0"/>
        </w:tabs>
        <w:autoSpaceDE/>
        <w:autoSpaceDN/>
        <w:adjustRightInd/>
        <w:spacing w:after="120"/>
        <w:ind w:left="360"/>
        <w:contextualSpacing w:val="0"/>
        <w:jc w:val="both"/>
        <w:rPr>
          <w:rFonts w:asciiTheme="minorHAnsi" w:hAnsiTheme="minorHAnsi" w:cstheme="minorHAnsi"/>
          <w:i/>
          <w:iCs/>
          <w:sz w:val="22"/>
          <w:szCs w:val="22"/>
        </w:rPr>
      </w:pPr>
      <w:r w:rsidRPr="00D51356">
        <w:rPr>
          <w:rFonts w:asciiTheme="minorHAnsi" w:hAnsiTheme="minorHAnsi" w:cstheme="minorHAnsi"/>
          <w:i/>
          <w:iCs/>
          <w:sz w:val="22"/>
          <w:szCs w:val="22"/>
        </w:rPr>
        <w:t>Progress toward increasing the reliability of electricity supply</w:t>
      </w:r>
      <w:r w:rsidR="00835D9C">
        <w:rPr>
          <w:rFonts w:asciiTheme="minorHAnsi" w:hAnsiTheme="minorHAnsi" w:cstheme="minorHAnsi"/>
          <w:i/>
          <w:iCs/>
          <w:sz w:val="22"/>
          <w:szCs w:val="22"/>
        </w:rPr>
        <w:t>.</w:t>
      </w:r>
    </w:p>
    <w:p w14:paraId="6BC87BE3" w14:textId="794E69F7" w:rsidR="00992F42" w:rsidRPr="00D51356" w:rsidRDefault="00992F42" w:rsidP="00992F42">
      <w:pPr>
        <w:pStyle w:val="ListParagraph"/>
        <w:widowControl/>
        <w:numPr>
          <w:ilvl w:val="2"/>
          <w:numId w:val="3"/>
        </w:numPr>
        <w:tabs>
          <w:tab w:val="left" w:pos="0"/>
        </w:tabs>
        <w:autoSpaceDE/>
        <w:autoSpaceDN/>
        <w:adjustRightInd/>
        <w:spacing w:after="120"/>
        <w:ind w:left="630"/>
        <w:contextualSpacing w:val="0"/>
        <w:jc w:val="both"/>
        <w:rPr>
          <w:rFonts w:asciiTheme="minorHAnsi" w:eastAsia="Times New Roman" w:hAnsiTheme="minorHAnsi" w:cstheme="minorHAnsi"/>
          <w:sz w:val="22"/>
          <w:szCs w:val="22"/>
        </w:rPr>
      </w:pPr>
      <w:r w:rsidRPr="00D51356">
        <w:rPr>
          <w:rFonts w:asciiTheme="minorHAnsi" w:eastAsia="Times New Roman" w:hAnsiTheme="minorHAnsi" w:cstheme="minorHAnsi"/>
          <w:sz w:val="22"/>
          <w:szCs w:val="22"/>
        </w:rPr>
        <w:t xml:space="preserve">Electricity from Sangtuda-1 IPP has been purchased and timely </w:t>
      </w:r>
      <w:r w:rsidR="00835D9C">
        <w:rPr>
          <w:rFonts w:asciiTheme="minorHAnsi" w:eastAsia="Times New Roman" w:hAnsiTheme="minorHAnsi" w:cstheme="minorHAnsi"/>
          <w:sz w:val="22"/>
          <w:szCs w:val="22"/>
        </w:rPr>
        <w:t xml:space="preserve">agreed-upon </w:t>
      </w:r>
      <w:r w:rsidRPr="00D51356">
        <w:rPr>
          <w:rFonts w:asciiTheme="minorHAnsi" w:eastAsia="Times New Roman" w:hAnsiTheme="minorHAnsi" w:cstheme="minorHAnsi"/>
          <w:sz w:val="22"/>
          <w:szCs w:val="22"/>
        </w:rPr>
        <w:t xml:space="preserve">payments made. These purchases are important for ensuring adequacy and reliability of electricity supply given that this power plant </w:t>
      </w:r>
      <w:r w:rsidRPr="00D51356">
        <w:rPr>
          <w:rFonts w:asciiTheme="minorHAnsi" w:hAnsiTheme="minorHAnsi" w:cstheme="minorHAnsi"/>
          <w:sz w:val="22"/>
          <w:szCs w:val="22"/>
        </w:rPr>
        <w:t>accounts</w:t>
      </w:r>
      <w:r w:rsidRPr="00D51356">
        <w:rPr>
          <w:rFonts w:asciiTheme="minorHAnsi" w:eastAsia="Times New Roman" w:hAnsiTheme="minorHAnsi" w:cstheme="minorHAnsi"/>
          <w:sz w:val="22"/>
          <w:szCs w:val="22"/>
        </w:rPr>
        <w:t xml:space="preserve"> for about 10 percent of total electricity generation in the country.</w:t>
      </w:r>
    </w:p>
    <w:p w14:paraId="0545AE34" w14:textId="77777777" w:rsidR="00992F42" w:rsidRDefault="00992F42" w:rsidP="00992F42">
      <w:pPr>
        <w:pStyle w:val="ListParagraph"/>
        <w:widowControl/>
        <w:numPr>
          <w:ilvl w:val="1"/>
          <w:numId w:val="3"/>
        </w:numPr>
        <w:tabs>
          <w:tab w:val="left" w:pos="0"/>
        </w:tabs>
        <w:autoSpaceDE/>
        <w:autoSpaceDN/>
        <w:adjustRightInd/>
        <w:spacing w:after="120"/>
        <w:ind w:left="360"/>
        <w:contextualSpacing w:val="0"/>
        <w:jc w:val="both"/>
        <w:rPr>
          <w:rFonts w:asciiTheme="minorHAnsi" w:hAnsiTheme="minorHAnsi" w:cstheme="minorHAnsi"/>
          <w:i/>
          <w:iCs/>
          <w:sz w:val="22"/>
          <w:szCs w:val="22"/>
        </w:rPr>
      </w:pPr>
      <w:r>
        <w:rPr>
          <w:rFonts w:asciiTheme="minorHAnsi" w:hAnsiTheme="minorHAnsi" w:cstheme="minorHAnsi"/>
          <w:i/>
          <w:iCs/>
          <w:sz w:val="22"/>
          <w:szCs w:val="22"/>
        </w:rPr>
        <w:t>Progress towards strengthened governance of BT</w:t>
      </w:r>
    </w:p>
    <w:p w14:paraId="5D38A262" w14:textId="4420FAB0" w:rsidR="00992F42" w:rsidRDefault="00992F42" w:rsidP="00992F42">
      <w:pPr>
        <w:pStyle w:val="ListParagraph"/>
        <w:widowControl/>
        <w:numPr>
          <w:ilvl w:val="2"/>
          <w:numId w:val="3"/>
        </w:numPr>
        <w:tabs>
          <w:tab w:val="left" w:pos="0"/>
        </w:tabs>
        <w:autoSpaceDE/>
        <w:autoSpaceDN/>
        <w:adjustRightInd/>
        <w:spacing w:after="120"/>
        <w:ind w:left="630"/>
        <w:contextualSpacing w:val="0"/>
        <w:jc w:val="both"/>
        <w:rPr>
          <w:rFonts w:asciiTheme="minorHAnsi" w:eastAsia="Times New Roman" w:hAnsiTheme="minorHAnsi" w:cstheme="minorHAnsi"/>
          <w:sz w:val="22"/>
          <w:szCs w:val="22"/>
        </w:rPr>
      </w:pPr>
      <w:r w:rsidRPr="00835D9C">
        <w:rPr>
          <w:rFonts w:asciiTheme="minorHAnsi" w:hAnsiTheme="minorHAnsi" w:cstheme="minorHAnsi"/>
          <w:sz w:val="22"/>
          <w:szCs w:val="22"/>
        </w:rPr>
        <w:t xml:space="preserve">BT has been successfully unbundled and a new transmission company (SIB) and a new distribution company (STB) </w:t>
      </w:r>
      <w:r w:rsidR="00835D9C">
        <w:rPr>
          <w:rFonts w:asciiTheme="minorHAnsi" w:hAnsiTheme="minorHAnsi" w:cstheme="minorHAnsi"/>
          <w:sz w:val="22"/>
          <w:szCs w:val="22"/>
        </w:rPr>
        <w:t xml:space="preserve">were </w:t>
      </w:r>
      <w:r w:rsidRPr="00835D9C">
        <w:rPr>
          <w:rFonts w:asciiTheme="minorHAnsi" w:hAnsiTheme="minorHAnsi" w:cstheme="minorHAnsi"/>
          <w:sz w:val="22"/>
          <w:szCs w:val="22"/>
        </w:rPr>
        <w:t xml:space="preserve">established. </w:t>
      </w:r>
      <w:r w:rsidR="00835D9C">
        <w:rPr>
          <w:rFonts w:asciiTheme="minorHAnsi" w:hAnsiTheme="minorHAnsi" w:cstheme="minorHAnsi"/>
          <w:sz w:val="22"/>
          <w:szCs w:val="22"/>
        </w:rPr>
        <w:t xml:space="preserve">The </w:t>
      </w:r>
      <w:r w:rsidRPr="00835D9C">
        <w:rPr>
          <w:rFonts w:asciiTheme="minorHAnsi" w:eastAsia="Times New Roman" w:hAnsiTheme="minorHAnsi" w:cstheme="minorHAnsi"/>
          <w:sz w:val="22"/>
          <w:szCs w:val="22"/>
        </w:rPr>
        <w:t>Supervisory</w:t>
      </w:r>
      <w:r w:rsidRPr="00707509">
        <w:rPr>
          <w:rFonts w:asciiTheme="minorHAnsi" w:eastAsia="Times New Roman" w:hAnsiTheme="minorHAnsi" w:cstheme="minorHAnsi"/>
          <w:sz w:val="22"/>
          <w:szCs w:val="22"/>
        </w:rPr>
        <w:t xml:space="preserve"> Boards and </w:t>
      </w:r>
      <w:r>
        <w:rPr>
          <w:rFonts w:asciiTheme="minorHAnsi" w:eastAsia="Times New Roman" w:hAnsiTheme="minorHAnsi" w:cstheme="minorHAnsi"/>
          <w:sz w:val="22"/>
          <w:szCs w:val="22"/>
        </w:rPr>
        <w:t>A</w:t>
      </w:r>
      <w:r w:rsidRPr="00707509">
        <w:rPr>
          <w:rFonts w:asciiTheme="minorHAnsi" w:eastAsia="Times New Roman" w:hAnsiTheme="minorHAnsi" w:cstheme="minorHAnsi"/>
          <w:sz w:val="22"/>
          <w:szCs w:val="22"/>
        </w:rPr>
        <w:t xml:space="preserve">udit </w:t>
      </w:r>
      <w:r>
        <w:rPr>
          <w:rFonts w:asciiTheme="minorHAnsi" w:eastAsia="Times New Roman" w:hAnsiTheme="minorHAnsi" w:cstheme="minorHAnsi"/>
          <w:sz w:val="22"/>
          <w:szCs w:val="22"/>
        </w:rPr>
        <w:t>C</w:t>
      </w:r>
      <w:r w:rsidRPr="00707509">
        <w:rPr>
          <w:rFonts w:asciiTheme="minorHAnsi" w:eastAsia="Times New Roman" w:hAnsiTheme="minorHAnsi" w:cstheme="minorHAnsi"/>
          <w:sz w:val="22"/>
          <w:szCs w:val="22"/>
        </w:rPr>
        <w:t>ommittees have been introduced at both SIB and STB to improve the efficiency of corporate governance and ensure that the companies are managed in accordance with good-practice corporate guidelines.</w:t>
      </w:r>
    </w:p>
    <w:p w14:paraId="60BA6ADB" w14:textId="6B39DDC0" w:rsidR="00992F42" w:rsidRDefault="00992F42" w:rsidP="00992F42">
      <w:pPr>
        <w:pStyle w:val="ListParagraph"/>
        <w:widowControl/>
        <w:numPr>
          <w:ilvl w:val="2"/>
          <w:numId w:val="3"/>
        </w:numPr>
        <w:tabs>
          <w:tab w:val="left" w:pos="0"/>
        </w:tabs>
        <w:autoSpaceDE/>
        <w:autoSpaceDN/>
        <w:adjustRightInd/>
        <w:spacing w:after="120"/>
        <w:ind w:left="630"/>
        <w:contextualSpacing w:val="0"/>
        <w:jc w:val="both"/>
        <w:rPr>
          <w:rFonts w:asciiTheme="minorHAnsi" w:hAnsiTheme="minorHAnsi" w:cstheme="minorHAnsi"/>
          <w:sz w:val="22"/>
          <w:szCs w:val="22"/>
        </w:rPr>
      </w:pPr>
      <w:r>
        <w:rPr>
          <w:rFonts w:asciiTheme="minorHAnsi" w:hAnsiTheme="minorHAnsi" w:cstheme="minorHAnsi"/>
          <w:sz w:val="22"/>
          <w:szCs w:val="22"/>
        </w:rPr>
        <w:t>The transparency of the electricity sector has improved through timely publication of key operational and financial data.</w:t>
      </w:r>
    </w:p>
    <w:p w14:paraId="3D11CBC5" w14:textId="725E293E" w:rsidR="000D6192" w:rsidRPr="000D6192" w:rsidRDefault="000D6192" w:rsidP="00CB0465">
      <w:pPr>
        <w:pStyle w:val="ListParagraph"/>
        <w:widowControl/>
        <w:numPr>
          <w:ilvl w:val="0"/>
          <w:numId w:val="28"/>
        </w:numPr>
        <w:tabs>
          <w:tab w:val="left" w:pos="0"/>
        </w:tabs>
        <w:autoSpaceDE/>
        <w:autoSpaceDN/>
        <w:adjustRightInd/>
        <w:spacing w:after="120"/>
        <w:contextualSpacing w:val="0"/>
        <w:jc w:val="both"/>
        <w:rPr>
          <w:rFonts w:asciiTheme="minorHAnsi" w:hAnsiTheme="minorHAnsi" w:cstheme="minorHAnsi"/>
          <w:b/>
          <w:bCs/>
          <w:sz w:val="22"/>
          <w:szCs w:val="22"/>
        </w:rPr>
      </w:pPr>
      <w:r w:rsidRPr="000D6192">
        <w:rPr>
          <w:rFonts w:asciiTheme="minorHAnsi" w:hAnsiTheme="minorHAnsi" w:cstheme="minorHAnsi"/>
          <w:b/>
          <w:bCs/>
          <w:sz w:val="22"/>
          <w:szCs w:val="22"/>
        </w:rPr>
        <w:t>Status of the Program Action Plan</w:t>
      </w:r>
    </w:p>
    <w:p w14:paraId="3EC3CA32" w14:textId="05B39401" w:rsidR="000D6192" w:rsidRDefault="000D6192" w:rsidP="000D6192">
      <w:pPr>
        <w:pStyle w:val="ListParagraph"/>
        <w:widowControl/>
        <w:numPr>
          <w:ilvl w:val="0"/>
          <w:numId w:val="3"/>
        </w:numPr>
        <w:shd w:val="clear" w:color="auto" w:fill="FFFFFF"/>
        <w:tabs>
          <w:tab w:val="left" w:pos="0"/>
        </w:tabs>
        <w:autoSpaceDE/>
        <w:autoSpaceDN/>
        <w:adjustRightInd/>
        <w:spacing w:after="120"/>
        <w:ind w:left="-360" w:firstLine="0"/>
        <w:contextualSpacing w:val="0"/>
        <w:jc w:val="both"/>
        <w:rPr>
          <w:rFonts w:asciiTheme="minorHAnsi" w:hAnsiTheme="minorHAnsi" w:cstheme="minorHAnsi"/>
          <w:sz w:val="22"/>
          <w:szCs w:val="22"/>
        </w:rPr>
      </w:pPr>
      <w:r>
        <w:rPr>
          <w:rFonts w:asciiTheme="minorHAnsi" w:hAnsiTheme="minorHAnsi" w:cstheme="minorHAnsi"/>
          <w:sz w:val="22"/>
          <w:szCs w:val="22"/>
        </w:rPr>
        <w:t xml:space="preserve">The implementation of the Program Action Plan (PAP) has been adequate albeit with delays caused primarily by COVID-19. Unavailability of key staff and other COVID-related restrictions slowed down the overall pace of reforms and delayed certain activities, but implementation has accelerated </w:t>
      </w:r>
      <w:r w:rsidRPr="000D6192">
        <w:rPr>
          <w:rFonts w:asciiTheme="minorHAnsi" w:hAnsiTheme="minorHAnsi" w:cstheme="minorHAnsi"/>
          <w:sz w:val="22"/>
          <w:szCs w:val="22"/>
        </w:rPr>
        <w:t>since early 202</w:t>
      </w:r>
      <w:r>
        <w:rPr>
          <w:rFonts w:asciiTheme="minorHAnsi" w:hAnsiTheme="minorHAnsi" w:cstheme="minorHAnsi"/>
          <w:sz w:val="22"/>
          <w:szCs w:val="22"/>
        </w:rPr>
        <w:t>2. The status of activities is summarized below (see Annex 2 for details).</w:t>
      </w:r>
    </w:p>
    <w:p w14:paraId="04E26060" w14:textId="69F524E9" w:rsidR="00D83C16" w:rsidRDefault="000D6192" w:rsidP="00D83C16">
      <w:pPr>
        <w:pStyle w:val="ListParagraph"/>
        <w:widowControl/>
        <w:numPr>
          <w:ilvl w:val="1"/>
          <w:numId w:val="3"/>
        </w:numPr>
        <w:shd w:val="clear" w:color="auto" w:fill="FFFFFF"/>
        <w:tabs>
          <w:tab w:val="left" w:pos="360"/>
        </w:tabs>
        <w:autoSpaceDE/>
        <w:autoSpaceDN/>
        <w:adjustRightInd/>
        <w:spacing w:after="120"/>
        <w:ind w:left="360"/>
        <w:contextualSpacing w:val="0"/>
        <w:jc w:val="both"/>
        <w:rPr>
          <w:rFonts w:asciiTheme="minorHAnsi" w:hAnsiTheme="minorHAnsi" w:cstheme="minorHAnsi"/>
          <w:sz w:val="22"/>
          <w:szCs w:val="22"/>
        </w:rPr>
      </w:pPr>
      <w:r w:rsidRPr="00D244A7">
        <w:rPr>
          <w:rFonts w:asciiTheme="minorHAnsi" w:hAnsiTheme="minorHAnsi" w:cstheme="minorHAnsi"/>
          <w:b/>
          <w:bCs/>
          <w:sz w:val="22"/>
          <w:szCs w:val="22"/>
        </w:rPr>
        <w:t>Regulatory</w:t>
      </w:r>
      <w:r>
        <w:rPr>
          <w:rFonts w:asciiTheme="minorHAnsi" w:hAnsiTheme="minorHAnsi" w:cstheme="minorHAnsi"/>
          <w:sz w:val="22"/>
          <w:szCs w:val="22"/>
        </w:rPr>
        <w:t xml:space="preserve">: Hiring of the staff for the Tariff Unit of the Anti-Monopoly </w:t>
      </w:r>
      <w:r w:rsidR="00842CA3">
        <w:rPr>
          <w:rFonts w:asciiTheme="minorHAnsi" w:hAnsiTheme="minorHAnsi" w:cstheme="minorHAnsi"/>
          <w:sz w:val="22"/>
          <w:szCs w:val="22"/>
        </w:rPr>
        <w:t xml:space="preserve">Services under the Government of Tajikistan </w:t>
      </w:r>
      <w:r>
        <w:rPr>
          <w:rFonts w:asciiTheme="minorHAnsi" w:hAnsiTheme="minorHAnsi" w:cstheme="minorHAnsi"/>
          <w:sz w:val="22"/>
          <w:szCs w:val="22"/>
        </w:rPr>
        <w:t>(AM</w:t>
      </w:r>
      <w:r w:rsidR="00842CA3">
        <w:rPr>
          <w:rFonts w:asciiTheme="minorHAnsi" w:hAnsiTheme="minorHAnsi" w:cstheme="minorHAnsi"/>
          <w:sz w:val="22"/>
          <w:szCs w:val="22"/>
        </w:rPr>
        <w:t>S</w:t>
      </w:r>
      <w:r>
        <w:rPr>
          <w:rFonts w:asciiTheme="minorHAnsi" w:hAnsiTheme="minorHAnsi" w:cstheme="minorHAnsi"/>
          <w:sz w:val="22"/>
          <w:szCs w:val="22"/>
        </w:rPr>
        <w:t>) was delayed due to the specialized nature of the experts required and the difficulty of securing qualified candidates. It is now underway and expected to be completed by September 30, 2022.</w:t>
      </w:r>
    </w:p>
    <w:p w14:paraId="7AE66DC3" w14:textId="77777777" w:rsidR="00D83C16" w:rsidRDefault="000D6192" w:rsidP="00D83C16">
      <w:pPr>
        <w:pStyle w:val="ListParagraph"/>
        <w:widowControl/>
        <w:numPr>
          <w:ilvl w:val="1"/>
          <w:numId w:val="3"/>
        </w:numPr>
        <w:shd w:val="clear" w:color="auto" w:fill="FFFFFF"/>
        <w:tabs>
          <w:tab w:val="left" w:pos="360"/>
        </w:tabs>
        <w:autoSpaceDE/>
        <w:autoSpaceDN/>
        <w:adjustRightInd/>
        <w:spacing w:after="120"/>
        <w:ind w:left="360"/>
        <w:contextualSpacing w:val="0"/>
        <w:jc w:val="both"/>
        <w:rPr>
          <w:rFonts w:asciiTheme="minorHAnsi" w:hAnsiTheme="minorHAnsi" w:cstheme="minorHAnsi"/>
          <w:sz w:val="22"/>
          <w:szCs w:val="22"/>
        </w:rPr>
      </w:pPr>
      <w:r w:rsidRPr="00D83C16">
        <w:rPr>
          <w:rFonts w:asciiTheme="minorHAnsi" w:hAnsiTheme="minorHAnsi" w:cstheme="minorHAnsi"/>
          <w:b/>
          <w:bCs/>
          <w:sz w:val="22"/>
          <w:szCs w:val="22"/>
        </w:rPr>
        <w:t>Financial management</w:t>
      </w:r>
      <w:r w:rsidRPr="00D83C16">
        <w:rPr>
          <w:rFonts w:asciiTheme="minorHAnsi" w:hAnsiTheme="minorHAnsi" w:cstheme="minorHAnsi"/>
          <w:sz w:val="22"/>
          <w:szCs w:val="22"/>
        </w:rPr>
        <w:t xml:space="preserve">: Elements of good-practice corporate governance were introduced; the Government is in the final stages of completing the revision of all pending Subsidiary Agreements between MOF and BT; and the internal audit function at BT, SIB, and STB has improved with the need </w:t>
      </w:r>
      <w:r w:rsidRPr="00D83C16">
        <w:rPr>
          <w:rFonts w:asciiTheme="minorHAnsi" w:hAnsiTheme="minorHAnsi" w:cstheme="minorHAnsi"/>
          <w:sz w:val="22"/>
          <w:szCs w:val="22"/>
        </w:rPr>
        <w:lastRenderedPageBreak/>
        <w:t>to strengthen it further; and financial management staff at the companies underwent a series of training which continue throughout the implementation of the Program.</w:t>
      </w:r>
    </w:p>
    <w:p w14:paraId="381936CB" w14:textId="77777777" w:rsidR="00D83C16" w:rsidRDefault="000D6192" w:rsidP="00D83C16">
      <w:pPr>
        <w:pStyle w:val="ListParagraph"/>
        <w:widowControl/>
        <w:numPr>
          <w:ilvl w:val="1"/>
          <w:numId w:val="3"/>
        </w:numPr>
        <w:shd w:val="clear" w:color="auto" w:fill="FFFFFF"/>
        <w:tabs>
          <w:tab w:val="left" w:pos="360"/>
        </w:tabs>
        <w:autoSpaceDE/>
        <w:autoSpaceDN/>
        <w:adjustRightInd/>
        <w:spacing w:after="120"/>
        <w:ind w:left="360"/>
        <w:contextualSpacing w:val="0"/>
        <w:jc w:val="both"/>
        <w:rPr>
          <w:rFonts w:asciiTheme="minorHAnsi" w:hAnsiTheme="minorHAnsi" w:cstheme="minorHAnsi"/>
          <w:sz w:val="22"/>
          <w:szCs w:val="22"/>
        </w:rPr>
      </w:pPr>
      <w:r w:rsidRPr="00D83C16">
        <w:rPr>
          <w:rFonts w:asciiTheme="minorHAnsi" w:hAnsiTheme="minorHAnsi" w:cstheme="minorHAnsi"/>
          <w:b/>
          <w:bCs/>
          <w:sz w:val="22"/>
          <w:szCs w:val="22"/>
        </w:rPr>
        <w:t>Environmental</w:t>
      </w:r>
      <w:r w:rsidRPr="00D83C16">
        <w:rPr>
          <w:rFonts w:asciiTheme="minorHAnsi" w:hAnsiTheme="minorHAnsi" w:cstheme="minorHAnsi"/>
          <w:sz w:val="22"/>
          <w:szCs w:val="22"/>
        </w:rPr>
        <w:t>: BT, SIB, and STB adopted corporate-level environmental policies; the key personnel underwent training on evaluation of environmental and social aspects of rehabilitation and new investment projects; BT hired in-house environmental experts; the hiring of in-house experts at SIB and STB is underway; and by the end of 2022, all three companies will complete the first evaluation on environmental and social compliance of the Program activities with applicable legislation.</w:t>
      </w:r>
    </w:p>
    <w:p w14:paraId="5D2470BA" w14:textId="00173DDF" w:rsidR="00CF07BA" w:rsidRPr="00D83C16" w:rsidRDefault="000D6192" w:rsidP="00D83C16">
      <w:pPr>
        <w:pStyle w:val="ListParagraph"/>
        <w:widowControl/>
        <w:numPr>
          <w:ilvl w:val="1"/>
          <w:numId w:val="3"/>
        </w:numPr>
        <w:shd w:val="clear" w:color="auto" w:fill="FFFFFF"/>
        <w:tabs>
          <w:tab w:val="left" w:pos="360"/>
        </w:tabs>
        <w:autoSpaceDE/>
        <w:autoSpaceDN/>
        <w:adjustRightInd/>
        <w:spacing w:after="120"/>
        <w:ind w:left="360"/>
        <w:contextualSpacing w:val="0"/>
        <w:jc w:val="both"/>
        <w:rPr>
          <w:rFonts w:asciiTheme="minorHAnsi" w:hAnsiTheme="minorHAnsi" w:cstheme="minorHAnsi"/>
          <w:sz w:val="22"/>
          <w:szCs w:val="22"/>
        </w:rPr>
      </w:pPr>
      <w:r w:rsidRPr="00D83C16">
        <w:rPr>
          <w:rFonts w:asciiTheme="minorHAnsi" w:hAnsiTheme="minorHAnsi" w:cstheme="minorHAnsi"/>
          <w:b/>
          <w:bCs/>
          <w:sz w:val="22"/>
          <w:szCs w:val="22"/>
        </w:rPr>
        <w:t>Social</w:t>
      </w:r>
      <w:r w:rsidRPr="00D83C16">
        <w:rPr>
          <w:rFonts w:asciiTheme="minorHAnsi" w:hAnsiTheme="minorHAnsi" w:cstheme="minorHAnsi"/>
          <w:sz w:val="22"/>
          <w:szCs w:val="22"/>
        </w:rPr>
        <w:t xml:space="preserve">: The Government did not increase tariffs in 2019-2020 due to COVID-19 impacts. Moreover, the Government </w:t>
      </w:r>
      <w:r w:rsidR="00272427">
        <w:rPr>
          <w:rFonts w:asciiTheme="minorHAnsi" w:hAnsiTheme="minorHAnsi" w:cstheme="minorHAnsi"/>
          <w:sz w:val="22"/>
          <w:szCs w:val="22"/>
        </w:rPr>
        <w:t>is in the process of finalizing</w:t>
      </w:r>
      <w:r w:rsidRPr="00D83C16">
        <w:rPr>
          <w:rFonts w:asciiTheme="minorHAnsi" w:hAnsiTheme="minorHAnsi" w:cstheme="minorHAnsi"/>
          <w:sz w:val="22"/>
          <w:szCs w:val="22"/>
        </w:rPr>
        <w:t xml:space="preserve"> the Electricity Tariff Paper which should provide a trajectory of tariff adjustments that would be required to ensure the elimination of the cash deficit in the electricity sector. As a result, the </w:t>
      </w:r>
      <w:r w:rsidRPr="00D83C16">
        <w:rPr>
          <w:rFonts w:asciiTheme="minorHAnsi" w:hAnsiTheme="minorHAnsi" w:cstheme="minorHAnsi"/>
          <w:bCs/>
          <w:color w:val="auto"/>
          <w:sz w:val="22"/>
          <w:szCs w:val="22"/>
        </w:rPr>
        <w:t>Ministry of Health and Social Protection did not carry out an analysis of the impact of tariff increases on consumers. This will be done by end 2022 when the Electricity Tariff Paper is ready. Mitigation of tariff increases on the vulnerable will be carried out through the Targeted Social Assistance program, but this will not be adequate given the limited funding of this program due to the fiscal situation. The Government is therefore finalizing the analysis of the possibility of introducing a block tariff structure whereby consumers with lower volumes, who are typically also socially and economically vulnerable, would benefit from lower tariffs</w:t>
      </w:r>
      <w:r w:rsidR="00D83C16">
        <w:rPr>
          <w:rFonts w:asciiTheme="minorHAnsi" w:hAnsiTheme="minorHAnsi" w:cstheme="minorHAnsi"/>
          <w:bCs/>
          <w:color w:val="auto"/>
          <w:sz w:val="22"/>
          <w:szCs w:val="22"/>
        </w:rPr>
        <w:t>.</w:t>
      </w:r>
    </w:p>
    <w:p w14:paraId="144343ED" w14:textId="264BDF96" w:rsidR="00EC64C0" w:rsidRPr="005D4458" w:rsidRDefault="00EC64C0" w:rsidP="00CB0465">
      <w:pPr>
        <w:pStyle w:val="ListParagraph"/>
        <w:widowControl/>
        <w:numPr>
          <w:ilvl w:val="0"/>
          <w:numId w:val="28"/>
        </w:numPr>
        <w:tabs>
          <w:tab w:val="left" w:pos="0"/>
        </w:tabs>
        <w:autoSpaceDE/>
        <w:autoSpaceDN/>
        <w:adjustRightInd/>
        <w:spacing w:after="120"/>
        <w:contextualSpacing w:val="0"/>
        <w:jc w:val="both"/>
        <w:rPr>
          <w:rFonts w:asciiTheme="minorHAnsi" w:hAnsiTheme="minorHAnsi" w:cstheme="minorHAnsi"/>
          <w:b/>
          <w:bCs/>
          <w:sz w:val="22"/>
          <w:szCs w:val="22"/>
        </w:rPr>
      </w:pPr>
      <w:r>
        <w:rPr>
          <w:rFonts w:asciiTheme="minorHAnsi" w:hAnsiTheme="minorHAnsi" w:cstheme="minorHAnsi"/>
          <w:b/>
          <w:bCs/>
          <w:sz w:val="22"/>
          <w:szCs w:val="22"/>
        </w:rPr>
        <w:t>I</w:t>
      </w:r>
      <w:r w:rsidRPr="005D4458">
        <w:rPr>
          <w:rFonts w:asciiTheme="minorHAnsi" w:hAnsiTheme="minorHAnsi" w:cstheme="minorHAnsi"/>
          <w:b/>
          <w:bCs/>
          <w:sz w:val="22"/>
          <w:szCs w:val="22"/>
        </w:rPr>
        <w:t xml:space="preserve">mportant Achievements under the Government </w:t>
      </w:r>
      <w:r>
        <w:rPr>
          <w:rFonts w:asciiTheme="minorHAnsi" w:hAnsiTheme="minorHAnsi" w:cstheme="minorHAnsi"/>
          <w:b/>
          <w:bCs/>
          <w:sz w:val="22"/>
          <w:szCs w:val="22"/>
        </w:rPr>
        <w:t>P</w:t>
      </w:r>
      <w:r w:rsidRPr="005D4458">
        <w:rPr>
          <w:rFonts w:asciiTheme="minorHAnsi" w:hAnsiTheme="minorHAnsi" w:cstheme="minorHAnsi"/>
          <w:b/>
          <w:bCs/>
          <w:sz w:val="22"/>
          <w:szCs w:val="22"/>
        </w:rPr>
        <w:t xml:space="preserve">rogram </w:t>
      </w:r>
    </w:p>
    <w:p w14:paraId="7CCA4D30" w14:textId="77777777" w:rsidR="00D37FF3" w:rsidRDefault="00D37FF3" w:rsidP="00D37FF3">
      <w:pPr>
        <w:pStyle w:val="ListParagraph"/>
        <w:widowControl/>
        <w:numPr>
          <w:ilvl w:val="0"/>
          <w:numId w:val="3"/>
        </w:numPr>
        <w:shd w:val="clear" w:color="auto" w:fill="FFFFFF"/>
        <w:tabs>
          <w:tab w:val="left" w:pos="0"/>
        </w:tabs>
        <w:autoSpaceDE/>
        <w:autoSpaceDN/>
        <w:adjustRightInd/>
        <w:spacing w:after="120"/>
        <w:ind w:left="-360" w:firstLine="0"/>
        <w:contextualSpacing w:val="0"/>
        <w:jc w:val="both"/>
        <w:rPr>
          <w:rFonts w:asciiTheme="minorHAnsi" w:hAnsiTheme="minorHAnsi" w:cstheme="minorHAnsi"/>
          <w:sz w:val="22"/>
          <w:szCs w:val="22"/>
        </w:rPr>
      </w:pPr>
      <w:r>
        <w:rPr>
          <w:rFonts w:asciiTheme="minorHAnsi" w:hAnsiTheme="minorHAnsi" w:cstheme="minorHAnsi"/>
          <w:sz w:val="22"/>
          <w:szCs w:val="22"/>
        </w:rPr>
        <w:t>There are some other noteworthy achievements under the Government program that are critical for long-term viability of the electricity sector. These include the following:</w:t>
      </w:r>
    </w:p>
    <w:p w14:paraId="55F5F54B" w14:textId="299A3D6A" w:rsidR="00D37FF3" w:rsidRDefault="00D37FF3" w:rsidP="00D37FF3">
      <w:pPr>
        <w:pStyle w:val="ListParagraph"/>
        <w:widowControl/>
        <w:numPr>
          <w:ilvl w:val="1"/>
          <w:numId w:val="3"/>
        </w:numPr>
        <w:shd w:val="clear" w:color="auto" w:fill="FFFFFF"/>
        <w:tabs>
          <w:tab w:val="left" w:pos="360"/>
        </w:tabs>
        <w:autoSpaceDE/>
        <w:autoSpaceDN/>
        <w:adjustRightInd/>
        <w:spacing w:after="120"/>
        <w:ind w:left="360"/>
        <w:contextualSpacing w:val="0"/>
        <w:jc w:val="both"/>
        <w:rPr>
          <w:rFonts w:asciiTheme="minorHAnsi" w:hAnsiTheme="minorHAnsi" w:cstheme="minorHAnsi"/>
          <w:sz w:val="22"/>
          <w:szCs w:val="22"/>
        </w:rPr>
      </w:pPr>
      <w:r w:rsidRPr="005A438E">
        <w:rPr>
          <w:rFonts w:asciiTheme="minorHAnsi" w:hAnsiTheme="minorHAnsi" w:cstheme="minorHAnsi"/>
          <w:b/>
          <w:bCs/>
          <w:i/>
          <w:iCs/>
          <w:sz w:val="22"/>
          <w:szCs w:val="22"/>
        </w:rPr>
        <w:t>Increased efficiency of inventory management</w:t>
      </w:r>
      <w:r>
        <w:rPr>
          <w:rFonts w:asciiTheme="minorHAnsi" w:hAnsiTheme="minorHAnsi" w:cstheme="minorHAnsi"/>
          <w:sz w:val="22"/>
          <w:szCs w:val="22"/>
        </w:rPr>
        <w:t>. This has enabled the optimization of annual expenditures on purchases of materials, thus avoiding excess cash tied up in illiquid assets. This was achieved through improvement of the planning process for rehabilitation and maintenance of assets.</w:t>
      </w:r>
    </w:p>
    <w:p w14:paraId="7EF8F503" w14:textId="08629227" w:rsidR="00D37FF3" w:rsidRPr="00023833" w:rsidRDefault="00D37FF3" w:rsidP="00D37FF3">
      <w:pPr>
        <w:pStyle w:val="ListParagraph"/>
        <w:widowControl/>
        <w:numPr>
          <w:ilvl w:val="1"/>
          <w:numId w:val="3"/>
        </w:numPr>
        <w:shd w:val="clear" w:color="auto" w:fill="FFFFFF"/>
        <w:tabs>
          <w:tab w:val="left" w:pos="360"/>
        </w:tabs>
        <w:autoSpaceDE/>
        <w:autoSpaceDN/>
        <w:adjustRightInd/>
        <w:spacing w:after="120"/>
        <w:ind w:left="360"/>
        <w:contextualSpacing w:val="0"/>
        <w:jc w:val="both"/>
        <w:rPr>
          <w:rFonts w:asciiTheme="minorHAnsi" w:hAnsiTheme="minorHAnsi" w:cstheme="minorHAnsi"/>
          <w:sz w:val="22"/>
          <w:szCs w:val="22"/>
        </w:rPr>
      </w:pPr>
      <w:r w:rsidRPr="00D37FF3">
        <w:rPr>
          <w:rFonts w:asciiTheme="minorHAnsi" w:hAnsiTheme="minorHAnsi" w:cstheme="minorHAnsi"/>
          <w:b/>
          <w:bCs/>
          <w:i/>
          <w:iCs/>
          <w:sz w:val="22"/>
          <w:szCs w:val="22"/>
        </w:rPr>
        <w:t>Completion of preparatory work for scale-up of advanced metering infrastructure (AMI)</w:t>
      </w:r>
      <w:r w:rsidRPr="00D37FF3">
        <w:rPr>
          <w:rFonts w:asciiTheme="minorHAnsi" w:hAnsiTheme="minorHAnsi" w:cstheme="minorHAnsi"/>
          <w:sz w:val="22"/>
          <w:szCs w:val="22"/>
        </w:rPr>
        <w:t>. This infrastructure is critical for further increases in domestic billing and collection rates. The preparatory works for design and tendering of the AMI system have been completed</w:t>
      </w:r>
      <w:r w:rsidRPr="00023833">
        <w:rPr>
          <w:rFonts w:asciiTheme="minorHAnsi" w:hAnsiTheme="minorHAnsi" w:cstheme="minorHAnsi"/>
          <w:sz w:val="22"/>
          <w:szCs w:val="22"/>
        </w:rPr>
        <w:t>. The installation of billing system and meters for eight large cities, accounting for about 5</w:t>
      </w:r>
      <w:r w:rsidR="00023833">
        <w:rPr>
          <w:rFonts w:asciiTheme="minorHAnsi" w:hAnsiTheme="minorHAnsi" w:cstheme="minorHAnsi"/>
          <w:sz w:val="22"/>
          <w:szCs w:val="22"/>
        </w:rPr>
        <w:t>0</w:t>
      </w:r>
      <w:r w:rsidRPr="00023833">
        <w:rPr>
          <w:rFonts w:asciiTheme="minorHAnsi" w:hAnsiTheme="minorHAnsi" w:cstheme="minorHAnsi"/>
          <w:sz w:val="22"/>
          <w:szCs w:val="22"/>
        </w:rPr>
        <w:t xml:space="preserve"> percent of total electricity consumption in the country, is expected to be completed by July 2025 with </w:t>
      </w:r>
      <w:r w:rsidR="00023833">
        <w:rPr>
          <w:rFonts w:asciiTheme="minorHAnsi" w:hAnsiTheme="minorHAnsi" w:cstheme="minorHAnsi"/>
          <w:sz w:val="22"/>
          <w:szCs w:val="22"/>
        </w:rPr>
        <w:t xml:space="preserve">about </w:t>
      </w:r>
      <w:r w:rsidRPr="00023833">
        <w:rPr>
          <w:rFonts w:asciiTheme="minorHAnsi" w:hAnsiTheme="minorHAnsi" w:cstheme="minorHAnsi"/>
          <w:sz w:val="22"/>
          <w:szCs w:val="22"/>
        </w:rPr>
        <w:t>US$100 million support from ADB, the European Investment Bank (EIB), and the European Bank for Reconstruction and Development (EBRD).</w:t>
      </w:r>
    </w:p>
    <w:p w14:paraId="096A01CD" w14:textId="77777777" w:rsidR="00D37FF3" w:rsidRDefault="00D37FF3" w:rsidP="00D37FF3">
      <w:pPr>
        <w:pStyle w:val="ListParagraph"/>
        <w:widowControl/>
        <w:numPr>
          <w:ilvl w:val="1"/>
          <w:numId w:val="3"/>
        </w:numPr>
        <w:shd w:val="clear" w:color="auto" w:fill="FFFFFF"/>
        <w:tabs>
          <w:tab w:val="left" w:pos="360"/>
        </w:tabs>
        <w:autoSpaceDE/>
        <w:autoSpaceDN/>
        <w:adjustRightInd/>
        <w:spacing w:after="120"/>
        <w:ind w:left="360"/>
        <w:contextualSpacing w:val="0"/>
        <w:jc w:val="both"/>
        <w:rPr>
          <w:rFonts w:asciiTheme="minorHAnsi" w:hAnsiTheme="minorHAnsi" w:cstheme="minorHAnsi"/>
          <w:sz w:val="22"/>
          <w:szCs w:val="22"/>
        </w:rPr>
      </w:pPr>
      <w:r w:rsidRPr="00D37FF3">
        <w:rPr>
          <w:rFonts w:asciiTheme="minorHAnsi" w:hAnsiTheme="minorHAnsi" w:cstheme="minorHAnsi"/>
          <w:b/>
          <w:bCs/>
          <w:i/>
          <w:iCs/>
          <w:sz w:val="22"/>
          <w:szCs w:val="22"/>
        </w:rPr>
        <w:t>Improvement of electricity loss accounting</w:t>
      </w:r>
      <w:r w:rsidRPr="00D37FF3">
        <w:rPr>
          <w:rFonts w:asciiTheme="minorHAnsi" w:hAnsiTheme="minorHAnsi" w:cstheme="minorHAnsi"/>
          <w:sz w:val="22"/>
          <w:szCs w:val="22"/>
        </w:rPr>
        <w:t xml:space="preserve">. Prior to restructuring, the electricity losses above the allowed level of around 16 percent were typically registered as billed and unrecovered sales. This was leading to major issues with validation and verification of the revenues of the companies with implications for the financial statements. This practice has been discontinued and STB is currently recording and reporting the total losses on actual estimated basis. </w:t>
      </w:r>
    </w:p>
    <w:p w14:paraId="49F02589" w14:textId="77777777" w:rsidR="00D37FF3" w:rsidRPr="00D37FF3" w:rsidRDefault="00D37FF3" w:rsidP="00D37FF3">
      <w:pPr>
        <w:pStyle w:val="ListParagraph"/>
        <w:widowControl/>
        <w:numPr>
          <w:ilvl w:val="1"/>
          <w:numId w:val="3"/>
        </w:numPr>
        <w:shd w:val="clear" w:color="auto" w:fill="FFFFFF"/>
        <w:tabs>
          <w:tab w:val="left" w:pos="360"/>
        </w:tabs>
        <w:autoSpaceDE/>
        <w:autoSpaceDN/>
        <w:adjustRightInd/>
        <w:spacing w:after="120"/>
        <w:ind w:left="360"/>
        <w:contextualSpacing w:val="0"/>
        <w:jc w:val="both"/>
        <w:rPr>
          <w:rFonts w:asciiTheme="minorHAnsi" w:hAnsiTheme="minorHAnsi" w:cstheme="minorHAnsi"/>
          <w:sz w:val="22"/>
          <w:szCs w:val="22"/>
        </w:rPr>
      </w:pPr>
      <w:r w:rsidRPr="00D37FF3">
        <w:rPr>
          <w:rFonts w:asciiTheme="minorHAnsi" w:hAnsiTheme="minorHAnsi" w:cstheme="minorHAnsi"/>
          <w:b/>
          <w:bCs/>
          <w:i/>
          <w:iCs/>
          <w:sz w:val="22"/>
          <w:szCs w:val="22"/>
        </w:rPr>
        <w:t>Approval of the escrow account mechanism</w:t>
      </w:r>
      <w:r w:rsidRPr="00D37FF3">
        <w:rPr>
          <w:rFonts w:asciiTheme="minorHAnsi" w:hAnsiTheme="minorHAnsi" w:cstheme="minorHAnsi"/>
          <w:sz w:val="22"/>
          <w:szCs w:val="22"/>
        </w:rPr>
        <w:t xml:space="preserve">. The mechanism, approved in November 2021, requires all revenues from domestic electricity sales to be deposited in a specific account at the </w:t>
      </w:r>
      <w:proofErr w:type="spellStart"/>
      <w:r w:rsidRPr="00D37FF3">
        <w:rPr>
          <w:rFonts w:asciiTheme="minorHAnsi" w:hAnsiTheme="minorHAnsi" w:cstheme="minorHAnsi"/>
          <w:sz w:val="22"/>
          <w:szCs w:val="22"/>
        </w:rPr>
        <w:t>Amonatbank</w:t>
      </w:r>
      <w:proofErr w:type="spellEnd"/>
      <w:r w:rsidRPr="00D37FF3">
        <w:rPr>
          <w:rFonts w:asciiTheme="minorHAnsi" w:hAnsiTheme="minorHAnsi" w:cstheme="minorHAnsi"/>
          <w:sz w:val="22"/>
          <w:szCs w:val="22"/>
        </w:rPr>
        <w:t xml:space="preserve"> and the distribution of revenues to be done according to the share of each company in the total revenues of the sector as per approved tariffs for each company. The mechanism also specifies rules for distribution of revenues in case collection for billed electricity is lower than 100 percent. Accordingly, priority is given to payments of salaries, taxes, expensive liabilities such as payments for </w:t>
      </w:r>
      <w:r w:rsidRPr="00D37FF3">
        <w:rPr>
          <w:rFonts w:asciiTheme="minorHAnsi" w:hAnsiTheme="minorHAnsi" w:cstheme="minorHAnsi"/>
          <w:sz w:val="22"/>
          <w:szCs w:val="22"/>
        </w:rPr>
        <w:lastRenderedPageBreak/>
        <w:t>electricity to IPPs and repayment of debts. In March 2022, the Government also established a Supervisory Board that will manage the escrow account</w:t>
      </w:r>
      <w:r w:rsidRPr="00D37FF3">
        <w:rPr>
          <w:rFonts w:asciiTheme="minorHAnsi" w:hAnsiTheme="minorHAnsi" w:cstheme="minorHAnsi"/>
          <w:b/>
          <w:bCs/>
          <w:i/>
          <w:iCs/>
          <w:sz w:val="22"/>
          <w:szCs w:val="22"/>
        </w:rPr>
        <w:t>.</w:t>
      </w:r>
    </w:p>
    <w:p w14:paraId="591C06F6" w14:textId="614CA1B4" w:rsidR="00D83C16" w:rsidRDefault="00D37FF3" w:rsidP="00D37FF3">
      <w:pPr>
        <w:pStyle w:val="ListParagraph"/>
        <w:widowControl/>
        <w:numPr>
          <w:ilvl w:val="1"/>
          <w:numId w:val="3"/>
        </w:numPr>
        <w:shd w:val="clear" w:color="auto" w:fill="FFFFFF"/>
        <w:tabs>
          <w:tab w:val="left" w:pos="360"/>
        </w:tabs>
        <w:autoSpaceDE/>
        <w:autoSpaceDN/>
        <w:adjustRightInd/>
        <w:spacing w:after="120"/>
        <w:ind w:left="360"/>
        <w:contextualSpacing w:val="0"/>
        <w:jc w:val="both"/>
        <w:rPr>
          <w:rFonts w:asciiTheme="minorHAnsi" w:hAnsiTheme="minorHAnsi" w:cstheme="minorHAnsi"/>
          <w:sz w:val="22"/>
          <w:szCs w:val="22"/>
        </w:rPr>
      </w:pPr>
      <w:r w:rsidRPr="00D37FF3">
        <w:rPr>
          <w:rFonts w:asciiTheme="minorHAnsi" w:hAnsiTheme="minorHAnsi" w:cstheme="minorHAnsi"/>
          <w:b/>
          <w:bCs/>
          <w:i/>
          <w:iCs/>
          <w:sz w:val="22"/>
          <w:szCs w:val="22"/>
        </w:rPr>
        <w:t>Engagement of the management contractor for STB</w:t>
      </w:r>
      <w:r w:rsidRPr="00D37FF3">
        <w:rPr>
          <w:rFonts w:asciiTheme="minorHAnsi" w:hAnsiTheme="minorHAnsi" w:cstheme="minorHAnsi"/>
          <w:sz w:val="22"/>
          <w:szCs w:val="22"/>
        </w:rPr>
        <w:t>. The Government is in final stages of negotiations with the management contractor with the contract expected to be signed by August 2022. The 5-year management contract was initiated with the objective of improving the operational and financial efficiency of the distribution company’s operations</w:t>
      </w:r>
    </w:p>
    <w:p w14:paraId="4E931BE4" w14:textId="55EBC8F5" w:rsidR="00E2002A" w:rsidRPr="00E2002A" w:rsidRDefault="00E2002A" w:rsidP="00CB0465">
      <w:pPr>
        <w:pStyle w:val="ListParagraph"/>
        <w:widowControl/>
        <w:numPr>
          <w:ilvl w:val="0"/>
          <w:numId w:val="28"/>
        </w:numPr>
        <w:tabs>
          <w:tab w:val="left" w:pos="0"/>
        </w:tabs>
        <w:autoSpaceDE/>
        <w:autoSpaceDN/>
        <w:adjustRightInd/>
        <w:spacing w:after="120"/>
        <w:contextualSpacing w:val="0"/>
        <w:jc w:val="both"/>
        <w:rPr>
          <w:rFonts w:asciiTheme="minorHAnsi" w:hAnsiTheme="minorHAnsi" w:cstheme="minorHAnsi"/>
          <w:b/>
          <w:bCs/>
          <w:sz w:val="22"/>
          <w:szCs w:val="22"/>
        </w:rPr>
      </w:pPr>
      <w:r w:rsidRPr="00E2002A">
        <w:rPr>
          <w:rFonts w:asciiTheme="minorHAnsi" w:hAnsiTheme="minorHAnsi" w:cstheme="minorHAnsi"/>
          <w:b/>
          <w:bCs/>
          <w:sz w:val="22"/>
          <w:szCs w:val="22"/>
        </w:rPr>
        <w:t>Rationale for the Proposed AF</w:t>
      </w:r>
    </w:p>
    <w:p w14:paraId="23B7027E" w14:textId="77777777" w:rsidR="00E2002A" w:rsidRPr="00A400F9" w:rsidRDefault="00E2002A" w:rsidP="00E2002A">
      <w:pPr>
        <w:pStyle w:val="ListParagraph"/>
        <w:widowControl/>
        <w:numPr>
          <w:ilvl w:val="0"/>
          <w:numId w:val="3"/>
        </w:numPr>
        <w:tabs>
          <w:tab w:val="left" w:pos="0"/>
        </w:tabs>
        <w:autoSpaceDE/>
        <w:autoSpaceDN/>
        <w:adjustRightInd/>
        <w:spacing w:before="120" w:after="120"/>
        <w:ind w:left="-360" w:firstLine="0"/>
        <w:contextualSpacing w:val="0"/>
        <w:jc w:val="both"/>
        <w:rPr>
          <w:rFonts w:asciiTheme="minorHAnsi" w:hAnsiTheme="minorHAnsi" w:cstheme="minorHAnsi"/>
          <w:b/>
          <w:bCs/>
          <w:color w:val="172D5F"/>
          <w:sz w:val="22"/>
          <w:szCs w:val="22"/>
        </w:rPr>
      </w:pPr>
      <w:r>
        <w:rPr>
          <w:rFonts w:asciiTheme="minorHAnsi" w:hAnsiTheme="minorHAnsi" w:cstheme="minorHAnsi"/>
          <w:b/>
          <w:bCs/>
          <w:sz w:val="22"/>
          <w:szCs w:val="22"/>
        </w:rPr>
        <w:t>External shocks have impacted the implementation of the Program and the financial standing of electricity sector</w:t>
      </w:r>
      <w:r w:rsidRPr="00BF136D">
        <w:rPr>
          <w:rFonts w:asciiTheme="minorHAnsi" w:hAnsiTheme="minorHAnsi" w:cstheme="minorHAnsi"/>
          <w:b/>
          <w:bCs/>
          <w:sz w:val="22"/>
          <w:szCs w:val="22"/>
        </w:rPr>
        <w:t>.</w:t>
      </w:r>
      <w:r>
        <w:rPr>
          <w:rFonts w:asciiTheme="minorHAnsi" w:hAnsiTheme="minorHAnsi" w:cstheme="minorHAnsi"/>
          <w:b/>
          <w:bCs/>
          <w:sz w:val="22"/>
          <w:szCs w:val="22"/>
        </w:rPr>
        <w:t xml:space="preserve"> </w:t>
      </w:r>
      <w:r w:rsidRPr="00805CF3">
        <w:rPr>
          <w:rFonts w:asciiTheme="minorHAnsi" w:hAnsiTheme="minorHAnsi" w:cstheme="minorHAnsi"/>
          <w:sz w:val="22"/>
          <w:szCs w:val="22"/>
        </w:rPr>
        <w:t xml:space="preserve">Specifically, </w:t>
      </w:r>
      <w:r>
        <w:rPr>
          <w:rFonts w:asciiTheme="minorHAnsi" w:hAnsiTheme="minorHAnsi" w:cstheme="minorHAnsi"/>
          <w:sz w:val="22"/>
          <w:szCs w:val="22"/>
        </w:rPr>
        <w:t>BT’s financial standing has been negatively impacted by the following factors outside BT’s and the government’s control</w:t>
      </w:r>
      <w:r w:rsidRPr="00A400F9">
        <w:rPr>
          <w:rFonts w:asciiTheme="minorHAnsi" w:hAnsiTheme="minorHAnsi" w:cstheme="minorHAnsi"/>
          <w:color w:val="auto"/>
          <w:sz w:val="22"/>
          <w:szCs w:val="22"/>
        </w:rPr>
        <w:t>: (a</w:t>
      </w:r>
      <w:r w:rsidRPr="00F26F1A">
        <w:rPr>
          <w:rFonts w:asciiTheme="minorHAnsi" w:hAnsiTheme="minorHAnsi" w:cstheme="minorHAnsi"/>
          <w:color w:val="auto"/>
          <w:sz w:val="22"/>
          <w:szCs w:val="22"/>
        </w:rPr>
        <w:t>) a larger</w:t>
      </w:r>
      <w:r w:rsidRPr="00A400F9">
        <w:rPr>
          <w:rFonts w:asciiTheme="minorHAnsi" w:hAnsiTheme="minorHAnsi" w:cstheme="minorHAnsi"/>
          <w:color w:val="auto"/>
          <w:sz w:val="22"/>
          <w:szCs w:val="22"/>
        </w:rPr>
        <w:t>-than-projected</w:t>
      </w:r>
      <w:r>
        <w:rPr>
          <w:rFonts w:asciiTheme="minorHAnsi" w:hAnsiTheme="minorHAnsi" w:cstheme="minorHAnsi"/>
          <w:b/>
          <w:bCs/>
          <w:color w:val="auto"/>
          <w:sz w:val="22"/>
          <w:szCs w:val="22"/>
        </w:rPr>
        <w:t xml:space="preserve"> </w:t>
      </w:r>
      <w:r>
        <w:rPr>
          <w:rFonts w:asciiTheme="minorHAnsi" w:hAnsiTheme="minorHAnsi" w:cstheme="minorHAnsi"/>
          <w:sz w:val="22"/>
          <w:szCs w:val="22"/>
        </w:rPr>
        <w:t>d</w:t>
      </w:r>
      <w:r w:rsidRPr="00A400F9">
        <w:rPr>
          <w:rFonts w:asciiTheme="minorHAnsi" w:hAnsiTheme="minorHAnsi" w:cstheme="minorHAnsi"/>
          <w:sz w:val="22"/>
          <w:szCs w:val="22"/>
        </w:rPr>
        <w:t xml:space="preserve">eprecation of Tajiki somoni (TJS) caused by </w:t>
      </w:r>
      <w:r>
        <w:rPr>
          <w:rFonts w:asciiTheme="minorHAnsi" w:hAnsiTheme="minorHAnsi" w:cstheme="minorHAnsi"/>
          <w:sz w:val="22"/>
          <w:szCs w:val="22"/>
        </w:rPr>
        <w:t xml:space="preserve">the </w:t>
      </w:r>
      <w:r w:rsidRPr="00A400F9">
        <w:rPr>
          <w:rFonts w:asciiTheme="minorHAnsi" w:hAnsiTheme="minorHAnsi" w:cstheme="minorHAnsi"/>
          <w:sz w:val="22"/>
          <w:szCs w:val="22"/>
        </w:rPr>
        <w:t>macroeconomic impact</w:t>
      </w:r>
      <w:r>
        <w:rPr>
          <w:rFonts w:asciiTheme="minorHAnsi" w:hAnsiTheme="minorHAnsi" w:cstheme="minorHAnsi"/>
          <w:sz w:val="22"/>
          <w:szCs w:val="22"/>
        </w:rPr>
        <w:t xml:space="preserve"> of </w:t>
      </w:r>
      <w:r w:rsidRPr="00A400F9">
        <w:rPr>
          <w:rFonts w:asciiTheme="minorHAnsi" w:hAnsiTheme="minorHAnsi" w:cstheme="minorHAnsi"/>
          <w:sz w:val="22"/>
          <w:szCs w:val="22"/>
        </w:rPr>
        <w:t>COVID-19 and the conflict in Ukraine</w:t>
      </w:r>
      <w:r>
        <w:rPr>
          <w:rFonts w:asciiTheme="minorHAnsi" w:hAnsiTheme="minorHAnsi" w:cstheme="minorHAnsi"/>
          <w:sz w:val="22"/>
          <w:szCs w:val="22"/>
        </w:rPr>
        <w:t>; (b) a s</w:t>
      </w:r>
      <w:r w:rsidRPr="00A400F9">
        <w:rPr>
          <w:rFonts w:asciiTheme="minorHAnsi" w:hAnsiTheme="minorHAnsi" w:cstheme="minorHAnsi"/>
          <w:sz w:val="22"/>
          <w:szCs w:val="22"/>
        </w:rPr>
        <w:t>hortfall in BT’s financing of the Program due to lower-than-expected revenues</w:t>
      </w:r>
      <w:r>
        <w:rPr>
          <w:rFonts w:asciiTheme="minorHAnsi" w:hAnsiTheme="minorHAnsi" w:cstheme="minorHAnsi"/>
          <w:sz w:val="22"/>
          <w:szCs w:val="22"/>
        </w:rPr>
        <w:t xml:space="preserve">; and (c) the projected shortfall in BT’s future financing of the Program due to the delay of the </w:t>
      </w:r>
      <w:r w:rsidRPr="00A400F9">
        <w:rPr>
          <w:rFonts w:asciiTheme="minorHAnsi" w:hAnsiTheme="minorHAnsi" w:cstheme="minorHAnsi"/>
          <w:sz w:val="22"/>
          <w:szCs w:val="22"/>
        </w:rPr>
        <w:t>Central Asia – South Asia Electricity Transmission and Trade Project (CASA-1000).</w:t>
      </w:r>
      <w:r>
        <w:rPr>
          <w:rFonts w:asciiTheme="minorHAnsi" w:hAnsiTheme="minorHAnsi" w:cstheme="minorHAnsi"/>
          <w:sz w:val="22"/>
          <w:szCs w:val="22"/>
        </w:rPr>
        <w:t xml:space="preserve"> </w:t>
      </w:r>
    </w:p>
    <w:p w14:paraId="6CB6B7D6" w14:textId="77777777" w:rsidR="00E2002A" w:rsidRPr="00E2002A" w:rsidRDefault="00E2002A" w:rsidP="00E2002A">
      <w:pPr>
        <w:pStyle w:val="ListParagraph"/>
        <w:widowControl/>
        <w:numPr>
          <w:ilvl w:val="1"/>
          <w:numId w:val="3"/>
        </w:numPr>
        <w:tabs>
          <w:tab w:val="left" w:pos="360"/>
        </w:tabs>
        <w:autoSpaceDE/>
        <w:autoSpaceDN/>
        <w:adjustRightInd/>
        <w:spacing w:after="120"/>
        <w:ind w:left="360"/>
        <w:contextualSpacing w:val="0"/>
        <w:jc w:val="both"/>
        <w:rPr>
          <w:rFonts w:asciiTheme="minorHAnsi" w:hAnsiTheme="minorHAnsi" w:cstheme="minorHAnsi"/>
          <w:b/>
          <w:bCs/>
          <w:color w:val="172D5F"/>
          <w:sz w:val="22"/>
          <w:szCs w:val="22"/>
        </w:rPr>
      </w:pPr>
      <w:r>
        <w:rPr>
          <w:rFonts w:asciiTheme="minorHAnsi" w:hAnsiTheme="minorHAnsi" w:cstheme="minorHAnsi"/>
          <w:b/>
          <w:bCs/>
          <w:sz w:val="22"/>
          <w:szCs w:val="22"/>
        </w:rPr>
        <w:t>Larger-than-projected</w:t>
      </w:r>
      <w:r w:rsidRPr="005223B9">
        <w:rPr>
          <w:rFonts w:asciiTheme="minorHAnsi" w:hAnsiTheme="minorHAnsi" w:cstheme="minorHAnsi"/>
          <w:b/>
          <w:bCs/>
          <w:sz w:val="22"/>
          <w:szCs w:val="22"/>
        </w:rPr>
        <w:t xml:space="preserve"> depreciation of TJS</w:t>
      </w:r>
      <w:r w:rsidRPr="005223B9">
        <w:rPr>
          <w:rFonts w:asciiTheme="minorHAnsi" w:hAnsiTheme="minorHAnsi" w:cstheme="minorHAnsi"/>
          <w:sz w:val="22"/>
          <w:szCs w:val="22"/>
        </w:rPr>
        <w:t xml:space="preserve">. </w:t>
      </w:r>
      <w:r>
        <w:rPr>
          <w:rFonts w:asciiTheme="minorHAnsi" w:hAnsiTheme="minorHAnsi" w:cstheme="minorHAnsi"/>
          <w:sz w:val="22"/>
          <w:szCs w:val="22"/>
        </w:rPr>
        <w:t xml:space="preserve">During the appraisal of the parent project in 2019, depreciation of the TJS was projected to be 12 percent between 2019 and 2021. Actual depreciation during this period was </w:t>
      </w:r>
      <w:r w:rsidRPr="005223B9">
        <w:rPr>
          <w:rFonts w:asciiTheme="minorHAnsi" w:hAnsiTheme="minorHAnsi" w:cstheme="minorHAnsi"/>
          <w:sz w:val="22"/>
          <w:szCs w:val="22"/>
        </w:rPr>
        <w:t>1</w:t>
      </w:r>
      <w:r>
        <w:rPr>
          <w:rFonts w:asciiTheme="minorHAnsi" w:hAnsiTheme="minorHAnsi" w:cstheme="minorHAnsi"/>
          <w:sz w:val="22"/>
          <w:szCs w:val="22"/>
        </w:rPr>
        <w:t>7.4</w:t>
      </w:r>
      <w:r w:rsidRPr="005223B9">
        <w:rPr>
          <w:rFonts w:asciiTheme="minorHAnsi" w:hAnsiTheme="minorHAnsi" w:cstheme="minorHAnsi"/>
          <w:sz w:val="22"/>
          <w:szCs w:val="22"/>
        </w:rPr>
        <w:t xml:space="preserve"> percent</w:t>
      </w:r>
      <w:r>
        <w:rPr>
          <w:rFonts w:asciiTheme="minorHAnsi" w:hAnsiTheme="minorHAnsi" w:cstheme="minorHAnsi"/>
          <w:sz w:val="22"/>
          <w:szCs w:val="22"/>
        </w:rPr>
        <w:t>.</w:t>
      </w:r>
      <w:r w:rsidRPr="005223B9">
        <w:rPr>
          <w:rFonts w:asciiTheme="minorHAnsi" w:hAnsiTheme="minorHAnsi" w:cstheme="minorHAnsi"/>
          <w:sz w:val="22"/>
          <w:szCs w:val="22"/>
        </w:rPr>
        <w:t xml:space="preserve"> </w:t>
      </w:r>
      <w:r>
        <w:rPr>
          <w:rFonts w:asciiTheme="minorHAnsi" w:hAnsiTheme="minorHAnsi" w:cstheme="minorHAnsi"/>
          <w:sz w:val="22"/>
          <w:szCs w:val="22"/>
        </w:rPr>
        <w:t>This</w:t>
      </w:r>
      <w:r w:rsidRPr="005223B9">
        <w:rPr>
          <w:rFonts w:asciiTheme="minorHAnsi" w:hAnsiTheme="minorHAnsi" w:cstheme="minorHAnsi"/>
          <w:sz w:val="22"/>
          <w:szCs w:val="22"/>
        </w:rPr>
        <w:t xml:space="preserve"> has increased the costs of electricity purchases from IPPs and the debt service costs of BT</w:t>
      </w:r>
      <w:r>
        <w:rPr>
          <w:rFonts w:asciiTheme="minorHAnsi" w:hAnsiTheme="minorHAnsi" w:cstheme="minorHAnsi"/>
          <w:sz w:val="22"/>
          <w:szCs w:val="22"/>
        </w:rPr>
        <w:t xml:space="preserve"> since i) t</w:t>
      </w:r>
      <w:r w:rsidRPr="005223B9">
        <w:rPr>
          <w:rFonts w:asciiTheme="minorHAnsi" w:hAnsiTheme="minorHAnsi" w:cstheme="minorHAnsi"/>
          <w:sz w:val="22"/>
          <w:szCs w:val="22"/>
        </w:rPr>
        <w:t>he tariffs in</w:t>
      </w:r>
      <w:r>
        <w:rPr>
          <w:rFonts w:asciiTheme="minorHAnsi" w:hAnsiTheme="minorHAnsi" w:cstheme="minorHAnsi"/>
          <w:sz w:val="22"/>
          <w:szCs w:val="22"/>
        </w:rPr>
        <w:t xml:space="preserve"> </w:t>
      </w:r>
      <w:r w:rsidRPr="005223B9">
        <w:rPr>
          <w:rFonts w:asciiTheme="minorHAnsi" w:hAnsiTheme="minorHAnsi" w:cstheme="minorHAnsi"/>
          <w:sz w:val="22"/>
          <w:szCs w:val="22"/>
        </w:rPr>
        <w:t>PPAs with Sangtuda-1 and Sangtuda-2</w:t>
      </w:r>
      <w:r>
        <w:rPr>
          <w:rFonts w:asciiTheme="minorHAnsi" w:hAnsiTheme="minorHAnsi" w:cstheme="minorHAnsi"/>
          <w:sz w:val="22"/>
          <w:szCs w:val="22"/>
        </w:rPr>
        <w:t xml:space="preserve"> IPPs</w:t>
      </w:r>
      <w:r w:rsidRPr="005223B9">
        <w:rPr>
          <w:rFonts w:asciiTheme="minorHAnsi" w:hAnsiTheme="minorHAnsi" w:cstheme="minorHAnsi"/>
          <w:sz w:val="22"/>
          <w:szCs w:val="22"/>
        </w:rPr>
        <w:t xml:space="preserve"> are denominated in US$</w:t>
      </w:r>
      <w:r>
        <w:rPr>
          <w:rFonts w:asciiTheme="minorHAnsi" w:hAnsiTheme="minorHAnsi" w:cstheme="minorHAnsi"/>
          <w:sz w:val="22"/>
          <w:szCs w:val="22"/>
        </w:rPr>
        <w:t>; and ii)</w:t>
      </w:r>
      <w:r w:rsidRPr="005223B9">
        <w:rPr>
          <w:rFonts w:asciiTheme="minorHAnsi" w:hAnsiTheme="minorHAnsi" w:cstheme="minorHAnsi"/>
          <w:sz w:val="22"/>
          <w:szCs w:val="22"/>
        </w:rPr>
        <w:t xml:space="preserve"> BT’s entire outstanding balance of short- and long-term debt</w:t>
      </w:r>
      <w:r>
        <w:rPr>
          <w:rFonts w:asciiTheme="minorHAnsi" w:hAnsiTheme="minorHAnsi" w:cstheme="minorHAnsi"/>
          <w:sz w:val="22"/>
          <w:szCs w:val="22"/>
        </w:rPr>
        <w:t xml:space="preserve"> (</w:t>
      </w:r>
      <w:r w:rsidRPr="005223B9">
        <w:rPr>
          <w:rFonts w:asciiTheme="minorHAnsi" w:hAnsiTheme="minorHAnsi" w:cstheme="minorHAnsi"/>
          <w:sz w:val="22"/>
          <w:szCs w:val="22"/>
        </w:rPr>
        <w:t>at TJS 13 billion equivalent as of end</w:t>
      </w:r>
      <w:r>
        <w:rPr>
          <w:rFonts w:asciiTheme="minorHAnsi" w:hAnsiTheme="minorHAnsi" w:cstheme="minorHAnsi"/>
          <w:sz w:val="22"/>
          <w:szCs w:val="22"/>
        </w:rPr>
        <w:t xml:space="preserve"> </w:t>
      </w:r>
      <w:r w:rsidRPr="005223B9">
        <w:rPr>
          <w:rFonts w:asciiTheme="minorHAnsi" w:hAnsiTheme="minorHAnsi" w:cstheme="minorHAnsi"/>
          <w:sz w:val="22"/>
          <w:szCs w:val="22"/>
        </w:rPr>
        <w:t xml:space="preserve">2020) is primarily denominated in US$. </w:t>
      </w:r>
    </w:p>
    <w:p w14:paraId="4E9DF078" w14:textId="06830DD7" w:rsidR="00E2002A" w:rsidRPr="00E2002A" w:rsidRDefault="00E2002A" w:rsidP="00E2002A">
      <w:pPr>
        <w:pStyle w:val="ListParagraph"/>
        <w:widowControl/>
        <w:numPr>
          <w:ilvl w:val="1"/>
          <w:numId w:val="3"/>
        </w:numPr>
        <w:tabs>
          <w:tab w:val="left" w:pos="360"/>
        </w:tabs>
        <w:autoSpaceDE/>
        <w:autoSpaceDN/>
        <w:adjustRightInd/>
        <w:spacing w:after="120"/>
        <w:ind w:left="360"/>
        <w:contextualSpacing w:val="0"/>
        <w:jc w:val="both"/>
        <w:rPr>
          <w:rFonts w:asciiTheme="minorHAnsi" w:hAnsiTheme="minorHAnsi" w:cstheme="minorHAnsi"/>
          <w:b/>
          <w:bCs/>
          <w:color w:val="172D5F"/>
          <w:sz w:val="22"/>
          <w:szCs w:val="22"/>
        </w:rPr>
      </w:pPr>
      <w:r w:rsidRPr="00E2002A">
        <w:rPr>
          <w:rFonts w:asciiTheme="minorHAnsi" w:hAnsiTheme="minorHAnsi" w:cstheme="minorHAnsi"/>
          <w:b/>
          <w:bCs/>
          <w:sz w:val="22"/>
          <w:szCs w:val="22"/>
        </w:rPr>
        <w:t>Shortfall in BT’s financing of the Program due to lower-than-expected revenues from domestic sales and under existing export contracts</w:t>
      </w:r>
      <w:r w:rsidRPr="00E2002A">
        <w:rPr>
          <w:rFonts w:asciiTheme="minorHAnsi" w:hAnsiTheme="minorHAnsi" w:cstheme="minorHAnsi"/>
          <w:sz w:val="22"/>
          <w:szCs w:val="22"/>
        </w:rPr>
        <w:t>.</w:t>
      </w:r>
      <w:r w:rsidRPr="00E2002A">
        <w:rPr>
          <w:rFonts w:asciiTheme="minorHAnsi" w:hAnsiTheme="minorHAnsi" w:cstheme="minorHAnsi"/>
          <w:b/>
          <w:bCs/>
          <w:sz w:val="22"/>
          <w:szCs w:val="22"/>
        </w:rPr>
        <w:t xml:space="preserve"> </w:t>
      </w:r>
      <w:r w:rsidRPr="00E2002A">
        <w:rPr>
          <w:rFonts w:asciiTheme="minorHAnsi" w:hAnsiTheme="minorHAnsi" w:cstheme="minorHAnsi"/>
          <w:sz w:val="22"/>
          <w:szCs w:val="22"/>
        </w:rPr>
        <w:t>In 2020-2021, the total revenues of BT fell short of projections by about TJS 1 billion (US$90 million equivalent)</w:t>
      </w:r>
      <w:r>
        <w:rPr>
          <w:rStyle w:val="FootnoteReference"/>
          <w:rFonts w:asciiTheme="minorHAnsi" w:hAnsiTheme="minorHAnsi" w:cstheme="minorHAnsi"/>
          <w:sz w:val="22"/>
          <w:szCs w:val="22"/>
        </w:rPr>
        <w:footnoteReference w:id="2"/>
      </w:r>
      <w:r w:rsidRPr="00E2002A">
        <w:rPr>
          <w:rFonts w:asciiTheme="minorHAnsi" w:hAnsiTheme="minorHAnsi" w:cstheme="minorHAnsi"/>
          <w:sz w:val="22"/>
          <w:szCs w:val="22"/>
        </w:rPr>
        <w:t xml:space="preserve"> due to the following:</w:t>
      </w:r>
    </w:p>
    <w:p w14:paraId="3C0ADC57" w14:textId="77777777" w:rsidR="005E08B2" w:rsidRDefault="00E2002A" w:rsidP="005E08B2">
      <w:pPr>
        <w:pStyle w:val="ListParagraph"/>
        <w:widowControl/>
        <w:numPr>
          <w:ilvl w:val="2"/>
          <w:numId w:val="3"/>
        </w:numPr>
        <w:tabs>
          <w:tab w:val="left" w:pos="810"/>
        </w:tabs>
        <w:autoSpaceDE/>
        <w:autoSpaceDN/>
        <w:adjustRightInd/>
        <w:spacing w:after="120"/>
        <w:ind w:left="810" w:hanging="270"/>
        <w:contextualSpacing w:val="0"/>
        <w:jc w:val="both"/>
        <w:rPr>
          <w:rFonts w:asciiTheme="minorHAnsi" w:hAnsiTheme="minorHAnsi" w:cstheme="minorHAnsi"/>
          <w:sz w:val="22"/>
          <w:szCs w:val="22"/>
        </w:rPr>
      </w:pPr>
      <w:r w:rsidRPr="00BA5771">
        <w:rPr>
          <w:rFonts w:asciiTheme="minorHAnsi" w:hAnsiTheme="minorHAnsi" w:cstheme="minorHAnsi"/>
          <w:sz w:val="22"/>
          <w:szCs w:val="22"/>
        </w:rPr>
        <w:t xml:space="preserve">Domestic tariffs were not increased in 2020-2021 due to COVID-19 impacts. </w:t>
      </w:r>
    </w:p>
    <w:p w14:paraId="70355C52" w14:textId="57A90646" w:rsidR="005E08B2" w:rsidRDefault="00E2002A" w:rsidP="005E08B2">
      <w:pPr>
        <w:pStyle w:val="ListParagraph"/>
        <w:widowControl/>
        <w:numPr>
          <w:ilvl w:val="2"/>
          <w:numId w:val="3"/>
        </w:numPr>
        <w:tabs>
          <w:tab w:val="left" w:pos="810"/>
        </w:tabs>
        <w:autoSpaceDE/>
        <w:autoSpaceDN/>
        <w:adjustRightInd/>
        <w:spacing w:after="120"/>
        <w:ind w:left="810" w:hanging="270"/>
        <w:contextualSpacing w:val="0"/>
        <w:jc w:val="both"/>
        <w:rPr>
          <w:rFonts w:asciiTheme="minorHAnsi" w:hAnsiTheme="minorHAnsi" w:cstheme="minorHAnsi"/>
          <w:sz w:val="22"/>
          <w:szCs w:val="22"/>
        </w:rPr>
      </w:pPr>
      <w:r w:rsidRPr="005E08B2">
        <w:rPr>
          <w:rFonts w:asciiTheme="minorHAnsi" w:hAnsiTheme="minorHAnsi" w:cstheme="minorHAnsi"/>
          <w:sz w:val="22"/>
          <w:szCs w:val="22"/>
        </w:rPr>
        <w:t xml:space="preserve">Payments from Afghanistan for electricity exports were delayed.  BT has been a major supplier of electricity to Afghanistan since 2015 with annual exports at about 1,200 GWh. After the political developments in Afghanistan, the collection of revenues for exports of electricity significantly reduced. From July 2021 to </w:t>
      </w:r>
      <w:r w:rsidR="00B3350D">
        <w:rPr>
          <w:rFonts w:asciiTheme="minorHAnsi" w:hAnsiTheme="minorHAnsi" w:cstheme="minorHAnsi"/>
          <w:sz w:val="22"/>
          <w:szCs w:val="22"/>
        </w:rPr>
        <w:t>end of December 2021</w:t>
      </w:r>
      <w:r w:rsidRPr="005E08B2">
        <w:rPr>
          <w:rFonts w:asciiTheme="minorHAnsi" w:hAnsiTheme="minorHAnsi" w:cstheme="minorHAnsi"/>
          <w:sz w:val="22"/>
          <w:szCs w:val="22"/>
        </w:rPr>
        <w:t xml:space="preserve">, </w:t>
      </w:r>
      <w:r w:rsidR="00B3350D">
        <w:rPr>
          <w:rFonts w:asciiTheme="minorHAnsi" w:hAnsiTheme="minorHAnsi" w:cstheme="minorHAnsi"/>
          <w:sz w:val="22"/>
          <w:szCs w:val="22"/>
        </w:rPr>
        <w:t xml:space="preserve">BT received only 30 percent of the total cost of electricity supplied to Afghanistan during the same </w:t>
      </w:r>
      <w:proofErr w:type="gramStart"/>
      <w:r w:rsidR="00B3350D">
        <w:rPr>
          <w:rFonts w:asciiTheme="minorHAnsi" w:hAnsiTheme="minorHAnsi" w:cstheme="minorHAnsi"/>
          <w:sz w:val="22"/>
          <w:szCs w:val="22"/>
        </w:rPr>
        <w:t>time period</w:t>
      </w:r>
      <w:proofErr w:type="gramEnd"/>
      <w:r w:rsidR="00CD12DE">
        <w:rPr>
          <w:rFonts w:asciiTheme="minorHAnsi" w:hAnsiTheme="minorHAnsi" w:cstheme="minorHAnsi"/>
          <w:sz w:val="22"/>
          <w:szCs w:val="22"/>
        </w:rPr>
        <w:t xml:space="preserve"> or about US$</w:t>
      </w:r>
      <w:r w:rsidR="0093749E">
        <w:rPr>
          <w:rFonts w:asciiTheme="minorHAnsi" w:hAnsiTheme="minorHAnsi" w:cstheme="minorHAnsi"/>
          <w:sz w:val="22"/>
          <w:szCs w:val="22"/>
        </w:rPr>
        <w:t>8</w:t>
      </w:r>
      <w:r w:rsidR="00CD12DE">
        <w:rPr>
          <w:rFonts w:asciiTheme="minorHAnsi" w:hAnsiTheme="minorHAnsi" w:cstheme="minorHAnsi"/>
          <w:sz w:val="22"/>
          <w:szCs w:val="22"/>
        </w:rPr>
        <w:t xml:space="preserve"> million equivalent</w:t>
      </w:r>
      <w:r w:rsidRPr="005E08B2">
        <w:rPr>
          <w:rFonts w:asciiTheme="minorHAnsi" w:hAnsiTheme="minorHAnsi" w:cstheme="minorHAnsi"/>
          <w:sz w:val="22"/>
          <w:szCs w:val="22"/>
        </w:rPr>
        <w:t xml:space="preserve">. </w:t>
      </w:r>
      <w:r w:rsidR="002E7AE0">
        <w:rPr>
          <w:rFonts w:asciiTheme="minorHAnsi" w:hAnsiTheme="minorHAnsi" w:cstheme="minorHAnsi"/>
          <w:sz w:val="22"/>
          <w:szCs w:val="22"/>
        </w:rPr>
        <w:t xml:space="preserve">As of end-December 2021, Afghanistan’s payables stood </w:t>
      </w:r>
      <w:r w:rsidR="002E7AE0" w:rsidRPr="00C72079">
        <w:rPr>
          <w:rFonts w:asciiTheme="minorHAnsi" w:hAnsiTheme="minorHAnsi" w:cstheme="minorHAnsi"/>
          <w:sz w:val="22"/>
          <w:szCs w:val="22"/>
        </w:rPr>
        <w:t>at US</w:t>
      </w:r>
      <w:r w:rsidR="00C72079" w:rsidRPr="00C72079">
        <w:rPr>
          <w:rFonts w:asciiTheme="minorHAnsi" w:hAnsiTheme="minorHAnsi" w:cstheme="minorHAnsi"/>
          <w:sz w:val="22"/>
          <w:szCs w:val="22"/>
        </w:rPr>
        <w:t>$36</w:t>
      </w:r>
      <w:r w:rsidR="002E7AE0" w:rsidRPr="00C72079">
        <w:rPr>
          <w:rFonts w:asciiTheme="minorHAnsi" w:hAnsiTheme="minorHAnsi" w:cstheme="minorHAnsi"/>
          <w:sz w:val="22"/>
          <w:szCs w:val="22"/>
        </w:rPr>
        <w:t xml:space="preserve"> million.</w:t>
      </w:r>
    </w:p>
    <w:p w14:paraId="47296DEE" w14:textId="00ED7840" w:rsidR="00E2002A" w:rsidRDefault="00E2002A" w:rsidP="005E08B2">
      <w:pPr>
        <w:pStyle w:val="ListParagraph"/>
        <w:widowControl/>
        <w:numPr>
          <w:ilvl w:val="2"/>
          <w:numId w:val="3"/>
        </w:numPr>
        <w:tabs>
          <w:tab w:val="left" w:pos="810"/>
        </w:tabs>
        <w:autoSpaceDE/>
        <w:autoSpaceDN/>
        <w:adjustRightInd/>
        <w:spacing w:after="120"/>
        <w:ind w:left="810" w:hanging="270"/>
        <w:contextualSpacing w:val="0"/>
        <w:jc w:val="both"/>
        <w:rPr>
          <w:rFonts w:asciiTheme="minorHAnsi" w:hAnsiTheme="minorHAnsi" w:cstheme="minorHAnsi"/>
          <w:sz w:val="22"/>
          <w:szCs w:val="22"/>
        </w:rPr>
      </w:pPr>
      <w:r w:rsidRPr="005E08B2">
        <w:rPr>
          <w:rFonts w:asciiTheme="minorHAnsi" w:hAnsiTheme="minorHAnsi" w:cstheme="minorHAnsi"/>
          <w:sz w:val="22"/>
          <w:szCs w:val="22"/>
        </w:rPr>
        <w:t xml:space="preserve">Electricity generation from the existing HPPs were lower than projected stemming from unfavorable hydrology, an event that historically has occurred once in 15 years. Exports in 2020 were lower by 45 percent as a result. </w:t>
      </w:r>
    </w:p>
    <w:p w14:paraId="06B4581F" w14:textId="77777777" w:rsidR="008D14BD" w:rsidRPr="008D14BD" w:rsidRDefault="008D14BD" w:rsidP="008D14BD">
      <w:pPr>
        <w:widowControl/>
        <w:tabs>
          <w:tab w:val="left" w:pos="720"/>
        </w:tabs>
        <w:autoSpaceDE/>
        <w:autoSpaceDN/>
        <w:adjustRightInd/>
        <w:spacing w:after="120"/>
        <w:ind w:left="360"/>
        <w:jc w:val="both"/>
        <w:rPr>
          <w:rFonts w:asciiTheme="minorHAnsi" w:hAnsiTheme="minorHAnsi" w:cstheme="minorHAnsi"/>
          <w:sz w:val="22"/>
          <w:szCs w:val="22"/>
        </w:rPr>
      </w:pPr>
      <w:r w:rsidRPr="008D14BD">
        <w:rPr>
          <w:rFonts w:asciiTheme="minorHAnsi" w:hAnsiTheme="minorHAnsi" w:cstheme="minorHAnsi"/>
          <w:sz w:val="22"/>
          <w:szCs w:val="22"/>
        </w:rPr>
        <w:t>As a result of the above factors, the revenue in 2020-2021 fell short of the projections at the time of the appraisal of the parent project by about TJS 1 billion or US$90 million.</w:t>
      </w:r>
      <w:r>
        <w:rPr>
          <w:rStyle w:val="FootnoteReference"/>
          <w:rFonts w:asciiTheme="minorHAnsi" w:hAnsiTheme="minorHAnsi" w:cstheme="minorHAnsi"/>
          <w:sz w:val="22"/>
          <w:szCs w:val="22"/>
        </w:rPr>
        <w:footnoteReference w:id="3"/>
      </w:r>
      <w:r w:rsidRPr="008D14BD">
        <w:rPr>
          <w:rFonts w:asciiTheme="minorHAnsi" w:hAnsiTheme="minorHAnsi" w:cstheme="minorHAnsi"/>
          <w:b/>
          <w:bCs/>
          <w:sz w:val="22"/>
          <w:szCs w:val="22"/>
        </w:rPr>
        <w:t xml:space="preserve"> </w:t>
      </w:r>
      <w:r w:rsidRPr="008D14BD">
        <w:rPr>
          <w:rFonts w:asciiTheme="minorHAnsi" w:hAnsiTheme="minorHAnsi" w:cstheme="minorHAnsi"/>
          <w:sz w:val="22"/>
          <w:szCs w:val="22"/>
        </w:rPr>
        <w:t xml:space="preserve"> It should be noted that the 2019 and onwards were projected numbers during appraisal of the parent project because at that time financial data was available only from 2018 audited financial statements.</w:t>
      </w:r>
    </w:p>
    <w:p w14:paraId="70FBE320" w14:textId="77777777" w:rsidR="006B0B6B" w:rsidRDefault="006B0B6B" w:rsidP="002E7AE0">
      <w:pPr>
        <w:pStyle w:val="Caption"/>
        <w:pBdr>
          <w:bottom w:val="single" w:sz="12" w:space="1" w:color="auto"/>
        </w:pBdr>
        <w:tabs>
          <w:tab w:val="left" w:pos="360"/>
        </w:tabs>
        <w:spacing w:after="0"/>
        <w:rPr>
          <w:rFonts w:cstheme="minorHAnsi"/>
          <w:b/>
          <w:bCs/>
          <w:i w:val="0"/>
          <w:iCs w:val="0"/>
          <w:color w:val="auto"/>
          <w:sz w:val="22"/>
          <w:szCs w:val="22"/>
        </w:rPr>
      </w:pPr>
    </w:p>
    <w:p w14:paraId="4FA54400" w14:textId="10D25B0E" w:rsidR="008D14BD" w:rsidRPr="00E33333" w:rsidRDefault="008D14BD" w:rsidP="008D14BD">
      <w:pPr>
        <w:pStyle w:val="Caption"/>
        <w:pBdr>
          <w:bottom w:val="single" w:sz="12" w:space="1" w:color="auto"/>
        </w:pBdr>
        <w:tabs>
          <w:tab w:val="left" w:pos="360"/>
        </w:tabs>
        <w:spacing w:after="0"/>
        <w:ind w:left="360"/>
        <w:rPr>
          <w:rFonts w:cstheme="minorHAnsi"/>
          <w:b/>
          <w:bCs/>
          <w:i w:val="0"/>
          <w:iCs w:val="0"/>
          <w:color w:val="auto"/>
          <w:sz w:val="22"/>
          <w:szCs w:val="22"/>
        </w:rPr>
      </w:pPr>
      <w:r w:rsidRPr="00E33333">
        <w:rPr>
          <w:rFonts w:cstheme="minorHAnsi"/>
          <w:b/>
          <w:bCs/>
          <w:i w:val="0"/>
          <w:iCs w:val="0"/>
          <w:color w:val="auto"/>
          <w:sz w:val="22"/>
          <w:szCs w:val="22"/>
        </w:rPr>
        <w:lastRenderedPageBreak/>
        <w:t xml:space="preserve">Figure </w:t>
      </w:r>
      <w:r w:rsidRPr="00E33333">
        <w:rPr>
          <w:rFonts w:cstheme="minorHAnsi"/>
          <w:b/>
          <w:bCs/>
          <w:i w:val="0"/>
          <w:iCs w:val="0"/>
          <w:color w:val="auto"/>
          <w:sz w:val="22"/>
          <w:szCs w:val="22"/>
        </w:rPr>
        <w:fldChar w:fldCharType="begin"/>
      </w:r>
      <w:r w:rsidRPr="00E33333">
        <w:rPr>
          <w:rFonts w:cstheme="minorHAnsi"/>
          <w:b/>
          <w:bCs/>
          <w:i w:val="0"/>
          <w:iCs w:val="0"/>
          <w:color w:val="auto"/>
          <w:sz w:val="22"/>
          <w:szCs w:val="22"/>
        </w:rPr>
        <w:instrText xml:space="preserve"> SEQ Figure \* ARABIC </w:instrText>
      </w:r>
      <w:r w:rsidRPr="00E33333">
        <w:rPr>
          <w:rFonts w:cstheme="minorHAnsi"/>
          <w:b/>
          <w:bCs/>
          <w:i w:val="0"/>
          <w:iCs w:val="0"/>
          <w:color w:val="auto"/>
          <w:sz w:val="22"/>
          <w:szCs w:val="22"/>
        </w:rPr>
        <w:fldChar w:fldCharType="separate"/>
      </w:r>
      <w:r>
        <w:rPr>
          <w:rFonts w:cstheme="minorHAnsi"/>
          <w:b/>
          <w:bCs/>
          <w:i w:val="0"/>
          <w:iCs w:val="0"/>
          <w:noProof/>
          <w:color w:val="auto"/>
          <w:sz w:val="22"/>
          <w:szCs w:val="22"/>
        </w:rPr>
        <w:t>1</w:t>
      </w:r>
      <w:r w:rsidRPr="00E33333">
        <w:rPr>
          <w:rFonts w:cstheme="minorHAnsi"/>
          <w:b/>
          <w:bCs/>
          <w:i w:val="0"/>
          <w:iCs w:val="0"/>
          <w:color w:val="auto"/>
          <w:sz w:val="22"/>
          <w:szCs w:val="22"/>
        </w:rPr>
        <w:fldChar w:fldCharType="end"/>
      </w:r>
      <w:r w:rsidRPr="00E33333">
        <w:rPr>
          <w:rFonts w:cstheme="minorHAnsi"/>
          <w:b/>
          <w:bCs/>
          <w:i w:val="0"/>
          <w:iCs w:val="0"/>
          <w:color w:val="auto"/>
          <w:sz w:val="22"/>
          <w:szCs w:val="22"/>
        </w:rPr>
        <w:t>: Revenue and Tariff Projections Vs. Actual</w:t>
      </w:r>
    </w:p>
    <w:p w14:paraId="122E8A52" w14:textId="77777777" w:rsidR="008D14BD" w:rsidRPr="00A63125" w:rsidRDefault="008D14BD" w:rsidP="00A63125">
      <w:pPr>
        <w:tabs>
          <w:tab w:val="left" w:pos="450"/>
        </w:tabs>
        <w:jc w:val="both"/>
        <w:rPr>
          <w:rFonts w:asciiTheme="minorHAnsi" w:hAnsiTheme="minorHAnsi" w:cstheme="minorHAnsi"/>
          <w:sz w:val="22"/>
          <w:szCs w:val="22"/>
        </w:rPr>
      </w:pPr>
      <w:r w:rsidRPr="005223B9">
        <w:rPr>
          <w:noProof/>
        </w:rPr>
        <w:drawing>
          <wp:inline distT="0" distB="0" distL="0" distR="0" wp14:anchorId="7633B44F" wp14:editId="389935BB">
            <wp:extent cx="4253696" cy="20994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79834" cy="2112336"/>
                    </a:xfrm>
                    <a:prstGeom prst="rect">
                      <a:avLst/>
                    </a:prstGeom>
                    <a:noFill/>
                  </pic:spPr>
                </pic:pic>
              </a:graphicData>
            </a:graphic>
          </wp:inline>
        </w:drawing>
      </w:r>
    </w:p>
    <w:p w14:paraId="1E7D28DC" w14:textId="77777777" w:rsidR="008D14BD" w:rsidRPr="008D14BD" w:rsidRDefault="008D14BD" w:rsidP="00A63125">
      <w:pPr>
        <w:pBdr>
          <w:bottom w:val="single" w:sz="12" w:space="1" w:color="auto"/>
        </w:pBdr>
        <w:tabs>
          <w:tab w:val="left" w:pos="360"/>
        </w:tabs>
        <w:ind w:left="360"/>
        <w:jc w:val="both"/>
        <w:rPr>
          <w:rFonts w:asciiTheme="minorHAnsi" w:hAnsiTheme="minorHAnsi" w:cstheme="minorHAnsi"/>
          <w:sz w:val="18"/>
          <w:szCs w:val="18"/>
        </w:rPr>
      </w:pPr>
      <w:r w:rsidRPr="008D14BD">
        <w:rPr>
          <w:rFonts w:asciiTheme="minorHAnsi" w:hAnsiTheme="minorHAnsi" w:cstheme="minorHAnsi"/>
          <w:sz w:val="18"/>
          <w:szCs w:val="18"/>
        </w:rPr>
        <w:t>Source: World Bank team estimate.</w:t>
      </w:r>
    </w:p>
    <w:p w14:paraId="7EFC627A" w14:textId="355D1D61" w:rsidR="00A63125" w:rsidRPr="00CC7E2E" w:rsidRDefault="008D14BD" w:rsidP="00CC7E2E">
      <w:pPr>
        <w:pStyle w:val="ListParagraph"/>
        <w:widowControl/>
        <w:tabs>
          <w:tab w:val="left" w:pos="360"/>
        </w:tabs>
        <w:autoSpaceDE/>
        <w:autoSpaceDN/>
        <w:adjustRightInd/>
        <w:spacing w:before="120" w:after="120"/>
        <w:ind w:left="360"/>
        <w:jc w:val="both"/>
        <w:rPr>
          <w:rFonts w:asciiTheme="minorHAnsi" w:hAnsiTheme="minorHAnsi" w:cstheme="minorHAnsi"/>
          <w:sz w:val="22"/>
          <w:szCs w:val="22"/>
        </w:rPr>
      </w:pPr>
      <w:r w:rsidRPr="008D14BD">
        <w:rPr>
          <w:rFonts w:asciiTheme="minorHAnsi" w:hAnsiTheme="minorHAnsi" w:cstheme="minorHAnsi"/>
          <w:sz w:val="22"/>
          <w:szCs w:val="22"/>
        </w:rPr>
        <w:t>The confluence of the factors mentioned above resulted in the shrinkage of the cash flow from operating activities (CFO) and expected larger cash deficit. Between 2018 and 2020, the operating cash flow shortfall ranged between 31-58 percent. Consequently, BT could not start paying down its subsidiary loans to MOF and the current and overdue payables to Sangtuda-1 and Sangtuda-2 for electricity. By the end of 2021, the outstanding balance of corporate debt and liabilities of BT</w:t>
      </w:r>
      <w:r w:rsidRPr="005223B9">
        <w:rPr>
          <w:rStyle w:val="FootnoteReference"/>
          <w:rFonts w:asciiTheme="minorHAnsi" w:hAnsiTheme="minorHAnsi" w:cstheme="minorHAnsi"/>
          <w:sz w:val="22"/>
          <w:szCs w:val="22"/>
        </w:rPr>
        <w:footnoteReference w:id="4"/>
      </w:r>
      <w:r w:rsidRPr="008D14BD">
        <w:rPr>
          <w:rFonts w:asciiTheme="minorHAnsi" w:hAnsiTheme="minorHAnsi" w:cstheme="minorHAnsi"/>
          <w:sz w:val="22"/>
          <w:szCs w:val="22"/>
        </w:rPr>
        <w:t xml:space="preserve"> reached about TJS 24 billion from TJS 19.5 billion in 2018, which represents a 24 percent increase. If the cash deficit</w:t>
      </w:r>
      <w:r w:rsidRPr="005223B9">
        <w:rPr>
          <w:rStyle w:val="FootnoteReference"/>
          <w:rFonts w:asciiTheme="minorHAnsi" w:hAnsiTheme="minorHAnsi" w:cstheme="minorHAnsi"/>
          <w:sz w:val="22"/>
          <w:szCs w:val="22"/>
        </w:rPr>
        <w:footnoteReference w:id="5"/>
      </w:r>
      <w:r w:rsidRPr="008D14BD">
        <w:rPr>
          <w:rFonts w:asciiTheme="minorHAnsi" w:hAnsiTheme="minorHAnsi" w:cstheme="minorHAnsi"/>
          <w:sz w:val="22"/>
          <w:szCs w:val="22"/>
        </w:rPr>
        <w:t xml:space="preserve"> was originally projected to be around TSJ 10.3 billion in 2021, now it is estimated at TJS 14.7 billion.</w:t>
      </w:r>
    </w:p>
    <w:p w14:paraId="31814AFC" w14:textId="77777777" w:rsidR="008D14BD" w:rsidRPr="00A63125" w:rsidRDefault="008D14BD" w:rsidP="00A63125">
      <w:pPr>
        <w:pStyle w:val="Caption"/>
        <w:pBdr>
          <w:bottom w:val="single" w:sz="12" w:space="1" w:color="auto"/>
        </w:pBdr>
        <w:tabs>
          <w:tab w:val="left" w:pos="360"/>
        </w:tabs>
        <w:spacing w:after="0"/>
        <w:ind w:left="360"/>
        <w:rPr>
          <w:rFonts w:cstheme="minorHAnsi"/>
          <w:b/>
          <w:bCs/>
          <w:i w:val="0"/>
          <w:iCs w:val="0"/>
          <w:color w:val="auto"/>
          <w:sz w:val="22"/>
          <w:szCs w:val="22"/>
        </w:rPr>
      </w:pPr>
      <w:r w:rsidRPr="00A63125">
        <w:rPr>
          <w:rFonts w:cstheme="minorHAnsi"/>
          <w:b/>
          <w:bCs/>
          <w:i w:val="0"/>
          <w:iCs w:val="0"/>
          <w:color w:val="auto"/>
          <w:sz w:val="22"/>
          <w:szCs w:val="22"/>
        </w:rPr>
        <w:t xml:space="preserve">Figure </w:t>
      </w:r>
      <w:r w:rsidRPr="00A63125">
        <w:rPr>
          <w:rFonts w:cstheme="minorHAnsi"/>
          <w:b/>
          <w:bCs/>
          <w:i w:val="0"/>
          <w:iCs w:val="0"/>
          <w:color w:val="auto"/>
          <w:sz w:val="22"/>
          <w:szCs w:val="22"/>
        </w:rPr>
        <w:fldChar w:fldCharType="begin"/>
      </w:r>
      <w:r w:rsidRPr="00A63125">
        <w:rPr>
          <w:rFonts w:cstheme="minorHAnsi"/>
          <w:b/>
          <w:bCs/>
          <w:i w:val="0"/>
          <w:iCs w:val="0"/>
          <w:color w:val="auto"/>
          <w:sz w:val="22"/>
          <w:szCs w:val="22"/>
        </w:rPr>
        <w:instrText xml:space="preserve"> SEQ Figure \* ARABIC </w:instrText>
      </w:r>
      <w:r w:rsidRPr="00A63125">
        <w:rPr>
          <w:rFonts w:cstheme="minorHAnsi"/>
          <w:b/>
          <w:bCs/>
          <w:i w:val="0"/>
          <w:iCs w:val="0"/>
          <w:color w:val="auto"/>
          <w:sz w:val="22"/>
          <w:szCs w:val="22"/>
        </w:rPr>
        <w:fldChar w:fldCharType="separate"/>
      </w:r>
      <w:r w:rsidRPr="00A63125">
        <w:rPr>
          <w:rFonts w:cstheme="minorHAnsi"/>
          <w:b/>
          <w:bCs/>
          <w:i w:val="0"/>
          <w:iCs w:val="0"/>
          <w:noProof/>
          <w:color w:val="auto"/>
          <w:sz w:val="22"/>
          <w:szCs w:val="22"/>
        </w:rPr>
        <w:t>2</w:t>
      </w:r>
      <w:r w:rsidRPr="00A63125">
        <w:rPr>
          <w:rFonts w:cstheme="minorHAnsi"/>
          <w:b/>
          <w:bCs/>
          <w:i w:val="0"/>
          <w:iCs w:val="0"/>
          <w:color w:val="auto"/>
          <w:sz w:val="22"/>
          <w:szCs w:val="22"/>
        </w:rPr>
        <w:fldChar w:fldCharType="end"/>
      </w:r>
      <w:r w:rsidRPr="00A63125">
        <w:rPr>
          <w:rFonts w:cstheme="minorHAnsi"/>
          <w:b/>
          <w:bCs/>
          <w:i w:val="0"/>
          <w:iCs w:val="0"/>
          <w:color w:val="auto"/>
          <w:sz w:val="22"/>
          <w:szCs w:val="22"/>
        </w:rPr>
        <w:t>: Debt and Liability Projections vs. Actual</w:t>
      </w:r>
    </w:p>
    <w:p w14:paraId="482669A8" w14:textId="77777777" w:rsidR="008D14BD" w:rsidRPr="005223B9" w:rsidRDefault="008D14BD" w:rsidP="00A63125">
      <w:pPr>
        <w:pStyle w:val="ListParagraph"/>
        <w:tabs>
          <w:tab w:val="left" w:pos="450"/>
        </w:tabs>
        <w:ind w:left="360"/>
        <w:contextualSpacing w:val="0"/>
        <w:rPr>
          <w:rFonts w:asciiTheme="minorHAnsi" w:hAnsiTheme="minorHAnsi" w:cstheme="minorHAnsi"/>
          <w:b/>
          <w:bCs/>
          <w:sz w:val="22"/>
          <w:szCs w:val="22"/>
        </w:rPr>
      </w:pPr>
      <w:r w:rsidRPr="005223B9">
        <w:rPr>
          <w:rFonts w:asciiTheme="minorHAnsi" w:hAnsiTheme="minorHAnsi" w:cstheme="minorHAnsi"/>
          <w:b/>
          <w:bCs/>
          <w:noProof/>
          <w:sz w:val="22"/>
          <w:szCs w:val="22"/>
        </w:rPr>
        <w:drawing>
          <wp:inline distT="0" distB="0" distL="0" distR="0" wp14:anchorId="68AF2AA9" wp14:editId="23048C88">
            <wp:extent cx="4207398" cy="215265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13833" cy="2155942"/>
                    </a:xfrm>
                    <a:prstGeom prst="rect">
                      <a:avLst/>
                    </a:prstGeom>
                    <a:noFill/>
                  </pic:spPr>
                </pic:pic>
              </a:graphicData>
            </a:graphic>
          </wp:inline>
        </w:drawing>
      </w:r>
    </w:p>
    <w:p w14:paraId="04B03025" w14:textId="77777777" w:rsidR="008D14BD" w:rsidRPr="007B76C8" w:rsidRDefault="008D14BD" w:rsidP="00A63125">
      <w:pPr>
        <w:pStyle w:val="ListParagraph"/>
        <w:pBdr>
          <w:bottom w:val="single" w:sz="12" w:space="1" w:color="auto"/>
        </w:pBdr>
        <w:tabs>
          <w:tab w:val="left" w:pos="360"/>
        </w:tabs>
        <w:ind w:left="360"/>
        <w:contextualSpacing w:val="0"/>
        <w:jc w:val="both"/>
        <w:rPr>
          <w:rFonts w:asciiTheme="minorHAnsi" w:hAnsiTheme="minorHAnsi" w:cstheme="minorHAnsi"/>
          <w:sz w:val="18"/>
          <w:szCs w:val="18"/>
        </w:rPr>
      </w:pPr>
      <w:r w:rsidRPr="007B76C8">
        <w:rPr>
          <w:rFonts w:asciiTheme="minorHAnsi" w:hAnsiTheme="minorHAnsi" w:cstheme="minorHAnsi"/>
          <w:sz w:val="18"/>
          <w:szCs w:val="18"/>
        </w:rPr>
        <w:t>Source: World Bank team estimate.</w:t>
      </w:r>
    </w:p>
    <w:p w14:paraId="53E460B7" w14:textId="1887EA43" w:rsidR="00E2002A" w:rsidRDefault="003C2101" w:rsidP="003C2101">
      <w:pPr>
        <w:pStyle w:val="ListParagraph"/>
        <w:widowControl/>
        <w:numPr>
          <w:ilvl w:val="1"/>
          <w:numId w:val="3"/>
        </w:numPr>
        <w:tabs>
          <w:tab w:val="left" w:pos="360"/>
        </w:tabs>
        <w:autoSpaceDE/>
        <w:autoSpaceDN/>
        <w:adjustRightInd/>
        <w:spacing w:before="120" w:after="120"/>
        <w:ind w:left="360"/>
        <w:contextualSpacing w:val="0"/>
        <w:jc w:val="both"/>
        <w:rPr>
          <w:rFonts w:asciiTheme="minorHAnsi" w:hAnsiTheme="minorHAnsi" w:cstheme="minorHAnsi"/>
          <w:sz w:val="22"/>
          <w:szCs w:val="22"/>
        </w:rPr>
      </w:pPr>
      <w:r w:rsidRPr="00805CF3">
        <w:rPr>
          <w:rFonts w:asciiTheme="minorHAnsi" w:hAnsiTheme="minorHAnsi" w:cstheme="minorHAnsi"/>
          <w:b/>
          <w:bCs/>
          <w:sz w:val="22"/>
          <w:szCs w:val="22"/>
        </w:rPr>
        <w:t xml:space="preserve">Projected shortfall in BT’s financing of the Program due to delay of </w:t>
      </w:r>
      <w:r>
        <w:rPr>
          <w:rFonts w:asciiTheme="minorHAnsi" w:hAnsiTheme="minorHAnsi" w:cstheme="minorHAnsi"/>
          <w:b/>
          <w:bCs/>
          <w:sz w:val="22"/>
          <w:szCs w:val="22"/>
        </w:rPr>
        <w:t xml:space="preserve">the </w:t>
      </w:r>
      <w:r w:rsidRPr="00805CF3">
        <w:rPr>
          <w:rFonts w:asciiTheme="minorHAnsi" w:hAnsiTheme="minorHAnsi" w:cstheme="minorHAnsi"/>
          <w:b/>
          <w:bCs/>
          <w:sz w:val="22"/>
          <w:szCs w:val="22"/>
        </w:rPr>
        <w:t>CASA-1000 project</w:t>
      </w:r>
      <w:r w:rsidRPr="00805CF3">
        <w:rPr>
          <w:rFonts w:asciiTheme="minorHAnsi" w:hAnsiTheme="minorHAnsi" w:cstheme="minorHAnsi"/>
          <w:sz w:val="22"/>
          <w:szCs w:val="22"/>
        </w:rPr>
        <w:t xml:space="preserve">. </w:t>
      </w:r>
      <w:r>
        <w:rPr>
          <w:rFonts w:asciiTheme="minorHAnsi" w:hAnsiTheme="minorHAnsi" w:cstheme="minorHAnsi"/>
          <w:sz w:val="22"/>
          <w:szCs w:val="22"/>
        </w:rPr>
        <w:t xml:space="preserve">The CASA-1000 project involves the construction of high-voltage transmission infrastructure across </w:t>
      </w:r>
      <w:r>
        <w:rPr>
          <w:rFonts w:asciiTheme="minorHAnsi" w:hAnsiTheme="minorHAnsi" w:cstheme="minorHAnsi"/>
          <w:sz w:val="22"/>
          <w:szCs w:val="22"/>
        </w:rPr>
        <w:lastRenderedPageBreak/>
        <w:t xml:space="preserve">Tajikistan, the Kyrgyz Republic, </w:t>
      </w:r>
      <w:proofErr w:type="gramStart"/>
      <w:r>
        <w:rPr>
          <w:rFonts w:asciiTheme="minorHAnsi" w:hAnsiTheme="minorHAnsi" w:cstheme="minorHAnsi"/>
          <w:sz w:val="22"/>
          <w:szCs w:val="22"/>
        </w:rPr>
        <w:t>Pakistan</w:t>
      </w:r>
      <w:proofErr w:type="gramEnd"/>
      <w:r>
        <w:rPr>
          <w:rFonts w:asciiTheme="minorHAnsi" w:hAnsiTheme="minorHAnsi" w:cstheme="minorHAnsi"/>
          <w:sz w:val="22"/>
          <w:szCs w:val="22"/>
        </w:rPr>
        <w:t xml:space="preserve"> and Afghanistan, that would enable the export of electricity from Tajikistan to both Afghanistan and Pakistan.  </w:t>
      </w:r>
      <w:r w:rsidRPr="00805CF3">
        <w:rPr>
          <w:rFonts w:asciiTheme="minorHAnsi" w:hAnsiTheme="minorHAnsi" w:cstheme="minorHAnsi"/>
          <w:sz w:val="22"/>
          <w:szCs w:val="22"/>
        </w:rPr>
        <w:t xml:space="preserve">The political developments in Afghanistan resulted in </w:t>
      </w:r>
      <w:r>
        <w:rPr>
          <w:rFonts w:asciiTheme="minorHAnsi" w:hAnsiTheme="minorHAnsi" w:cstheme="minorHAnsi"/>
          <w:sz w:val="22"/>
          <w:szCs w:val="22"/>
        </w:rPr>
        <w:t xml:space="preserve">the </w:t>
      </w:r>
      <w:r w:rsidRPr="00805CF3">
        <w:rPr>
          <w:rFonts w:asciiTheme="minorHAnsi" w:hAnsiTheme="minorHAnsi" w:cstheme="minorHAnsi"/>
          <w:sz w:val="22"/>
          <w:szCs w:val="22"/>
        </w:rPr>
        <w:t>suspension of construction of about 570 km high voltage direct current transmission line</w:t>
      </w:r>
      <w:r>
        <w:rPr>
          <w:rFonts w:asciiTheme="minorHAnsi" w:hAnsiTheme="minorHAnsi" w:cstheme="minorHAnsi"/>
          <w:sz w:val="22"/>
          <w:szCs w:val="22"/>
        </w:rPr>
        <w:t>s</w:t>
      </w:r>
      <w:r w:rsidRPr="00805CF3">
        <w:rPr>
          <w:rFonts w:asciiTheme="minorHAnsi" w:hAnsiTheme="minorHAnsi" w:cstheme="minorHAnsi"/>
          <w:sz w:val="22"/>
          <w:szCs w:val="22"/>
        </w:rPr>
        <w:t xml:space="preserve"> through the territory of Afghanistan to the border with Pakistan. </w:t>
      </w:r>
      <w:r w:rsidR="00EA3D72">
        <w:rPr>
          <w:rFonts w:asciiTheme="minorHAnsi" w:hAnsiTheme="minorHAnsi" w:cstheme="minorHAnsi"/>
          <w:sz w:val="22"/>
          <w:szCs w:val="22"/>
        </w:rPr>
        <w:t>Currently, the commissioning of the project is expected by the end of 2024 with commercial operation commencing in early 2025.</w:t>
      </w:r>
      <w:r>
        <w:rPr>
          <w:rFonts w:asciiTheme="minorHAnsi" w:hAnsiTheme="minorHAnsi" w:cstheme="minorHAnsi"/>
          <w:sz w:val="22"/>
          <w:szCs w:val="22"/>
        </w:rPr>
        <w:t xml:space="preserve"> </w:t>
      </w:r>
      <w:r w:rsidRPr="00805CF3">
        <w:rPr>
          <w:rFonts w:asciiTheme="minorHAnsi" w:hAnsiTheme="minorHAnsi" w:cstheme="minorHAnsi"/>
          <w:sz w:val="22"/>
          <w:szCs w:val="22"/>
        </w:rPr>
        <w:t xml:space="preserve">This delay would impact the </w:t>
      </w:r>
      <w:r>
        <w:rPr>
          <w:rFonts w:asciiTheme="minorHAnsi" w:hAnsiTheme="minorHAnsi" w:cstheme="minorHAnsi"/>
          <w:sz w:val="22"/>
          <w:szCs w:val="22"/>
        </w:rPr>
        <w:t xml:space="preserve">ability of </w:t>
      </w:r>
      <w:r w:rsidRPr="00805CF3">
        <w:rPr>
          <w:rFonts w:asciiTheme="minorHAnsi" w:hAnsiTheme="minorHAnsi" w:cstheme="minorHAnsi"/>
          <w:sz w:val="22"/>
          <w:szCs w:val="22"/>
        </w:rPr>
        <w:t>BT to allocate the initially planned amount of financing to the Program because the company was estimated to earn an annual average of US$1</w:t>
      </w:r>
      <w:r>
        <w:rPr>
          <w:rFonts w:asciiTheme="minorHAnsi" w:hAnsiTheme="minorHAnsi" w:cstheme="minorHAnsi"/>
          <w:sz w:val="22"/>
          <w:szCs w:val="22"/>
        </w:rPr>
        <w:t>3</w:t>
      </w:r>
      <w:r w:rsidRPr="00805CF3">
        <w:rPr>
          <w:rFonts w:asciiTheme="minorHAnsi" w:hAnsiTheme="minorHAnsi" w:cstheme="minorHAnsi"/>
          <w:sz w:val="22"/>
          <w:szCs w:val="22"/>
        </w:rPr>
        <w:t xml:space="preserve">0 million in export revenues </w:t>
      </w:r>
      <w:r>
        <w:rPr>
          <w:rFonts w:asciiTheme="minorHAnsi" w:hAnsiTheme="minorHAnsi" w:cstheme="minorHAnsi"/>
          <w:sz w:val="22"/>
          <w:szCs w:val="22"/>
        </w:rPr>
        <w:t>from the</w:t>
      </w:r>
      <w:r w:rsidRPr="00805CF3">
        <w:rPr>
          <w:rFonts w:asciiTheme="minorHAnsi" w:hAnsiTheme="minorHAnsi" w:cstheme="minorHAnsi"/>
          <w:sz w:val="22"/>
          <w:szCs w:val="22"/>
        </w:rPr>
        <w:t xml:space="preserve"> negotiated PPAs</w:t>
      </w:r>
      <w:r>
        <w:rPr>
          <w:rFonts w:asciiTheme="minorHAnsi" w:hAnsiTheme="minorHAnsi" w:cstheme="minorHAnsi"/>
          <w:sz w:val="22"/>
          <w:szCs w:val="22"/>
        </w:rPr>
        <w:t xml:space="preserve"> with Afghanistan and Pakistan</w:t>
      </w:r>
      <w:r w:rsidR="00107250">
        <w:rPr>
          <w:rFonts w:asciiTheme="minorHAnsi" w:hAnsiTheme="minorHAnsi" w:cstheme="minorHAnsi"/>
          <w:sz w:val="22"/>
          <w:szCs w:val="22"/>
        </w:rPr>
        <w:t>.</w:t>
      </w:r>
      <w:r>
        <w:rPr>
          <w:rFonts w:asciiTheme="minorHAnsi" w:hAnsiTheme="minorHAnsi" w:cstheme="minorHAnsi"/>
          <w:sz w:val="22"/>
          <w:szCs w:val="22"/>
        </w:rPr>
        <w:t xml:space="preserve"> </w:t>
      </w:r>
      <w:r w:rsidRPr="00805CF3">
        <w:rPr>
          <w:rFonts w:asciiTheme="minorHAnsi" w:hAnsiTheme="minorHAnsi" w:cstheme="minorHAnsi"/>
          <w:sz w:val="22"/>
          <w:szCs w:val="22"/>
        </w:rPr>
        <w:t>The details are presented in the section containing the financial analysis.</w:t>
      </w:r>
    </w:p>
    <w:p w14:paraId="63E74046" w14:textId="50610B02" w:rsidR="00513FDE" w:rsidRPr="00805CF3" w:rsidRDefault="00513FDE" w:rsidP="00513FDE">
      <w:pPr>
        <w:pStyle w:val="ListParagraph"/>
        <w:widowControl/>
        <w:numPr>
          <w:ilvl w:val="0"/>
          <w:numId w:val="3"/>
        </w:numPr>
        <w:tabs>
          <w:tab w:val="left" w:pos="0"/>
        </w:tabs>
        <w:autoSpaceDE/>
        <w:autoSpaceDN/>
        <w:adjustRightInd/>
        <w:spacing w:before="120" w:after="120"/>
        <w:ind w:left="-360" w:firstLine="0"/>
        <w:contextualSpacing w:val="0"/>
        <w:jc w:val="both"/>
        <w:rPr>
          <w:rFonts w:asciiTheme="minorHAnsi" w:hAnsiTheme="minorHAnsi" w:cstheme="minorHAnsi"/>
          <w:sz w:val="22"/>
          <w:szCs w:val="22"/>
        </w:rPr>
      </w:pPr>
      <w:r>
        <w:rPr>
          <w:rFonts w:asciiTheme="minorHAnsi" w:hAnsiTheme="minorHAnsi" w:cstheme="minorHAnsi"/>
          <w:b/>
          <w:bCs/>
          <w:sz w:val="22"/>
          <w:szCs w:val="22"/>
        </w:rPr>
        <w:t xml:space="preserve">Given the new circumstances, the Government </w:t>
      </w:r>
      <w:r w:rsidRPr="00805CF3">
        <w:rPr>
          <w:rFonts w:asciiTheme="minorHAnsi" w:hAnsiTheme="minorHAnsi" w:cstheme="minorHAnsi"/>
          <w:b/>
          <w:bCs/>
          <w:sz w:val="22"/>
          <w:szCs w:val="22"/>
        </w:rPr>
        <w:t>update</w:t>
      </w:r>
      <w:r>
        <w:rPr>
          <w:rFonts w:asciiTheme="minorHAnsi" w:hAnsiTheme="minorHAnsi" w:cstheme="minorHAnsi"/>
          <w:b/>
          <w:bCs/>
          <w:sz w:val="22"/>
          <w:szCs w:val="22"/>
        </w:rPr>
        <w:t>d</w:t>
      </w:r>
      <w:r w:rsidRPr="00805CF3">
        <w:rPr>
          <w:rFonts w:asciiTheme="minorHAnsi" w:hAnsiTheme="minorHAnsi" w:cstheme="minorHAnsi"/>
          <w:b/>
          <w:bCs/>
          <w:sz w:val="22"/>
          <w:szCs w:val="22"/>
        </w:rPr>
        <w:t xml:space="preserve"> the program</w:t>
      </w:r>
      <w:r>
        <w:rPr>
          <w:rFonts w:asciiTheme="minorHAnsi" w:hAnsiTheme="minorHAnsi" w:cstheme="minorHAnsi"/>
          <w:b/>
          <w:bCs/>
          <w:sz w:val="22"/>
          <w:szCs w:val="22"/>
        </w:rPr>
        <w:t xml:space="preserve"> for financial recovery </w:t>
      </w:r>
      <w:r w:rsidRPr="00805CF3">
        <w:rPr>
          <w:rFonts w:asciiTheme="minorHAnsi" w:hAnsiTheme="minorHAnsi" w:cstheme="minorHAnsi"/>
          <w:b/>
          <w:bCs/>
          <w:sz w:val="22"/>
          <w:szCs w:val="22"/>
        </w:rPr>
        <w:t>with revised measures, targets, and timel</w:t>
      </w:r>
      <w:r>
        <w:rPr>
          <w:rFonts w:asciiTheme="minorHAnsi" w:hAnsiTheme="minorHAnsi" w:cstheme="minorHAnsi"/>
          <w:b/>
          <w:bCs/>
          <w:sz w:val="22"/>
          <w:szCs w:val="22"/>
        </w:rPr>
        <w:t>ine</w:t>
      </w:r>
      <w:r w:rsidRPr="00805CF3">
        <w:rPr>
          <w:rFonts w:asciiTheme="minorHAnsi" w:hAnsiTheme="minorHAnsi" w:cstheme="minorHAnsi"/>
          <w:sz w:val="22"/>
          <w:szCs w:val="22"/>
        </w:rPr>
        <w:t xml:space="preserve">. </w:t>
      </w:r>
      <w:r>
        <w:rPr>
          <w:rFonts w:asciiTheme="minorHAnsi" w:hAnsiTheme="minorHAnsi" w:cstheme="minorHAnsi"/>
          <w:sz w:val="22"/>
          <w:szCs w:val="22"/>
        </w:rPr>
        <w:t>In particular, t</w:t>
      </w:r>
      <w:r w:rsidRPr="00805CF3">
        <w:rPr>
          <w:rFonts w:asciiTheme="minorHAnsi" w:hAnsiTheme="minorHAnsi" w:cstheme="minorHAnsi"/>
          <w:sz w:val="22"/>
          <w:szCs w:val="22"/>
        </w:rPr>
        <w:t>he</w:t>
      </w:r>
      <w:r>
        <w:rPr>
          <w:rFonts w:asciiTheme="minorHAnsi" w:hAnsiTheme="minorHAnsi" w:cstheme="minorHAnsi"/>
          <w:sz w:val="22"/>
          <w:szCs w:val="22"/>
        </w:rPr>
        <w:t xml:space="preserve"> update of the</w:t>
      </w:r>
      <w:r w:rsidRPr="00805CF3">
        <w:rPr>
          <w:rFonts w:asciiTheme="minorHAnsi" w:hAnsiTheme="minorHAnsi" w:cstheme="minorHAnsi"/>
          <w:sz w:val="22"/>
          <w:szCs w:val="22"/>
        </w:rPr>
        <w:t xml:space="preserve"> Government program </w:t>
      </w:r>
      <w:r>
        <w:rPr>
          <w:rFonts w:asciiTheme="minorHAnsi" w:hAnsiTheme="minorHAnsi" w:cstheme="minorHAnsi"/>
          <w:sz w:val="22"/>
          <w:szCs w:val="22"/>
        </w:rPr>
        <w:t xml:space="preserve">was required to: (a) reflect the restructuring of the electricity sector into separate electricity generation, transmission, and distribution companies; (b) revisit the policy, financial, and operational measures aimed at ensuring electricity supply reliability and improving the financial viability of the electricity sector; (c) </w:t>
      </w:r>
      <w:r w:rsidRPr="00805CF3">
        <w:rPr>
          <w:rFonts w:asciiTheme="minorHAnsi" w:hAnsiTheme="minorHAnsi" w:cstheme="minorHAnsi"/>
          <w:sz w:val="22"/>
          <w:szCs w:val="22"/>
        </w:rPr>
        <w:t>prepare new financial projections</w:t>
      </w:r>
      <w:r>
        <w:rPr>
          <w:rFonts w:asciiTheme="minorHAnsi" w:hAnsiTheme="minorHAnsi" w:cstheme="minorHAnsi"/>
          <w:sz w:val="22"/>
          <w:szCs w:val="22"/>
        </w:rPr>
        <w:t xml:space="preserve"> given the </w:t>
      </w:r>
      <w:r w:rsidR="00EA3D72">
        <w:rPr>
          <w:rFonts w:asciiTheme="minorHAnsi" w:hAnsiTheme="minorHAnsi" w:cstheme="minorHAnsi"/>
          <w:sz w:val="22"/>
          <w:szCs w:val="22"/>
        </w:rPr>
        <w:t xml:space="preserve">current </w:t>
      </w:r>
      <w:r>
        <w:rPr>
          <w:rFonts w:asciiTheme="minorHAnsi" w:hAnsiTheme="minorHAnsi" w:cstheme="minorHAnsi"/>
          <w:sz w:val="22"/>
          <w:szCs w:val="22"/>
        </w:rPr>
        <w:t xml:space="preserve">developments; (d) </w:t>
      </w:r>
      <w:r w:rsidRPr="00805CF3">
        <w:rPr>
          <w:rFonts w:asciiTheme="minorHAnsi" w:hAnsiTheme="minorHAnsi" w:cstheme="minorHAnsi"/>
          <w:sz w:val="22"/>
          <w:szCs w:val="22"/>
        </w:rPr>
        <w:t>revise the targets</w:t>
      </w:r>
      <w:r>
        <w:rPr>
          <w:rFonts w:asciiTheme="minorHAnsi" w:hAnsiTheme="minorHAnsi" w:cstheme="minorHAnsi"/>
          <w:sz w:val="22"/>
          <w:szCs w:val="22"/>
        </w:rPr>
        <w:t>; and (e) revise the timeline of the program</w:t>
      </w:r>
      <w:r w:rsidRPr="00805CF3">
        <w:rPr>
          <w:rFonts w:asciiTheme="minorHAnsi" w:hAnsiTheme="minorHAnsi" w:cstheme="minorHAnsi"/>
          <w:sz w:val="22"/>
          <w:szCs w:val="22"/>
        </w:rPr>
        <w:t>. The main changes to the Government program</w:t>
      </w:r>
      <w:r>
        <w:rPr>
          <w:rFonts w:asciiTheme="minorHAnsi" w:hAnsiTheme="minorHAnsi" w:cstheme="minorHAnsi"/>
          <w:sz w:val="22"/>
          <w:szCs w:val="22"/>
        </w:rPr>
        <w:t xml:space="preserve"> </w:t>
      </w:r>
      <w:r w:rsidRPr="00805CF3">
        <w:rPr>
          <w:rFonts w:asciiTheme="minorHAnsi" w:hAnsiTheme="minorHAnsi" w:cstheme="minorHAnsi"/>
          <w:sz w:val="22"/>
          <w:szCs w:val="22"/>
        </w:rPr>
        <w:t>include the following:</w:t>
      </w:r>
    </w:p>
    <w:p w14:paraId="2BB6CEC5" w14:textId="23C214B3" w:rsidR="00513FDE" w:rsidRDefault="00513FDE" w:rsidP="00CB0465">
      <w:pPr>
        <w:pStyle w:val="ListParagraph"/>
        <w:widowControl/>
        <w:numPr>
          <w:ilvl w:val="0"/>
          <w:numId w:val="30"/>
        </w:numPr>
        <w:tabs>
          <w:tab w:val="left" w:pos="360"/>
        </w:tabs>
        <w:autoSpaceDE/>
        <w:autoSpaceDN/>
        <w:adjustRightInd/>
        <w:spacing w:before="120" w:after="120"/>
        <w:ind w:left="360"/>
        <w:contextualSpacing w:val="0"/>
        <w:jc w:val="both"/>
        <w:rPr>
          <w:rFonts w:asciiTheme="minorHAnsi" w:hAnsiTheme="minorHAnsi" w:cstheme="minorHAnsi"/>
          <w:sz w:val="22"/>
          <w:szCs w:val="22"/>
        </w:rPr>
      </w:pPr>
      <w:r w:rsidRPr="00513FDE">
        <w:rPr>
          <w:rFonts w:asciiTheme="minorHAnsi" w:hAnsiTheme="minorHAnsi" w:cstheme="minorHAnsi"/>
          <w:b/>
          <w:bCs/>
          <w:i/>
          <w:iCs/>
          <w:sz w:val="22"/>
          <w:szCs w:val="22"/>
        </w:rPr>
        <w:t>Further reduction of financing costs of BT</w:t>
      </w:r>
      <w:r w:rsidRPr="00513FDE">
        <w:rPr>
          <w:rFonts w:asciiTheme="minorHAnsi" w:hAnsiTheme="minorHAnsi" w:cstheme="minorHAnsi"/>
          <w:sz w:val="22"/>
          <w:szCs w:val="22"/>
        </w:rPr>
        <w:t>. This includes further renegotiation of the terms of the US$ denominated commercial debt of BT based on the reduction of interest rates on US$ denominated loans offered by the banking sector compared to 2018-2019.</w:t>
      </w:r>
    </w:p>
    <w:p w14:paraId="1F6F9E1D" w14:textId="05331F2E" w:rsidR="00513FDE" w:rsidRDefault="00513FDE" w:rsidP="00CB0465">
      <w:pPr>
        <w:pStyle w:val="ListParagraph"/>
        <w:widowControl/>
        <w:numPr>
          <w:ilvl w:val="0"/>
          <w:numId w:val="30"/>
        </w:numPr>
        <w:tabs>
          <w:tab w:val="left" w:pos="360"/>
        </w:tabs>
        <w:autoSpaceDE/>
        <w:autoSpaceDN/>
        <w:adjustRightInd/>
        <w:spacing w:before="120" w:after="120"/>
        <w:ind w:left="360"/>
        <w:contextualSpacing w:val="0"/>
        <w:jc w:val="both"/>
        <w:rPr>
          <w:rFonts w:asciiTheme="minorHAnsi" w:hAnsiTheme="minorHAnsi" w:cstheme="minorHAnsi"/>
          <w:sz w:val="22"/>
          <w:szCs w:val="22"/>
        </w:rPr>
      </w:pPr>
      <w:r w:rsidRPr="00513FDE">
        <w:rPr>
          <w:rFonts w:asciiTheme="minorHAnsi" w:hAnsiTheme="minorHAnsi" w:cstheme="minorHAnsi"/>
          <w:b/>
          <w:bCs/>
          <w:i/>
          <w:iCs/>
          <w:sz w:val="22"/>
          <w:szCs w:val="22"/>
        </w:rPr>
        <w:t>Reduction of operating and maintenance costs</w:t>
      </w:r>
      <w:r w:rsidRPr="00513FDE">
        <w:rPr>
          <w:rFonts w:asciiTheme="minorHAnsi" w:hAnsiTheme="minorHAnsi" w:cstheme="minorHAnsi"/>
          <w:sz w:val="22"/>
          <w:szCs w:val="22"/>
        </w:rPr>
        <w:t xml:space="preserve">. The Government is exploring options for further reduction of expenditures with specific targets for the reduction of the costs of fuels, materials, services, and fixed asset maintenance. This will be achieved by </w:t>
      </w:r>
      <w:r>
        <w:rPr>
          <w:rFonts w:asciiTheme="minorHAnsi" w:hAnsiTheme="minorHAnsi" w:cstheme="minorHAnsi"/>
          <w:sz w:val="22"/>
          <w:szCs w:val="22"/>
        </w:rPr>
        <w:t xml:space="preserve">further </w:t>
      </w:r>
      <w:r w:rsidRPr="00513FDE">
        <w:rPr>
          <w:rFonts w:asciiTheme="minorHAnsi" w:hAnsiTheme="minorHAnsi" w:cstheme="minorHAnsi"/>
          <w:sz w:val="22"/>
          <w:szCs w:val="22"/>
        </w:rPr>
        <w:t>optimization of inventory management (</w:t>
      </w:r>
      <w:proofErr w:type="gramStart"/>
      <w:r w:rsidRPr="00513FDE">
        <w:rPr>
          <w:rFonts w:asciiTheme="minorHAnsi" w:hAnsiTheme="minorHAnsi" w:cstheme="minorHAnsi"/>
          <w:sz w:val="22"/>
          <w:szCs w:val="22"/>
        </w:rPr>
        <w:t>e.g.</w:t>
      </w:r>
      <w:proofErr w:type="gramEnd"/>
      <w:r w:rsidRPr="00513FDE">
        <w:rPr>
          <w:rFonts w:asciiTheme="minorHAnsi" w:hAnsiTheme="minorHAnsi" w:cstheme="minorHAnsi"/>
          <w:sz w:val="22"/>
          <w:szCs w:val="22"/>
        </w:rPr>
        <w:t xml:space="preserve"> just-in-time purchases vs ongoing purchases based on the age of equipment) and deferral of some maintenance costs without jeopardizing the reliability of electricity supply.</w:t>
      </w:r>
    </w:p>
    <w:p w14:paraId="5166F29D" w14:textId="002B95A4" w:rsidR="00513FDE" w:rsidRDefault="00513FDE" w:rsidP="00CB0465">
      <w:pPr>
        <w:pStyle w:val="ListParagraph"/>
        <w:widowControl/>
        <w:numPr>
          <w:ilvl w:val="0"/>
          <w:numId w:val="30"/>
        </w:numPr>
        <w:tabs>
          <w:tab w:val="left" w:pos="360"/>
        </w:tabs>
        <w:autoSpaceDE/>
        <w:autoSpaceDN/>
        <w:adjustRightInd/>
        <w:spacing w:before="120" w:after="120"/>
        <w:ind w:left="360"/>
        <w:contextualSpacing w:val="0"/>
        <w:jc w:val="both"/>
        <w:rPr>
          <w:rFonts w:asciiTheme="minorHAnsi" w:hAnsiTheme="minorHAnsi" w:cstheme="minorHAnsi"/>
          <w:sz w:val="22"/>
          <w:szCs w:val="22"/>
        </w:rPr>
      </w:pPr>
      <w:r w:rsidRPr="00513FDE">
        <w:rPr>
          <w:rFonts w:asciiTheme="minorHAnsi" w:hAnsiTheme="minorHAnsi" w:cstheme="minorHAnsi"/>
          <w:b/>
          <w:bCs/>
          <w:i/>
          <w:iCs/>
          <w:sz w:val="22"/>
          <w:szCs w:val="22"/>
        </w:rPr>
        <w:t>Revision of the financial projections and targets</w:t>
      </w:r>
      <w:r w:rsidRPr="00513FDE">
        <w:rPr>
          <w:rFonts w:asciiTheme="minorHAnsi" w:hAnsiTheme="minorHAnsi" w:cstheme="minorHAnsi"/>
          <w:sz w:val="22"/>
          <w:szCs w:val="22"/>
        </w:rPr>
        <w:t>. The projections and impacts of specific measures were updated to reflect: (i) changes in the overall cost structure and main projected inputs such as inflation and foreign exchange rates; (ii) changes in revenue streams due to revised electricity tariff increase trajectory; (iii) additional operating cost savings introduced into the Program; and (iv) modifications to disbursements from the ongoing parent project.</w:t>
      </w:r>
    </w:p>
    <w:p w14:paraId="17B5AA41" w14:textId="7F71AA9E" w:rsidR="00513FDE" w:rsidRDefault="00513FDE" w:rsidP="00CB0465">
      <w:pPr>
        <w:pStyle w:val="ListParagraph"/>
        <w:widowControl/>
        <w:numPr>
          <w:ilvl w:val="0"/>
          <w:numId w:val="30"/>
        </w:numPr>
        <w:tabs>
          <w:tab w:val="left" w:pos="360"/>
        </w:tabs>
        <w:autoSpaceDE/>
        <w:autoSpaceDN/>
        <w:adjustRightInd/>
        <w:spacing w:before="120" w:after="120"/>
        <w:ind w:left="360"/>
        <w:contextualSpacing w:val="0"/>
        <w:jc w:val="both"/>
        <w:rPr>
          <w:rFonts w:asciiTheme="minorHAnsi" w:hAnsiTheme="minorHAnsi" w:cstheme="minorHAnsi"/>
          <w:sz w:val="22"/>
          <w:szCs w:val="22"/>
        </w:rPr>
      </w:pPr>
      <w:r w:rsidRPr="00513FDE">
        <w:rPr>
          <w:rFonts w:asciiTheme="minorHAnsi" w:hAnsiTheme="minorHAnsi" w:cstheme="minorHAnsi"/>
          <w:b/>
          <w:bCs/>
          <w:i/>
          <w:iCs/>
          <w:sz w:val="22"/>
          <w:szCs w:val="22"/>
        </w:rPr>
        <w:t>Extension of the Government program implementation period</w:t>
      </w:r>
      <w:r w:rsidRPr="00513FDE">
        <w:rPr>
          <w:rFonts w:asciiTheme="minorHAnsi" w:hAnsiTheme="minorHAnsi" w:cstheme="minorHAnsi"/>
          <w:sz w:val="22"/>
          <w:szCs w:val="22"/>
        </w:rPr>
        <w:t xml:space="preserve">. The original implementation period for the Government program was 2019-2025.Given the implications of COVID-19 and the ongoing conflict in Ukraine, the implementation period of the Government program was extended </w:t>
      </w:r>
      <w:r w:rsidR="0052536B">
        <w:rPr>
          <w:rFonts w:asciiTheme="minorHAnsi" w:hAnsiTheme="minorHAnsi" w:cstheme="minorHAnsi"/>
          <w:sz w:val="22"/>
          <w:szCs w:val="22"/>
        </w:rPr>
        <w:t>till 2032</w:t>
      </w:r>
      <w:r w:rsidRPr="00513FDE">
        <w:rPr>
          <w:rFonts w:asciiTheme="minorHAnsi" w:hAnsiTheme="minorHAnsi" w:cstheme="minorHAnsi"/>
          <w:sz w:val="22"/>
          <w:szCs w:val="22"/>
        </w:rPr>
        <w:t>.</w:t>
      </w:r>
    </w:p>
    <w:p w14:paraId="7555F167" w14:textId="797E42C2" w:rsidR="00A44008" w:rsidRDefault="00A44008" w:rsidP="00A44008">
      <w:pPr>
        <w:pStyle w:val="ListParagraph"/>
        <w:widowControl/>
        <w:numPr>
          <w:ilvl w:val="0"/>
          <w:numId w:val="3"/>
        </w:numPr>
        <w:tabs>
          <w:tab w:val="left" w:pos="0"/>
        </w:tabs>
        <w:autoSpaceDE/>
        <w:autoSpaceDN/>
        <w:adjustRightInd/>
        <w:spacing w:after="120"/>
        <w:ind w:left="-360" w:firstLine="0"/>
        <w:contextualSpacing w:val="0"/>
        <w:jc w:val="both"/>
        <w:rPr>
          <w:rFonts w:ascii="Calibri" w:hAnsi="Calibri" w:cs="Calibri"/>
          <w:sz w:val="22"/>
          <w:szCs w:val="22"/>
        </w:rPr>
      </w:pPr>
      <w:r w:rsidRPr="00A44008">
        <w:rPr>
          <w:rFonts w:ascii="Calibri" w:hAnsi="Calibri" w:cs="Calibri"/>
          <w:b/>
          <w:bCs/>
          <w:sz w:val="22"/>
          <w:szCs w:val="22"/>
        </w:rPr>
        <w:t xml:space="preserve">The changes to the Government Program have introduced the need for additional financing as well as support to achieve new results critical for the long-term financial viability of the sector. </w:t>
      </w:r>
      <w:r w:rsidRPr="00A44008">
        <w:rPr>
          <w:rFonts w:ascii="Calibri" w:hAnsi="Calibri" w:cs="Calibri"/>
          <w:sz w:val="22"/>
          <w:szCs w:val="22"/>
        </w:rPr>
        <w:t xml:space="preserve">As presented above, the updated financing framework for the program shows a current and projected revenue shortfall of about US$90 million. If this gap is not filled, it will lead to a quick build-up of liabilities in the electricity sector and will require significantly more resources to address in later years. BT cannot currently secure alternative resources to compensate for the revenue shortfall given that it cannot access additional concessional credits and commercial resources based on its current financial standing. The Government cannot inject additional resources into BT due to an ongoing strained macro-fiscal situation. </w:t>
      </w:r>
    </w:p>
    <w:p w14:paraId="7806888C" w14:textId="502A9CFB" w:rsidR="00A44008" w:rsidRDefault="00A44008" w:rsidP="00A44008">
      <w:pPr>
        <w:pStyle w:val="ListParagraph"/>
        <w:widowControl/>
        <w:numPr>
          <w:ilvl w:val="0"/>
          <w:numId w:val="3"/>
        </w:numPr>
        <w:tabs>
          <w:tab w:val="left" w:pos="0"/>
        </w:tabs>
        <w:autoSpaceDE/>
        <w:autoSpaceDN/>
        <w:adjustRightInd/>
        <w:spacing w:after="120"/>
        <w:ind w:left="-360" w:firstLine="0"/>
        <w:contextualSpacing w:val="0"/>
        <w:jc w:val="both"/>
        <w:rPr>
          <w:rFonts w:ascii="Calibri" w:hAnsi="Calibri" w:cs="Calibri"/>
          <w:sz w:val="22"/>
          <w:szCs w:val="22"/>
        </w:rPr>
      </w:pPr>
      <w:r w:rsidRPr="00A44008">
        <w:rPr>
          <w:rFonts w:ascii="Calibri" w:hAnsi="Calibri" w:cs="Calibri"/>
          <w:sz w:val="22"/>
          <w:szCs w:val="22"/>
        </w:rPr>
        <w:t xml:space="preserve">Further deterioration of the financial standing of BT would inevitably lead to a reduction in electricity generation from existing power plants, caused by underspending on maintenance, and thus lead to significant </w:t>
      </w:r>
      <w:r w:rsidRPr="00A44008">
        <w:rPr>
          <w:rFonts w:ascii="Calibri" w:hAnsi="Calibri" w:cs="Calibri"/>
          <w:sz w:val="22"/>
          <w:szCs w:val="22"/>
        </w:rPr>
        <w:lastRenderedPageBreak/>
        <w:t xml:space="preserve">electricity shortages with severe economic and social consequences. Thus, the proposed Additional Financing from the Bank is </w:t>
      </w:r>
      <w:r w:rsidR="00031F2C">
        <w:rPr>
          <w:rFonts w:ascii="Calibri" w:hAnsi="Calibri" w:cs="Calibri"/>
          <w:sz w:val="22"/>
          <w:szCs w:val="22"/>
        </w:rPr>
        <w:t>of critical importance to fixing the sector issues</w:t>
      </w:r>
      <w:r w:rsidRPr="00A44008">
        <w:rPr>
          <w:rFonts w:ascii="Calibri" w:hAnsi="Calibri" w:cs="Calibri"/>
          <w:sz w:val="22"/>
          <w:szCs w:val="22"/>
        </w:rPr>
        <w:t>. Since the Government program includes new cost-saving measures, these are proposed to be included as a new DLI</w:t>
      </w:r>
      <w:r>
        <w:rPr>
          <w:rFonts w:ascii="Calibri" w:hAnsi="Calibri" w:cs="Calibri"/>
          <w:sz w:val="22"/>
          <w:szCs w:val="22"/>
        </w:rPr>
        <w:t xml:space="preserve"> (DLI 10)</w:t>
      </w:r>
      <w:r w:rsidRPr="00A44008">
        <w:rPr>
          <w:rFonts w:ascii="Calibri" w:hAnsi="Calibri" w:cs="Calibri"/>
          <w:sz w:val="22"/>
          <w:szCs w:val="22"/>
        </w:rPr>
        <w:t xml:space="preserve"> associated with the AF. An additional DLI </w:t>
      </w:r>
      <w:r w:rsidR="00195066">
        <w:rPr>
          <w:rFonts w:ascii="Calibri" w:hAnsi="Calibri" w:cs="Calibri"/>
          <w:sz w:val="22"/>
          <w:szCs w:val="22"/>
        </w:rPr>
        <w:t xml:space="preserve">(DLI 11) </w:t>
      </w:r>
      <w:r w:rsidRPr="00A44008">
        <w:rPr>
          <w:rFonts w:ascii="Calibri" w:hAnsi="Calibri" w:cs="Calibri"/>
          <w:sz w:val="22"/>
          <w:szCs w:val="22"/>
        </w:rPr>
        <w:t xml:space="preserve">is proposed related to </w:t>
      </w:r>
      <w:r>
        <w:rPr>
          <w:rFonts w:ascii="Calibri" w:hAnsi="Calibri" w:cs="Calibri"/>
          <w:sz w:val="22"/>
          <w:szCs w:val="22"/>
        </w:rPr>
        <w:t>improvement of the</w:t>
      </w:r>
      <w:r w:rsidR="00195066">
        <w:rPr>
          <w:rFonts w:ascii="Calibri" w:hAnsi="Calibri" w:cs="Calibri"/>
          <w:sz w:val="22"/>
          <w:szCs w:val="22"/>
        </w:rPr>
        <w:t xml:space="preserve"> management of revenues from domestic electricity sales, which would improve the</w:t>
      </w:r>
      <w:r>
        <w:rPr>
          <w:rFonts w:ascii="Calibri" w:hAnsi="Calibri" w:cs="Calibri"/>
          <w:sz w:val="22"/>
          <w:szCs w:val="22"/>
        </w:rPr>
        <w:t xml:space="preserve"> predictability and transparency of the revenue collection and distribution from domestic </w:t>
      </w:r>
      <w:r w:rsidR="00195066">
        <w:rPr>
          <w:rFonts w:ascii="Calibri" w:hAnsi="Calibri" w:cs="Calibri"/>
          <w:sz w:val="22"/>
          <w:szCs w:val="22"/>
        </w:rPr>
        <w:t xml:space="preserve">electricity </w:t>
      </w:r>
      <w:r>
        <w:rPr>
          <w:rFonts w:ascii="Calibri" w:hAnsi="Calibri" w:cs="Calibri"/>
          <w:sz w:val="22"/>
          <w:szCs w:val="22"/>
        </w:rPr>
        <w:t>sales</w:t>
      </w:r>
      <w:r w:rsidR="00195066">
        <w:rPr>
          <w:rFonts w:ascii="Calibri" w:hAnsi="Calibri" w:cs="Calibri"/>
          <w:sz w:val="22"/>
          <w:szCs w:val="22"/>
        </w:rPr>
        <w:t xml:space="preserve"> and therefore avoid arbitrary decisions regarding the allocation of the collected cash among electricity companies.</w:t>
      </w:r>
      <w:r w:rsidR="00795602">
        <w:rPr>
          <w:rFonts w:ascii="Calibri" w:hAnsi="Calibri" w:cs="Calibri"/>
          <w:sz w:val="22"/>
          <w:szCs w:val="22"/>
        </w:rPr>
        <w:t xml:space="preserve"> This DLI would also help to further improve the regulatory framework by introducing contractual framework among BT, SIB, and STB. </w:t>
      </w:r>
    </w:p>
    <w:p w14:paraId="5EDA7EB8" w14:textId="66481E53" w:rsidR="006C569D" w:rsidRPr="006C569D" w:rsidRDefault="006C569D" w:rsidP="00CB0465">
      <w:pPr>
        <w:pStyle w:val="ListParagraph"/>
        <w:widowControl/>
        <w:numPr>
          <w:ilvl w:val="0"/>
          <w:numId w:val="28"/>
        </w:numPr>
        <w:tabs>
          <w:tab w:val="left" w:pos="0"/>
        </w:tabs>
        <w:autoSpaceDE/>
        <w:autoSpaceDN/>
        <w:adjustRightInd/>
        <w:spacing w:after="120"/>
        <w:contextualSpacing w:val="0"/>
        <w:jc w:val="both"/>
        <w:rPr>
          <w:rFonts w:asciiTheme="minorHAnsi" w:hAnsiTheme="minorHAnsi" w:cstheme="minorHAnsi"/>
          <w:b/>
          <w:bCs/>
          <w:sz w:val="22"/>
          <w:szCs w:val="22"/>
        </w:rPr>
      </w:pPr>
      <w:r w:rsidRPr="006C569D">
        <w:rPr>
          <w:rFonts w:asciiTheme="minorHAnsi" w:hAnsiTheme="minorHAnsi" w:cstheme="minorHAnsi"/>
          <w:b/>
          <w:bCs/>
          <w:sz w:val="22"/>
          <w:szCs w:val="22"/>
        </w:rPr>
        <w:t>Rationale for Restructuring of the Parent Project</w:t>
      </w:r>
    </w:p>
    <w:p w14:paraId="54C5E8CB" w14:textId="1056BADB" w:rsidR="006C569D" w:rsidRDefault="006C569D" w:rsidP="003C2CA3">
      <w:pPr>
        <w:pStyle w:val="ListParagraph"/>
        <w:widowControl/>
        <w:numPr>
          <w:ilvl w:val="0"/>
          <w:numId w:val="3"/>
        </w:numPr>
        <w:tabs>
          <w:tab w:val="left" w:pos="0"/>
        </w:tabs>
        <w:autoSpaceDE/>
        <w:autoSpaceDN/>
        <w:adjustRightInd/>
        <w:spacing w:before="120" w:after="120"/>
        <w:ind w:left="-360" w:firstLine="0"/>
        <w:contextualSpacing w:val="0"/>
        <w:jc w:val="both"/>
        <w:rPr>
          <w:rFonts w:ascii="Calibri" w:eastAsia="Times New Roman" w:hAnsi="Calibri" w:cs="Calibri"/>
          <w:sz w:val="20"/>
          <w:szCs w:val="20"/>
        </w:rPr>
      </w:pPr>
      <w:r w:rsidRPr="006C569D">
        <w:rPr>
          <w:rFonts w:ascii="Calibri" w:eastAsia="Times New Roman" w:hAnsi="Calibri" w:cs="Calibri"/>
          <w:b/>
          <w:bCs/>
          <w:sz w:val="22"/>
          <w:szCs w:val="22"/>
        </w:rPr>
        <w:t>The Government has also requested to restructure the parent project</w:t>
      </w:r>
      <w:r w:rsidRPr="00F02C78">
        <w:rPr>
          <w:rFonts w:ascii="Calibri" w:eastAsia="Times New Roman" w:hAnsi="Calibri" w:cs="Calibri"/>
          <w:sz w:val="22"/>
          <w:szCs w:val="22"/>
        </w:rPr>
        <w:t xml:space="preserve">. </w:t>
      </w:r>
      <w:r w:rsidRPr="00F02C78">
        <w:rPr>
          <w:rFonts w:asciiTheme="minorHAnsi" w:eastAsiaTheme="minorHAnsi" w:hAnsiTheme="minorHAnsi" w:cstheme="minorHAnsi"/>
          <w:color w:val="auto"/>
          <w:sz w:val="22"/>
          <w:szCs w:val="22"/>
        </w:rPr>
        <w:t xml:space="preserve">The project has been restructured twice, in August 2020 and March 2021, to allow additional time to achieve specific dated DLR targets and to disaggregate one compound DLR into its </w:t>
      </w:r>
      <w:r w:rsidRPr="006C569D">
        <w:rPr>
          <w:rFonts w:asciiTheme="minorHAnsi" w:eastAsiaTheme="minorHAnsi" w:hAnsiTheme="minorHAnsi" w:cstheme="minorHAnsi"/>
          <w:color w:val="auto"/>
          <w:sz w:val="22"/>
          <w:szCs w:val="22"/>
        </w:rPr>
        <w:t xml:space="preserve">component parts (see Annex 6 for details). </w:t>
      </w:r>
      <w:r w:rsidRPr="006C569D">
        <w:rPr>
          <w:rFonts w:asciiTheme="minorHAnsi" w:hAnsiTheme="minorHAnsi" w:cstheme="minorHAnsi"/>
          <w:sz w:val="22"/>
          <w:szCs w:val="22"/>
        </w:rPr>
        <w:t>This would be the third restructuring of the project. The restructuring involves the extension of the closing date of the project from August 3</w:t>
      </w:r>
      <w:r w:rsidR="00074CEE">
        <w:rPr>
          <w:rFonts w:asciiTheme="minorHAnsi" w:hAnsiTheme="minorHAnsi" w:cstheme="minorHAnsi"/>
          <w:sz w:val="22"/>
          <w:szCs w:val="22"/>
        </w:rPr>
        <w:t>0</w:t>
      </w:r>
      <w:r w:rsidRPr="006C569D">
        <w:rPr>
          <w:rFonts w:asciiTheme="minorHAnsi" w:hAnsiTheme="minorHAnsi" w:cstheme="minorHAnsi"/>
          <w:sz w:val="22"/>
          <w:szCs w:val="22"/>
        </w:rPr>
        <w:t>, 2026</w:t>
      </w:r>
      <w:r w:rsidR="00496B4C">
        <w:rPr>
          <w:rFonts w:asciiTheme="minorHAnsi" w:hAnsiTheme="minorHAnsi" w:cstheme="minorHAnsi"/>
          <w:sz w:val="22"/>
          <w:szCs w:val="22"/>
        </w:rPr>
        <w:t>,</w:t>
      </w:r>
      <w:r w:rsidRPr="006C569D">
        <w:rPr>
          <w:rFonts w:asciiTheme="minorHAnsi" w:hAnsiTheme="minorHAnsi" w:cstheme="minorHAnsi"/>
          <w:sz w:val="22"/>
          <w:szCs w:val="22"/>
        </w:rPr>
        <w:t xml:space="preserve"> to August 31, 2032</w:t>
      </w:r>
      <w:r w:rsidR="00496B4C">
        <w:rPr>
          <w:rFonts w:asciiTheme="minorHAnsi" w:hAnsiTheme="minorHAnsi" w:cstheme="minorHAnsi"/>
          <w:sz w:val="22"/>
          <w:szCs w:val="22"/>
        </w:rPr>
        <w:t>,</w:t>
      </w:r>
      <w:r w:rsidRPr="006C569D">
        <w:rPr>
          <w:rFonts w:asciiTheme="minorHAnsi" w:hAnsiTheme="minorHAnsi" w:cstheme="minorHAnsi"/>
          <w:sz w:val="22"/>
          <w:szCs w:val="22"/>
        </w:rPr>
        <w:t xml:space="preserve"> based on the updated Government program. It also proposes to change the target dates of some dated DLRs to allow additional</w:t>
      </w:r>
      <w:r w:rsidRPr="00F02C78">
        <w:rPr>
          <w:rFonts w:asciiTheme="minorHAnsi" w:hAnsiTheme="minorHAnsi" w:cstheme="minorHAnsi"/>
          <w:sz w:val="22"/>
          <w:szCs w:val="22"/>
        </w:rPr>
        <w:t xml:space="preserve"> time for their completion, taking into consideration the complex process of unbundling BT and the macroeconomic impacts of COVID-19 and the ongoing war in Ukraine. </w:t>
      </w:r>
      <w:r w:rsidR="009458EC">
        <w:rPr>
          <w:rFonts w:asciiTheme="minorHAnsi" w:hAnsiTheme="minorHAnsi" w:cstheme="minorHAnsi"/>
          <w:sz w:val="22"/>
          <w:szCs w:val="22"/>
        </w:rPr>
        <w:t>It should however be noted that the Government has been undertaking various others measures and actions, including those aimed at optimization of electricity generation costs and optimization of liabilities, to achieve financial viability earlier</w:t>
      </w:r>
      <w:r w:rsidR="005C7FC6">
        <w:rPr>
          <w:rFonts w:asciiTheme="minorHAnsi" w:hAnsiTheme="minorHAnsi" w:cstheme="minorHAnsi"/>
          <w:sz w:val="22"/>
          <w:szCs w:val="22"/>
        </w:rPr>
        <w:t xml:space="preserve">, </w:t>
      </w:r>
      <w:proofErr w:type="gramStart"/>
      <w:r w:rsidR="005C7FC6">
        <w:rPr>
          <w:rFonts w:asciiTheme="minorHAnsi" w:hAnsiTheme="minorHAnsi" w:cstheme="minorHAnsi"/>
          <w:sz w:val="22"/>
          <w:szCs w:val="22"/>
        </w:rPr>
        <w:t>i.e.</w:t>
      </w:r>
      <w:proofErr w:type="gramEnd"/>
      <w:r w:rsidR="005C7FC6">
        <w:rPr>
          <w:rFonts w:asciiTheme="minorHAnsi" w:hAnsiTheme="minorHAnsi" w:cstheme="minorHAnsi"/>
          <w:sz w:val="22"/>
          <w:szCs w:val="22"/>
        </w:rPr>
        <w:t xml:space="preserve"> by 2030</w:t>
      </w:r>
      <w:r w:rsidR="009458EC">
        <w:rPr>
          <w:rFonts w:asciiTheme="minorHAnsi" w:hAnsiTheme="minorHAnsi" w:cstheme="minorHAnsi"/>
          <w:sz w:val="22"/>
          <w:szCs w:val="22"/>
        </w:rPr>
        <w:t xml:space="preserve">. </w:t>
      </w:r>
    </w:p>
    <w:p w14:paraId="7CD155AE" w14:textId="3D5D3BDA" w:rsidR="003C2CA3" w:rsidRPr="003C2CA3" w:rsidRDefault="003C2CA3" w:rsidP="00CB0465">
      <w:pPr>
        <w:pStyle w:val="ListParagraph"/>
        <w:widowControl/>
        <w:numPr>
          <w:ilvl w:val="0"/>
          <w:numId w:val="28"/>
        </w:numPr>
        <w:tabs>
          <w:tab w:val="left" w:pos="0"/>
        </w:tabs>
        <w:autoSpaceDE/>
        <w:autoSpaceDN/>
        <w:adjustRightInd/>
        <w:spacing w:before="120" w:after="120"/>
        <w:contextualSpacing w:val="0"/>
        <w:jc w:val="both"/>
        <w:rPr>
          <w:rFonts w:ascii="Calibri" w:eastAsia="Times New Roman" w:hAnsi="Calibri" w:cs="Calibri"/>
          <w:b/>
          <w:bCs/>
          <w:sz w:val="22"/>
          <w:szCs w:val="22"/>
        </w:rPr>
      </w:pPr>
      <w:r w:rsidRPr="003C2CA3">
        <w:rPr>
          <w:rFonts w:ascii="Calibri" w:eastAsia="Times New Roman" w:hAnsi="Calibri" w:cs="Calibri"/>
          <w:b/>
          <w:bCs/>
          <w:sz w:val="22"/>
          <w:szCs w:val="22"/>
        </w:rPr>
        <w:t>Relationship to CPF</w:t>
      </w:r>
    </w:p>
    <w:p w14:paraId="12DEFCA8" w14:textId="4FA88CB0" w:rsidR="003C2CA3" w:rsidRPr="006E0D62" w:rsidRDefault="003C2CA3" w:rsidP="003C2CA3">
      <w:pPr>
        <w:pStyle w:val="ListParagraph"/>
        <w:numPr>
          <w:ilvl w:val="0"/>
          <w:numId w:val="3"/>
        </w:numPr>
        <w:tabs>
          <w:tab w:val="left" w:pos="0"/>
        </w:tabs>
        <w:spacing w:before="120" w:after="120"/>
        <w:ind w:left="-360" w:firstLine="0"/>
        <w:contextualSpacing w:val="0"/>
        <w:jc w:val="both"/>
        <w:rPr>
          <w:rFonts w:asciiTheme="minorHAnsi" w:hAnsiTheme="minorHAnsi" w:cstheme="minorHAnsi"/>
          <w:color w:val="auto"/>
          <w:sz w:val="22"/>
          <w:szCs w:val="22"/>
        </w:rPr>
      </w:pPr>
      <w:r w:rsidRPr="006E0D62">
        <w:rPr>
          <w:rFonts w:asciiTheme="minorHAnsi" w:hAnsiTheme="minorHAnsi" w:cstheme="minorHAnsi"/>
          <w:b/>
          <w:bCs/>
          <w:color w:val="auto"/>
          <w:sz w:val="22"/>
          <w:szCs w:val="22"/>
          <w:lang w:val="en-GB"/>
        </w:rPr>
        <w:t xml:space="preserve">The </w:t>
      </w:r>
      <w:r>
        <w:rPr>
          <w:rFonts w:asciiTheme="minorHAnsi" w:hAnsiTheme="minorHAnsi" w:cstheme="minorHAnsi"/>
          <w:b/>
          <w:bCs/>
          <w:color w:val="auto"/>
          <w:sz w:val="22"/>
          <w:szCs w:val="22"/>
          <w:lang w:val="en-GB"/>
        </w:rPr>
        <w:t xml:space="preserve">parent project and the </w:t>
      </w:r>
      <w:r w:rsidRPr="006E0D62">
        <w:rPr>
          <w:rFonts w:asciiTheme="minorHAnsi" w:hAnsiTheme="minorHAnsi" w:cstheme="minorHAnsi"/>
          <w:b/>
          <w:bCs/>
          <w:color w:val="auto"/>
          <w:sz w:val="22"/>
          <w:szCs w:val="22"/>
          <w:lang w:val="en-GB"/>
        </w:rPr>
        <w:t xml:space="preserve">proposed </w:t>
      </w:r>
      <w:r>
        <w:rPr>
          <w:rFonts w:asciiTheme="minorHAnsi" w:hAnsiTheme="minorHAnsi" w:cstheme="minorHAnsi"/>
          <w:b/>
          <w:color w:val="auto"/>
          <w:sz w:val="22"/>
          <w:szCs w:val="22"/>
        </w:rPr>
        <w:t>AF</w:t>
      </w:r>
      <w:r w:rsidRPr="006E0D62">
        <w:rPr>
          <w:rFonts w:asciiTheme="minorHAnsi" w:hAnsiTheme="minorHAnsi" w:cstheme="minorHAnsi"/>
          <w:b/>
          <w:bCs/>
          <w:color w:val="auto"/>
          <w:sz w:val="22"/>
          <w:szCs w:val="22"/>
          <w:lang w:val="en-GB"/>
        </w:rPr>
        <w:t xml:space="preserve"> </w:t>
      </w:r>
      <w:r>
        <w:rPr>
          <w:rFonts w:asciiTheme="minorHAnsi" w:hAnsiTheme="minorHAnsi" w:cstheme="minorHAnsi"/>
          <w:b/>
          <w:bCs/>
          <w:color w:val="auto"/>
          <w:sz w:val="22"/>
          <w:szCs w:val="22"/>
          <w:lang w:val="en-GB"/>
        </w:rPr>
        <w:t xml:space="preserve">remain </w:t>
      </w:r>
      <w:r w:rsidRPr="006E0D62">
        <w:rPr>
          <w:rFonts w:asciiTheme="minorHAnsi" w:hAnsiTheme="minorHAnsi" w:cstheme="minorHAnsi"/>
          <w:b/>
          <w:bCs/>
          <w:color w:val="auto"/>
          <w:sz w:val="22"/>
          <w:szCs w:val="22"/>
          <w:lang w:val="en-GB"/>
        </w:rPr>
        <w:t>fully aligned with Tajikistan</w:t>
      </w:r>
      <w:r>
        <w:rPr>
          <w:rFonts w:asciiTheme="minorHAnsi" w:hAnsiTheme="minorHAnsi" w:cstheme="minorHAnsi"/>
          <w:b/>
          <w:bCs/>
          <w:color w:val="auto"/>
          <w:sz w:val="22"/>
          <w:szCs w:val="22"/>
          <w:lang w:val="en-GB"/>
        </w:rPr>
        <w:t>’s</w:t>
      </w:r>
      <w:r w:rsidRPr="006E0D62">
        <w:rPr>
          <w:rFonts w:asciiTheme="minorHAnsi" w:hAnsiTheme="minorHAnsi" w:cstheme="minorHAnsi"/>
          <w:b/>
          <w:bCs/>
          <w:color w:val="auto"/>
          <w:sz w:val="22"/>
          <w:szCs w:val="22"/>
          <w:lang w:val="en-GB"/>
        </w:rPr>
        <w:t xml:space="preserve"> FY2019-23 Country Partnership Framework (CPF)</w:t>
      </w:r>
      <w:r w:rsidRPr="006E0D62">
        <w:rPr>
          <w:rFonts w:asciiTheme="minorHAnsi" w:hAnsiTheme="minorHAnsi" w:cstheme="minorHAnsi"/>
          <w:color w:val="auto"/>
          <w:sz w:val="22"/>
          <w:szCs w:val="22"/>
        </w:rPr>
        <w:t>. Specifically, the Program will contribute directly to the achievement of Objective 4</w:t>
      </w:r>
      <w:r w:rsidRPr="006E0D62">
        <w:rPr>
          <w:rFonts w:asciiTheme="minorHAnsi" w:hAnsiTheme="minorHAnsi" w:cstheme="minorHAnsi"/>
          <w:i/>
          <w:iCs/>
          <w:color w:val="auto"/>
          <w:sz w:val="22"/>
          <w:szCs w:val="22"/>
        </w:rPr>
        <w:t xml:space="preserve"> (Improved Financial Viability of Public Electricity and Water Utilities) </w:t>
      </w:r>
      <w:r w:rsidRPr="006E0D62">
        <w:rPr>
          <w:rFonts w:asciiTheme="minorHAnsi" w:hAnsiTheme="minorHAnsi" w:cstheme="minorHAnsi"/>
          <w:color w:val="auto"/>
          <w:sz w:val="22"/>
          <w:szCs w:val="22"/>
        </w:rPr>
        <w:t xml:space="preserve">under the CPF Focus Area II </w:t>
      </w:r>
      <w:r w:rsidRPr="006E0D62">
        <w:rPr>
          <w:rFonts w:asciiTheme="minorHAnsi" w:hAnsiTheme="minorHAnsi" w:cstheme="minorHAnsi"/>
          <w:i/>
          <w:iCs/>
          <w:color w:val="auto"/>
          <w:sz w:val="22"/>
          <w:szCs w:val="22"/>
        </w:rPr>
        <w:t>(Public Institutions and Sustainability).</w:t>
      </w:r>
    </w:p>
    <w:tbl>
      <w:tblPr>
        <w:tblStyle w:val="TableGrid3"/>
        <w:tblW w:w="10714" w:type="dxa"/>
        <w:tblInd w:w="-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C"/>
        <w:tblLayout w:type="fixed"/>
        <w:tblLook w:val="04A0" w:firstRow="1" w:lastRow="0" w:firstColumn="1" w:lastColumn="0" w:noHBand="0" w:noVBand="1"/>
      </w:tblPr>
      <w:tblGrid>
        <w:gridCol w:w="10714"/>
      </w:tblGrid>
      <w:tr w:rsidR="004F0F3F" w14:paraId="6A0D4052" w14:textId="77777777" w:rsidTr="00ED4EFE">
        <w:trPr>
          <w:trHeight w:val="432"/>
        </w:trPr>
        <w:tc>
          <w:tcPr>
            <w:tcW w:w="10714" w:type="dxa"/>
            <w:shd w:val="clear" w:color="auto" w:fill="F2F7FC"/>
            <w:vAlign w:val="center"/>
          </w:tcPr>
          <w:p w14:paraId="1ED199FD" w14:textId="77777777" w:rsidR="00CF07BA" w:rsidRPr="00DD5666" w:rsidRDefault="00880CEC" w:rsidP="005C669C">
            <w:pPr>
              <w:pStyle w:val="NoSpacing"/>
              <w:numPr>
                <w:ilvl w:val="0"/>
                <w:numId w:val="1"/>
              </w:numPr>
              <w:ind w:left="346" w:hanging="374"/>
              <w:outlineLvl w:val="0"/>
              <w:rPr>
                <w:rFonts w:asciiTheme="minorHAnsi" w:hAnsiTheme="minorHAnsi"/>
                <w:b/>
                <w:sz w:val="22"/>
                <w:szCs w:val="22"/>
              </w:rPr>
            </w:pPr>
            <w:bookmarkStart w:id="3" w:name="_Toc256000002"/>
            <w:bookmarkStart w:id="4" w:name="_Toc517269158"/>
            <w:bookmarkStart w:id="5" w:name="_Toc520325353"/>
            <w:bookmarkStart w:id="6" w:name="_Toc104869132"/>
            <w:r>
              <w:rPr>
                <w:rFonts w:asciiTheme="minorHAnsi" w:hAnsiTheme="minorHAnsi"/>
                <w:b/>
                <w:sz w:val="22"/>
                <w:szCs w:val="22"/>
              </w:rPr>
              <w:t>PROPOSED CHANGES</w:t>
            </w:r>
            <w:bookmarkEnd w:id="3"/>
            <w:bookmarkEnd w:id="4"/>
            <w:bookmarkEnd w:id="5"/>
            <w:bookmarkEnd w:id="6"/>
          </w:p>
        </w:tc>
      </w:tr>
    </w:tbl>
    <w:p w14:paraId="701DA9A9" w14:textId="1123D3B1" w:rsidR="00A264EB" w:rsidRPr="00A264EB" w:rsidRDefault="00A264EB" w:rsidP="00CB0465">
      <w:pPr>
        <w:pStyle w:val="ListParagraph"/>
        <w:widowControl/>
        <w:numPr>
          <w:ilvl w:val="0"/>
          <w:numId w:val="29"/>
        </w:numPr>
        <w:tabs>
          <w:tab w:val="left" w:pos="0"/>
        </w:tabs>
        <w:autoSpaceDE/>
        <w:autoSpaceDN/>
        <w:adjustRightInd/>
        <w:spacing w:before="120" w:after="120"/>
        <w:ind w:left="-360" w:firstLine="0"/>
        <w:jc w:val="both"/>
        <w:rPr>
          <w:rFonts w:asciiTheme="minorHAnsi" w:hAnsiTheme="minorHAnsi" w:cstheme="minorHAnsi"/>
          <w:b/>
          <w:bCs/>
          <w:noProof/>
          <w:color w:val="000000" w:themeColor="text1"/>
          <w:sz w:val="22"/>
          <w:szCs w:val="22"/>
        </w:rPr>
      </w:pPr>
      <w:r w:rsidRPr="00A264EB">
        <w:rPr>
          <w:rFonts w:asciiTheme="minorHAnsi" w:hAnsiTheme="minorHAnsi" w:cstheme="minorHAnsi"/>
          <w:b/>
          <w:bCs/>
          <w:noProof/>
          <w:color w:val="000000" w:themeColor="text1"/>
          <w:sz w:val="22"/>
          <w:szCs w:val="22"/>
        </w:rPr>
        <w:t>Revised Program Boundaries</w:t>
      </w:r>
    </w:p>
    <w:p w14:paraId="7EE18EA3" w14:textId="448CE216" w:rsidR="00A264EB" w:rsidRPr="00A264EB" w:rsidRDefault="00A264EB" w:rsidP="00867272">
      <w:pPr>
        <w:pStyle w:val="NoSpacing"/>
        <w:widowControl/>
        <w:numPr>
          <w:ilvl w:val="0"/>
          <w:numId w:val="3"/>
        </w:numPr>
        <w:tabs>
          <w:tab w:val="left" w:pos="0"/>
        </w:tabs>
        <w:autoSpaceDE/>
        <w:autoSpaceDN/>
        <w:adjustRightInd/>
        <w:spacing w:before="120" w:after="120"/>
        <w:ind w:left="-360" w:firstLine="0"/>
        <w:jc w:val="both"/>
        <w:rPr>
          <w:rFonts w:asciiTheme="minorHAnsi" w:hAnsiTheme="minorHAnsi" w:cstheme="minorHAnsi"/>
          <w:bCs/>
          <w:sz w:val="22"/>
          <w:szCs w:val="22"/>
        </w:rPr>
      </w:pPr>
      <w:r w:rsidRPr="00A264EB">
        <w:rPr>
          <w:rFonts w:asciiTheme="minorHAnsi" w:hAnsiTheme="minorHAnsi" w:cstheme="minorHAnsi"/>
          <w:bCs/>
          <w:sz w:val="22"/>
          <w:szCs w:val="20"/>
        </w:rPr>
        <w:t xml:space="preserve">The Program boundaries of the updated Government program for 2019-2031 have been expanded to include reduction of costs of electricity sector and improvement of predictability and transparency of sector revenues as follows (see also Figure 3): </w:t>
      </w:r>
    </w:p>
    <w:p w14:paraId="2E29EFA3" w14:textId="77777777" w:rsidR="00A264EB" w:rsidRPr="00A264EB" w:rsidRDefault="00A264EB" w:rsidP="00A264EB">
      <w:pPr>
        <w:tabs>
          <w:tab w:val="left" w:pos="-180"/>
        </w:tabs>
        <w:spacing w:after="60"/>
        <w:rPr>
          <w:rFonts w:asciiTheme="minorHAnsi" w:hAnsiTheme="minorHAnsi" w:cstheme="minorHAnsi"/>
          <w:bCs/>
          <w:i/>
          <w:iCs/>
          <w:sz w:val="22"/>
          <w:szCs w:val="22"/>
        </w:rPr>
      </w:pPr>
      <w:r w:rsidRPr="00A264EB">
        <w:rPr>
          <w:rFonts w:asciiTheme="minorHAnsi" w:hAnsiTheme="minorHAnsi" w:cstheme="minorHAnsi"/>
          <w:bCs/>
          <w:i/>
          <w:iCs/>
          <w:sz w:val="22"/>
          <w:szCs w:val="22"/>
        </w:rPr>
        <w:t>Results Area 1:  Achievement of Financial Viability of Electricity Sector</w:t>
      </w:r>
    </w:p>
    <w:p w14:paraId="19DB13C3" w14:textId="77777777" w:rsidR="00A264EB" w:rsidRPr="00A264EB" w:rsidRDefault="00A264EB" w:rsidP="00CB0465">
      <w:pPr>
        <w:pStyle w:val="NormalWeb"/>
        <w:numPr>
          <w:ilvl w:val="0"/>
          <w:numId w:val="11"/>
        </w:numPr>
        <w:shd w:val="clear" w:color="auto" w:fill="FFFFFF"/>
        <w:tabs>
          <w:tab w:val="left" w:pos="-180"/>
        </w:tabs>
        <w:spacing w:before="0" w:beforeAutospacing="0" w:after="60" w:afterAutospacing="0"/>
        <w:jc w:val="both"/>
        <w:rPr>
          <w:rFonts w:asciiTheme="minorHAnsi" w:hAnsiTheme="minorHAnsi" w:cstheme="minorHAnsi"/>
          <w:sz w:val="22"/>
          <w:szCs w:val="22"/>
        </w:rPr>
      </w:pPr>
      <w:r w:rsidRPr="00A264EB">
        <w:rPr>
          <w:rFonts w:asciiTheme="minorHAnsi" w:hAnsiTheme="minorHAnsi" w:cstheme="minorHAnsi"/>
          <w:sz w:val="22"/>
          <w:szCs w:val="22"/>
        </w:rPr>
        <w:t>Achievement of cost-recovery end user tariffs.</w:t>
      </w:r>
    </w:p>
    <w:p w14:paraId="0491E7A0" w14:textId="77777777" w:rsidR="00A264EB" w:rsidRPr="00A264EB" w:rsidRDefault="00A264EB" w:rsidP="00CB0465">
      <w:pPr>
        <w:pStyle w:val="NormalWeb"/>
        <w:numPr>
          <w:ilvl w:val="0"/>
          <w:numId w:val="11"/>
        </w:numPr>
        <w:shd w:val="clear" w:color="auto" w:fill="FFFFFF"/>
        <w:tabs>
          <w:tab w:val="left" w:pos="-180"/>
        </w:tabs>
        <w:spacing w:before="0" w:beforeAutospacing="0" w:after="60" w:afterAutospacing="0"/>
        <w:jc w:val="both"/>
        <w:rPr>
          <w:rFonts w:asciiTheme="minorHAnsi" w:hAnsiTheme="minorHAnsi" w:cstheme="minorHAnsi"/>
          <w:sz w:val="22"/>
          <w:szCs w:val="22"/>
        </w:rPr>
      </w:pPr>
      <w:r w:rsidRPr="00A264EB">
        <w:rPr>
          <w:rFonts w:asciiTheme="minorHAnsi" w:hAnsiTheme="minorHAnsi" w:cstheme="minorHAnsi"/>
          <w:sz w:val="22"/>
          <w:szCs w:val="22"/>
        </w:rPr>
        <w:t>Revision of subsidiary agreements between MOF and BT.</w:t>
      </w:r>
    </w:p>
    <w:p w14:paraId="6C6F990C" w14:textId="77777777" w:rsidR="00A264EB" w:rsidRPr="00A264EB" w:rsidRDefault="00A264EB" w:rsidP="00CB0465">
      <w:pPr>
        <w:pStyle w:val="NormalWeb"/>
        <w:numPr>
          <w:ilvl w:val="0"/>
          <w:numId w:val="11"/>
        </w:numPr>
        <w:shd w:val="clear" w:color="auto" w:fill="FFFFFF"/>
        <w:tabs>
          <w:tab w:val="left" w:pos="-180"/>
        </w:tabs>
        <w:spacing w:before="0" w:beforeAutospacing="0" w:after="60" w:afterAutospacing="0"/>
        <w:jc w:val="both"/>
        <w:rPr>
          <w:rFonts w:asciiTheme="minorHAnsi" w:hAnsiTheme="minorHAnsi" w:cstheme="minorHAnsi"/>
          <w:sz w:val="22"/>
          <w:szCs w:val="22"/>
        </w:rPr>
      </w:pPr>
      <w:r w:rsidRPr="00A264EB">
        <w:rPr>
          <w:rFonts w:asciiTheme="minorHAnsi" w:hAnsiTheme="minorHAnsi" w:cstheme="minorHAnsi"/>
          <w:sz w:val="22"/>
          <w:szCs w:val="22"/>
        </w:rPr>
        <w:t>Improved prioritization, predictability, and transparency of collection and distribution of revenues in the electricity sector.</w:t>
      </w:r>
    </w:p>
    <w:p w14:paraId="104F5CD8" w14:textId="77777777" w:rsidR="00A264EB" w:rsidRPr="00A264EB" w:rsidRDefault="00A264EB" w:rsidP="00A264EB">
      <w:pPr>
        <w:pStyle w:val="NormalWeb"/>
        <w:shd w:val="clear" w:color="auto" w:fill="FFFFFF"/>
        <w:tabs>
          <w:tab w:val="left" w:pos="-180"/>
        </w:tabs>
        <w:spacing w:before="0" w:beforeAutospacing="0" w:after="60" w:afterAutospacing="0"/>
        <w:jc w:val="both"/>
        <w:rPr>
          <w:rFonts w:asciiTheme="minorHAnsi" w:hAnsiTheme="minorHAnsi" w:cstheme="minorHAnsi"/>
          <w:bCs/>
          <w:i/>
          <w:iCs/>
          <w:sz w:val="22"/>
          <w:szCs w:val="22"/>
        </w:rPr>
      </w:pPr>
      <w:r w:rsidRPr="00A264EB">
        <w:rPr>
          <w:rFonts w:asciiTheme="minorHAnsi" w:hAnsiTheme="minorHAnsi" w:cstheme="minorHAnsi"/>
          <w:bCs/>
          <w:i/>
          <w:iCs/>
          <w:sz w:val="22"/>
          <w:szCs w:val="22"/>
        </w:rPr>
        <w:t>Results Area 2: Ensuring Electricity Supply Reliability</w:t>
      </w:r>
    </w:p>
    <w:p w14:paraId="4FA98B22" w14:textId="77777777" w:rsidR="00A264EB" w:rsidRPr="00A264EB" w:rsidRDefault="00A264EB" w:rsidP="00CB0465">
      <w:pPr>
        <w:pStyle w:val="NormalWeb"/>
        <w:numPr>
          <w:ilvl w:val="0"/>
          <w:numId w:val="12"/>
        </w:numPr>
        <w:shd w:val="clear" w:color="auto" w:fill="FFFFFF"/>
        <w:tabs>
          <w:tab w:val="left" w:pos="-180"/>
        </w:tabs>
        <w:spacing w:before="0" w:beforeAutospacing="0" w:after="60" w:afterAutospacing="0"/>
        <w:jc w:val="both"/>
        <w:rPr>
          <w:rFonts w:asciiTheme="minorHAnsi" w:hAnsiTheme="minorHAnsi" w:cstheme="minorHAnsi"/>
          <w:sz w:val="22"/>
          <w:szCs w:val="22"/>
        </w:rPr>
      </w:pPr>
      <w:r w:rsidRPr="00A264EB">
        <w:rPr>
          <w:rFonts w:asciiTheme="minorHAnsi" w:hAnsiTheme="minorHAnsi" w:cstheme="minorHAnsi"/>
          <w:sz w:val="22"/>
          <w:szCs w:val="22"/>
        </w:rPr>
        <w:t>Adequate electricity supply from Sangtuda-1.</w:t>
      </w:r>
    </w:p>
    <w:p w14:paraId="364B67D3" w14:textId="77777777" w:rsidR="00A264EB" w:rsidRPr="00A264EB" w:rsidRDefault="00A264EB" w:rsidP="00CB0465">
      <w:pPr>
        <w:pStyle w:val="NormalWeb"/>
        <w:numPr>
          <w:ilvl w:val="0"/>
          <w:numId w:val="12"/>
        </w:numPr>
        <w:shd w:val="clear" w:color="auto" w:fill="FFFFFF"/>
        <w:tabs>
          <w:tab w:val="left" w:pos="-180"/>
        </w:tabs>
        <w:spacing w:before="0" w:beforeAutospacing="0" w:after="60" w:afterAutospacing="0"/>
        <w:jc w:val="both"/>
        <w:rPr>
          <w:rFonts w:asciiTheme="minorHAnsi" w:hAnsiTheme="minorHAnsi" w:cstheme="minorHAnsi"/>
          <w:sz w:val="22"/>
          <w:szCs w:val="22"/>
        </w:rPr>
      </w:pPr>
      <w:r w:rsidRPr="00A264EB">
        <w:rPr>
          <w:rFonts w:asciiTheme="minorHAnsi" w:hAnsiTheme="minorHAnsi" w:cstheme="minorHAnsi"/>
          <w:sz w:val="22"/>
          <w:szCs w:val="22"/>
        </w:rPr>
        <w:t xml:space="preserve">Timely rehabilitation and upgrade of SIB’s and STB’s electricity transmission and distribution assets.   </w:t>
      </w:r>
    </w:p>
    <w:p w14:paraId="05DAE6A4" w14:textId="77777777" w:rsidR="00A264EB" w:rsidRPr="00A264EB" w:rsidRDefault="00A264EB" w:rsidP="00CB0465">
      <w:pPr>
        <w:pStyle w:val="NormalWeb"/>
        <w:numPr>
          <w:ilvl w:val="0"/>
          <w:numId w:val="12"/>
        </w:numPr>
        <w:shd w:val="clear" w:color="auto" w:fill="FFFFFF"/>
        <w:tabs>
          <w:tab w:val="left" w:pos="-180"/>
        </w:tabs>
        <w:spacing w:before="0" w:beforeAutospacing="0" w:after="60" w:afterAutospacing="0"/>
        <w:jc w:val="both"/>
        <w:rPr>
          <w:rFonts w:asciiTheme="minorHAnsi" w:hAnsiTheme="minorHAnsi" w:cstheme="minorHAnsi"/>
          <w:sz w:val="22"/>
          <w:szCs w:val="22"/>
        </w:rPr>
      </w:pPr>
      <w:r w:rsidRPr="00A264EB">
        <w:rPr>
          <w:rFonts w:asciiTheme="minorHAnsi" w:hAnsiTheme="minorHAnsi" w:cstheme="minorHAnsi"/>
          <w:sz w:val="22"/>
          <w:szCs w:val="22"/>
        </w:rPr>
        <w:t>Reduction of electricity sector costs.</w:t>
      </w:r>
    </w:p>
    <w:p w14:paraId="39CEE504" w14:textId="77777777" w:rsidR="00A264EB" w:rsidRPr="00A264EB" w:rsidRDefault="00A264EB" w:rsidP="00A264EB">
      <w:pPr>
        <w:pStyle w:val="NormalWeb"/>
        <w:shd w:val="clear" w:color="auto" w:fill="FFFFFF"/>
        <w:tabs>
          <w:tab w:val="left" w:pos="-180"/>
        </w:tabs>
        <w:spacing w:before="0" w:beforeAutospacing="0" w:after="60" w:afterAutospacing="0"/>
        <w:jc w:val="both"/>
        <w:rPr>
          <w:rFonts w:asciiTheme="minorHAnsi" w:eastAsia="Times New Roman" w:hAnsiTheme="minorHAnsi" w:cstheme="minorHAnsi"/>
          <w:bCs/>
          <w:i/>
          <w:iCs/>
          <w:sz w:val="22"/>
          <w:szCs w:val="22"/>
        </w:rPr>
      </w:pPr>
      <w:r w:rsidRPr="00A264EB">
        <w:rPr>
          <w:rFonts w:asciiTheme="minorHAnsi" w:hAnsiTheme="minorHAnsi" w:cstheme="minorHAnsi"/>
          <w:bCs/>
          <w:i/>
          <w:iCs/>
          <w:sz w:val="22"/>
          <w:szCs w:val="22"/>
        </w:rPr>
        <w:lastRenderedPageBreak/>
        <w:t xml:space="preserve">Result Area 3: </w:t>
      </w:r>
      <w:r w:rsidRPr="00A264EB">
        <w:rPr>
          <w:rFonts w:asciiTheme="minorHAnsi" w:eastAsia="Times New Roman" w:hAnsiTheme="minorHAnsi" w:cstheme="minorHAnsi"/>
          <w:bCs/>
          <w:i/>
          <w:iCs/>
          <w:sz w:val="22"/>
          <w:szCs w:val="22"/>
        </w:rPr>
        <w:t>Strengthening of BT, SIB, and STB Governance and Improvement of Transparency</w:t>
      </w:r>
    </w:p>
    <w:p w14:paraId="51349036" w14:textId="77777777" w:rsidR="00A264EB" w:rsidRPr="00A264EB" w:rsidRDefault="00A264EB" w:rsidP="00CB0465">
      <w:pPr>
        <w:pStyle w:val="NormalWeb"/>
        <w:numPr>
          <w:ilvl w:val="0"/>
          <w:numId w:val="13"/>
        </w:numPr>
        <w:shd w:val="clear" w:color="auto" w:fill="FFFFFF"/>
        <w:tabs>
          <w:tab w:val="left" w:pos="-180"/>
        </w:tabs>
        <w:spacing w:before="0" w:beforeAutospacing="0" w:after="60" w:afterAutospacing="0"/>
        <w:jc w:val="both"/>
        <w:rPr>
          <w:rFonts w:asciiTheme="minorHAnsi" w:hAnsiTheme="minorHAnsi" w:cstheme="minorHAnsi"/>
          <w:sz w:val="22"/>
          <w:szCs w:val="22"/>
        </w:rPr>
      </w:pPr>
      <w:r w:rsidRPr="00A264EB">
        <w:rPr>
          <w:rFonts w:asciiTheme="minorHAnsi" w:hAnsiTheme="minorHAnsi" w:cstheme="minorHAnsi"/>
          <w:sz w:val="22"/>
          <w:szCs w:val="22"/>
        </w:rPr>
        <w:t>Implementation of good-practice corporate governance at BT, SIB, and STB.</w:t>
      </w:r>
    </w:p>
    <w:p w14:paraId="688D4593" w14:textId="77777777" w:rsidR="00A264EB" w:rsidRPr="00A264EB" w:rsidRDefault="00A264EB" w:rsidP="00CB0465">
      <w:pPr>
        <w:pStyle w:val="NormalWeb"/>
        <w:numPr>
          <w:ilvl w:val="0"/>
          <w:numId w:val="13"/>
        </w:numPr>
        <w:shd w:val="clear" w:color="auto" w:fill="FFFFFF"/>
        <w:tabs>
          <w:tab w:val="left" w:pos="-180"/>
        </w:tabs>
        <w:spacing w:before="0" w:beforeAutospacing="0" w:after="60" w:afterAutospacing="0"/>
        <w:jc w:val="both"/>
        <w:rPr>
          <w:rFonts w:asciiTheme="minorHAnsi" w:hAnsiTheme="minorHAnsi" w:cstheme="minorHAnsi"/>
          <w:sz w:val="22"/>
          <w:szCs w:val="22"/>
        </w:rPr>
      </w:pPr>
      <w:r w:rsidRPr="00A264EB">
        <w:rPr>
          <w:rFonts w:asciiTheme="minorHAnsi" w:hAnsiTheme="minorHAnsi" w:cstheme="minorHAnsi"/>
          <w:sz w:val="22"/>
          <w:szCs w:val="22"/>
        </w:rPr>
        <w:t xml:space="preserve">Use of technically, economically, and financially sound principles for investment decision-making in generation, transmission, and distribution.  </w:t>
      </w:r>
    </w:p>
    <w:p w14:paraId="18FD4745" w14:textId="5E00C731" w:rsidR="00CC7E2E" w:rsidRPr="00E64555" w:rsidRDefault="00A264EB" w:rsidP="00CB0465">
      <w:pPr>
        <w:pStyle w:val="NormalWeb"/>
        <w:numPr>
          <w:ilvl w:val="0"/>
          <w:numId w:val="13"/>
        </w:numPr>
        <w:shd w:val="clear" w:color="auto" w:fill="FFFFFF"/>
        <w:tabs>
          <w:tab w:val="left" w:pos="-180"/>
        </w:tabs>
        <w:spacing w:before="0" w:beforeAutospacing="0" w:after="60" w:afterAutospacing="0"/>
        <w:jc w:val="both"/>
        <w:rPr>
          <w:rFonts w:asciiTheme="minorHAnsi" w:hAnsiTheme="minorHAnsi" w:cstheme="minorHAnsi"/>
          <w:bCs/>
          <w:sz w:val="22"/>
          <w:szCs w:val="22"/>
        </w:rPr>
      </w:pPr>
      <w:r w:rsidRPr="00A264EB">
        <w:rPr>
          <w:rFonts w:asciiTheme="minorHAnsi" w:hAnsiTheme="minorHAnsi" w:cstheme="minorHAnsi"/>
          <w:sz w:val="22"/>
          <w:szCs w:val="22"/>
        </w:rPr>
        <w:t>Improvement of operational and financial transparency of BT, SIB, and STB.</w:t>
      </w:r>
    </w:p>
    <w:p w14:paraId="775CD15E" w14:textId="18E6C802" w:rsidR="001616B9" w:rsidRDefault="001616B9" w:rsidP="001616B9">
      <w:pPr>
        <w:pStyle w:val="Caption"/>
        <w:spacing w:after="0"/>
        <w:ind w:left="-360"/>
        <w:rPr>
          <w:b/>
          <w:bCs/>
          <w:i w:val="0"/>
          <w:iCs w:val="0"/>
          <w:color w:val="auto"/>
          <w:sz w:val="22"/>
          <w:szCs w:val="22"/>
        </w:rPr>
      </w:pPr>
      <w:r>
        <w:rPr>
          <w:b/>
          <w:bCs/>
          <w:i w:val="0"/>
          <w:iCs w:val="0"/>
          <w:color w:val="auto"/>
          <w:sz w:val="22"/>
          <w:szCs w:val="22"/>
        </w:rPr>
        <w:t xml:space="preserve">   </w:t>
      </w:r>
      <w:r w:rsidRPr="00012711">
        <w:rPr>
          <w:b/>
          <w:bCs/>
          <w:i w:val="0"/>
          <w:iCs w:val="0"/>
          <w:color w:val="auto"/>
          <w:sz w:val="22"/>
          <w:szCs w:val="22"/>
        </w:rPr>
        <w:t xml:space="preserve">Figure </w:t>
      </w:r>
      <w:r w:rsidRPr="00012711">
        <w:rPr>
          <w:b/>
          <w:bCs/>
          <w:i w:val="0"/>
          <w:iCs w:val="0"/>
          <w:color w:val="auto"/>
          <w:sz w:val="22"/>
          <w:szCs w:val="22"/>
        </w:rPr>
        <w:fldChar w:fldCharType="begin"/>
      </w:r>
      <w:r w:rsidRPr="00012711">
        <w:rPr>
          <w:b/>
          <w:bCs/>
          <w:i w:val="0"/>
          <w:iCs w:val="0"/>
          <w:color w:val="auto"/>
          <w:sz w:val="22"/>
          <w:szCs w:val="22"/>
        </w:rPr>
        <w:instrText xml:space="preserve"> SEQ Figure \* ARABIC </w:instrText>
      </w:r>
      <w:r w:rsidRPr="00012711">
        <w:rPr>
          <w:b/>
          <w:bCs/>
          <w:i w:val="0"/>
          <w:iCs w:val="0"/>
          <w:color w:val="auto"/>
          <w:sz w:val="22"/>
          <w:szCs w:val="22"/>
        </w:rPr>
        <w:fldChar w:fldCharType="separate"/>
      </w:r>
      <w:r>
        <w:rPr>
          <w:b/>
          <w:bCs/>
          <w:i w:val="0"/>
          <w:iCs w:val="0"/>
          <w:noProof/>
          <w:color w:val="auto"/>
          <w:sz w:val="22"/>
          <w:szCs w:val="22"/>
        </w:rPr>
        <w:t>3</w:t>
      </w:r>
      <w:r w:rsidRPr="00012711">
        <w:rPr>
          <w:b/>
          <w:bCs/>
          <w:i w:val="0"/>
          <w:iCs w:val="0"/>
          <w:color w:val="auto"/>
          <w:sz w:val="22"/>
          <w:szCs w:val="22"/>
        </w:rPr>
        <w:fldChar w:fldCharType="end"/>
      </w:r>
      <w:r w:rsidRPr="00012711">
        <w:rPr>
          <w:b/>
          <w:bCs/>
          <w:i w:val="0"/>
          <w:iCs w:val="0"/>
          <w:color w:val="auto"/>
          <w:sz w:val="22"/>
          <w:szCs w:val="22"/>
        </w:rPr>
        <w:t xml:space="preserve">: </w:t>
      </w:r>
      <w:r>
        <w:rPr>
          <w:b/>
          <w:bCs/>
          <w:i w:val="0"/>
          <w:iCs w:val="0"/>
          <w:color w:val="auto"/>
          <w:sz w:val="22"/>
          <w:szCs w:val="22"/>
        </w:rPr>
        <w:t xml:space="preserve">Revised </w:t>
      </w:r>
      <w:r w:rsidRPr="00012711">
        <w:rPr>
          <w:b/>
          <w:bCs/>
          <w:i w:val="0"/>
          <w:iCs w:val="0"/>
          <w:color w:val="auto"/>
          <w:sz w:val="22"/>
          <w:szCs w:val="22"/>
        </w:rPr>
        <w:t>Program Boundaries</w:t>
      </w:r>
    </w:p>
    <w:p w14:paraId="3ED90958" w14:textId="77777777" w:rsidR="001616B9" w:rsidRDefault="001616B9" w:rsidP="001616B9">
      <w:pPr>
        <w:tabs>
          <w:tab w:val="left" w:pos="0"/>
        </w:tabs>
        <w:ind w:left="-360"/>
      </w:pPr>
      <w:r w:rsidRPr="0039417F">
        <w:rPr>
          <w:noProof/>
        </w:rPr>
        <w:drawing>
          <wp:inline distT="0" distB="0" distL="0" distR="0" wp14:anchorId="1DDB97AA" wp14:editId="41B16224">
            <wp:extent cx="5438249" cy="4259484"/>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852483"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5450671" cy="4269213"/>
                    </a:xfrm>
                    <a:prstGeom prst="rect">
                      <a:avLst/>
                    </a:prstGeom>
                    <a:noFill/>
                    <a:ln>
                      <a:noFill/>
                    </a:ln>
                  </pic:spPr>
                </pic:pic>
              </a:graphicData>
            </a:graphic>
          </wp:inline>
        </w:drawing>
      </w:r>
    </w:p>
    <w:p w14:paraId="27485B19" w14:textId="77777777" w:rsidR="001616B9" w:rsidRPr="001616B9" w:rsidRDefault="001616B9" w:rsidP="001616B9">
      <w:pPr>
        <w:pBdr>
          <w:bottom w:val="single" w:sz="12" w:space="1" w:color="auto"/>
        </w:pBdr>
        <w:tabs>
          <w:tab w:val="left" w:pos="0"/>
        </w:tabs>
        <w:spacing w:after="120"/>
        <w:ind w:left="-360"/>
        <w:rPr>
          <w:rFonts w:asciiTheme="minorHAnsi" w:hAnsiTheme="minorHAnsi" w:cstheme="minorHAnsi"/>
          <w:sz w:val="18"/>
          <w:szCs w:val="18"/>
        </w:rPr>
      </w:pPr>
      <w:r w:rsidRPr="001616B9">
        <w:rPr>
          <w:rFonts w:asciiTheme="minorHAnsi" w:hAnsiTheme="minorHAnsi" w:cstheme="minorHAnsi"/>
          <w:sz w:val="18"/>
          <w:szCs w:val="18"/>
        </w:rPr>
        <w:t>Source: World Bank team.</w:t>
      </w:r>
    </w:p>
    <w:p w14:paraId="073F111B" w14:textId="5DBA3667" w:rsidR="00176B7D" w:rsidRPr="00176B7D" w:rsidRDefault="00176B7D" w:rsidP="00CB0465">
      <w:pPr>
        <w:pStyle w:val="ListParagraph"/>
        <w:widowControl/>
        <w:numPr>
          <w:ilvl w:val="0"/>
          <w:numId w:val="29"/>
        </w:numPr>
        <w:tabs>
          <w:tab w:val="left" w:pos="0"/>
        </w:tabs>
        <w:autoSpaceDE/>
        <w:autoSpaceDN/>
        <w:adjustRightInd/>
        <w:spacing w:before="120" w:after="120"/>
        <w:ind w:left="-360" w:firstLine="0"/>
        <w:contextualSpacing w:val="0"/>
        <w:jc w:val="both"/>
        <w:rPr>
          <w:rFonts w:asciiTheme="minorHAnsi" w:hAnsiTheme="minorHAnsi" w:cstheme="minorHAnsi"/>
          <w:b/>
          <w:bCs/>
          <w:noProof/>
          <w:color w:val="000000" w:themeColor="text1"/>
          <w:sz w:val="22"/>
          <w:szCs w:val="22"/>
        </w:rPr>
      </w:pPr>
      <w:r w:rsidRPr="00176B7D">
        <w:rPr>
          <w:rFonts w:asciiTheme="minorHAnsi" w:hAnsiTheme="minorHAnsi" w:cstheme="minorHAnsi"/>
          <w:b/>
          <w:bCs/>
          <w:noProof/>
          <w:color w:val="000000" w:themeColor="text1"/>
          <w:sz w:val="22"/>
          <w:szCs w:val="22"/>
        </w:rPr>
        <w:t>Changes to the PforR</w:t>
      </w:r>
    </w:p>
    <w:p w14:paraId="71C20DE9" w14:textId="77777777" w:rsidR="00176B7D" w:rsidRPr="009638BF" w:rsidRDefault="00176B7D" w:rsidP="00176B7D">
      <w:pPr>
        <w:pStyle w:val="ListParagraph"/>
        <w:widowControl/>
        <w:numPr>
          <w:ilvl w:val="0"/>
          <w:numId w:val="3"/>
        </w:numPr>
        <w:tabs>
          <w:tab w:val="left" w:pos="0"/>
        </w:tabs>
        <w:autoSpaceDE/>
        <w:autoSpaceDN/>
        <w:adjustRightInd/>
        <w:spacing w:before="120" w:after="120"/>
        <w:ind w:left="-360" w:firstLine="0"/>
        <w:contextualSpacing w:val="0"/>
        <w:jc w:val="both"/>
        <w:rPr>
          <w:rFonts w:asciiTheme="minorHAnsi" w:hAnsiTheme="minorHAnsi" w:cstheme="minorHAnsi"/>
          <w:noProof/>
          <w:color w:val="000000" w:themeColor="text1"/>
          <w:sz w:val="22"/>
          <w:szCs w:val="22"/>
        </w:rPr>
      </w:pPr>
      <w:r w:rsidRPr="009638BF">
        <w:rPr>
          <w:rFonts w:asciiTheme="minorHAnsi" w:hAnsiTheme="minorHAnsi" w:cstheme="minorHAnsi"/>
          <w:b/>
          <w:bCs/>
          <w:sz w:val="22"/>
          <w:szCs w:val="22"/>
        </w:rPr>
        <w:t>Original Project Development Objective (PDO)</w:t>
      </w:r>
      <w:r w:rsidRPr="009638BF">
        <w:rPr>
          <w:rFonts w:asciiTheme="minorHAnsi" w:hAnsiTheme="minorHAnsi" w:cstheme="minorHAnsi"/>
          <w:sz w:val="22"/>
          <w:szCs w:val="22"/>
        </w:rPr>
        <w:t>. The current PDO is: “</w:t>
      </w:r>
      <w:r w:rsidRPr="009638BF">
        <w:rPr>
          <w:rFonts w:asciiTheme="minorHAnsi" w:hAnsiTheme="minorHAnsi" w:cstheme="minorHAnsi"/>
          <w:noProof/>
          <w:color w:val="000000" w:themeColor="text1"/>
          <w:sz w:val="22"/>
          <w:szCs w:val="22"/>
        </w:rPr>
        <w:t>to improve the financial viability, increase the reliability of electricity supply, and strengthen the governance of BT.” It is revised to reflect the unbundling of BT into separate and legally independent electricity generation, transmission, and distribution companies.</w:t>
      </w:r>
    </w:p>
    <w:p w14:paraId="3C9CAA5E" w14:textId="0C035161" w:rsidR="00176B7D" w:rsidRPr="007467EC" w:rsidRDefault="00176B7D" w:rsidP="00176B7D">
      <w:pPr>
        <w:pStyle w:val="ListParagraph"/>
        <w:widowControl/>
        <w:numPr>
          <w:ilvl w:val="0"/>
          <w:numId w:val="3"/>
        </w:numPr>
        <w:tabs>
          <w:tab w:val="left" w:pos="0"/>
        </w:tabs>
        <w:autoSpaceDE/>
        <w:autoSpaceDN/>
        <w:adjustRightInd/>
        <w:spacing w:before="120" w:after="120"/>
        <w:ind w:left="-360" w:firstLine="0"/>
        <w:contextualSpacing w:val="0"/>
        <w:jc w:val="both"/>
        <w:rPr>
          <w:rFonts w:asciiTheme="minorHAnsi" w:hAnsiTheme="minorHAnsi" w:cstheme="minorHAnsi"/>
          <w:noProof/>
          <w:color w:val="000000" w:themeColor="text1"/>
          <w:sz w:val="22"/>
          <w:szCs w:val="22"/>
        </w:rPr>
      </w:pPr>
      <w:r w:rsidRPr="009638BF">
        <w:rPr>
          <w:rFonts w:asciiTheme="minorHAnsi" w:hAnsiTheme="minorHAnsi" w:cstheme="minorHAnsi"/>
          <w:b/>
          <w:noProof/>
          <w:sz w:val="22"/>
          <w:szCs w:val="22"/>
        </w:rPr>
        <w:t>Revised PDO</w:t>
      </w:r>
      <w:r w:rsidRPr="009638BF">
        <w:rPr>
          <w:rFonts w:asciiTheme="minorHAnsi" w:hAnsiTheme="minorHAnsi" w:cstheme="minorHAnsi"/>
          <w:bCs/>
          <w:noProof/>
          <w:sz w:val="22"/>
          <w:szCs w:val="22"/>
        </w:rPr>
        <w:t xml:space="preserve">. </w:t>
      </w:r>
      <w:r>
        <w:rPr>
          <w:rFonts w:asciiTheme="minorHAnsi" w:hAnsiTheme="minorHAnsi" w:cstheme="minorHAnsi"/>
          <w:bCs/>
          <w:noProof/>
          <w:sz w:val="22"/>
          <w:szCs w:val="22"/>
        </w:rPr>
        <w:t xml:space="preserve">The revised PDO is: </w:t>
      </w:r>
      <w:r w:rsidRPr="009638BF">
        <w:rPr>
          <w:rFonts w:asciiTheme="minorHAnsi" w:hAnsiTheme="minorHAnsi" w:cstheme="minorHAnsi"/>
          <w:bCs/>
          <w:noProof/>
          <w:sz w:val="22"/>
          <w:szCs w:val="22"/>
        </w:rPr>
        <w:t xml:space="preserve">“to improve the financial viability, increase the reliability of electricity supply, and strengthen the governance of Barqi Tojik, </w:t>
      </w:r>
      <w:proofErr w:type="spellStart"/>
      <w:r w:rsidRPr="009638BF">
        <w:rPr>
          <w:rFonts w:asciiTheme="minorHAnsi" w:eastAsia="Times New Roman" w:hAnsiTheme="minorHAnsi" w:cstheme="minorHAnsi"/>
          <w:sz w:val="22"/>
          <w:szCs w:val="22"/>
        </w:rPr>
        <w:t>Shabakahoi</w:t>
      </w:r>
      <w:proofErr w:type="spellEnd"/>
      <w:r w:rsidRPr="009638BF">
        <w:rPr>
          <w:rFonts w:asciiTheme="minorHAnsi" w:eastAsia="Times New Roman" w:hAnsiTheme="minorHAnsi" w:cstheme="minorHAnsi"/>
          <w:sz w:val="22"/>
          <w:szCs w:val="22"/>
        </w:rPr>
        <w:t xml:space="preserve"> </w:t>
      </w:r>
      <w:proofErr w:type="spellStart"/>
      <w:r w:rsidRPr="009638BF">
        <w:rPr>
          <w:rFonts w:asciiTheme="minorHAnsi" w:eastAsia="Times New Roman" w:hAnsiTheme="minorHAnsi" w:cstheme="minorHAnsi"/>
          <w:sz w:val="22"/>
          <w:szCs w:val="22"/>
        </w:rPr>
        <w:t>Intiqoli</w:t>
      </w:r>
      <w:proofErr w:type="spellEnd"/>
      <w:r w:rsidRPr="009638BF">
        <w:rPr>
          <w:rFonts w:asciiTheme="minorHAnsi" w:eastAsia="Times New Roman" w:hAnsiTheme="minorHAnsi" w:cstheme="minorHAnsi"/>
          <w:sz w:val="22"/>
          <w:szCs w:val="22"/>
        </w:rPr>
        <w:t xml:space="preserve"> </w:t>
      </w:r>
      <w:proofErr w:type="spellStart"/>
      <w:r w:rsidRPr="009638BF">
        <w:rPr>
          <w:rFonts w:asciiTheme="minorHAnsi" w:eastAsia="Times New Roman" w:hAnsiTheme="minorHAnsi" w:cstheme="minorHAnsi"/>
          <w:sz w:val="22"/>
          <w:szCs w:val="22"/>
        </w:rPr>
        <w:t>Barq</w:t>
      </w:r>
      <w:proofErr w:type="spellEnd"/>
      <w:r w:rsidRPr="009638BF">
        <w:rPr>
          <w:rFonts w:asciiTheme="minorHAnsi" w:eastAsia="Times New Roman" w:hAnsiTheme="minorHAnsi" w:cstheme="minorHAnsi"/>
          <w:sz w:val="22"/>
          <w:szCs w:val="22"/>
        </w:rPr>
        <w:t xml:space="preserve">, and </w:t>
      </w:r>
      <w:proofErr w:type="spellStart"/>
      <w:r w:rsidRPr="009638BF">
        <w:rPr>
          <w:rFonts w:asciiTheme="minorHAnsi" w:eastAsia="Times New Roman" w:hAnsiTheme="minorHAnsi" w:cstheme="minorHAnsi"/>
          <w:sz w:val="22"/>
          <w:szCs w:val="22"/>
        </w:rPr>
        <w:t>Shabakahoi</w:t>
      </w:r>
      <w:proofErr w:type="spellEnd"/>
      <w:r w:rsidRPr="009638BF">
        <w:rPr>
          <w:rFonts w:asciiTheme="minorHAnsi" w:eastAsia="Times New Roman" w:hAnsiTheme="minorHAnsi" w:cstheme="minorHAnsi"/>
          <w:sz w:val="22"/>
          <w:szCs w:val="22"/>
        </w:rPr>
        <w:t xml:space="preserve"> </w:t>
      </w:r>
      <w:proofErr w:type="spellStart"/>
      <w:r w:rsidRPr="009638BF">
        <w:rPr>
          <w:rFonts w:asciiTheme="minorHAnsi" w:eastAsia="Times New Roman" w:hAnsiTheme="minorHAnsi" w:cstheme="minorHAnsi"/>
          <w:sz w:val="22"/>
          <w:szCs w:val="22"/>
        </w:rPr>
        <w:t>Taqsimoti</w:t>
      </w:r>
      <w:proofErr w:type="spellEnd"/>
      <w:r w:rsidRPr="009638BF">
        <w:rPr>
          <w:rFonts w:asciiTheme="minorHAnsi" w:eastAsia="Times New Roman" w:hAnsiTheme="minorHAnsi" w:cstheme="minorHAnsi"/>
          <w:sz w:val="22"/>
          <w:szCs w:val="22"/>
        </w:rPr>
        <w:t xml:space="preserve"> </w:t>
      </w:r>
      <w:proofErr w:type="spellStart"/>
      <w:r w:rsidRPr="009638BF">
        <w:rPr>
          <w:rFonts w:asciiTheme="minorHAnsi" w:eastAsia="Times New Roman" w:hAnsiTheme="minorHAnsi" w:cstheme="minorHAnsi"/>
          <w:sz w:val="22"/>
          <w:szCs w:val="22"/>
        </w:rPr>
        <w:t>Barq</w:t>
      </w:r>
      <w:proofErr w:type="spellEnd"/>
      <w:r w:rsidRPr="007467EC">
        <w:rPr>
          <w:rFonts w:asciiTheme="minorHAnsi" w:hAnsiTheme="minorHAnsi" w:cstheme="minorHAnsi"/>
          <w:noProof/>
          <w:color w:val="000000" w:themeColor="text1"/>
          <w:sz w:val="22"/>
          <w:szCs w:val="22"/>
        </w:rPr>
        <w:t>.</w:t>
      </w:r>
      <w:r w:rsidRPr="007467EC">
        <w:rPr>
          <w:rFonts w:asciiTheme="minorHAnsi" w:hAnsiTheme="minorHAnsi" w:cstheme="minorHAnsi"/>
          <w:sz w:val="22"/>
          <w:szCs w:val="22"/>
        </w:rPr>
        <w:t>”</w:t>
      </w:r>
    </w:p>
    <w:p w14:paraId="1E5346CD" w14:textId="70423693" w:rsidR="00453F54" w:rsidRPr="00176B7D" w:rsidRDefault="00176B7D" w:rsidP="00176B7D">
      <w:pPr>
        <w:pStyle w:val="ListParagraph"/>
        <w:widowControl/>
        <w:numPr>
          <w:ilvl w:val="0"/>
          <w:numId w:val="3"/>
        </w:numPr>
        <w:tabs>
          <w:tab w:val="left" w:pos="0"/>
        </w:tabs>
        <w:autoSpaceDE/>
        <w:autoSpaceDN/>
        <w:adjustRightInd/>
        <w:spacing w:after="120"/>
        <w:ind w:left="-360" w:firstLine="0"/>
        <w:contextualSpacing w:val="0"/>
        <w:jc w:val="both"/>
        <w:rPr>
          <w:rFonts w:asciiTheme="minorHAnsi" w:hAnsiTheme="minorHAnsi" w:cstheme="minorHAnsi"/>
          <w:sz w:val="22"/>
          <w:szCs w:val="22"/>
        </w:rPr>
      </w:pPr>
      <w:r>
        <w:rPr>
          <w:rFonts w:asciiTheme="minorHAnsi" w:hAnsiTheme="minorHAnsi" w:cstheme="minorHAnsi"/>
          <w:b/>
          <w:bCs/>
          <w:noProof/>
          <w:color w:val="000000" w:themeColor="text1"/>
          <w:sz w:val="22"/>
          <w:szCs w:val="22"/>
        </w:rPr>
        <w:t>Changes to the Results Framework</w:t>
      </w:r>
      <w:r>
        <w:rPr>
          <w:rFonts w:asciiTheme="minorHAnsi" w:hAnsiTheme="minorHAnsi" w:cstheme="minorHAnsi"/>
          <w:noProof/>
          <w:color w:val="000000" w:themeColor="text1"/>
          <w:sz w:val="22"/>
          <w:szCs w:val="22"/>
        </w:rPr>
        <w:t>.</w:t>
      </w:r>
      <w:r w:rsidRPr="009638BF">
        <w:rPr>
          <w:rFonts w:asciiTheme="minorHAnsi" w:hAnsiTheme="minorHAnsi" w:cstheme="minorHAnsi"/>
          <w:noProof/>
          <w:color w:val="000000" w:themeColor="text1"/>
          <w:sz w:val="22"/>
          <w:szCs w:val="22"/>
        </w:rPr>
        <w:t xml:space="preserve"> </w:t>
      </w:r>
      <w:r>
        <w:rPr>
          <w:rFonts w:asciiTheme="minorHAnsi" w:hAnsiTheme="minorHAnsi"/>
          <w:bCs/>
          <w:noProof/>
          <w:color w:val="auto"/>
          <w:sz w:val="22"/>
          <w:szCs w:val="22"/>
        </w:rPr>
        <w:t xml:space="preserve">The project’s key outcome and PDO level indicators remain the same, with changes to the expected date of achievement of targets based on the revised Program dates, and changes to entity names based on the unbundling of BT. </w:t>
      </w:r>
      <w:r>
        <w:rPr>
          <w:rFonts w:asciiTheme="minorHAnsi" w:hAnsiTheme="minorHAnsi" w:cstheme="minorHAnsi"/>
          <w:sz w:val="22"/>
          <w:szCs w:val="22"/>
        </w:rPr>
        <w:t>Details are provided below.</w:t>
      </w:r>
    </w:p>
    <w:p w14:paraId="044F07D5" w14:textId="7619DE46" w:rsidR="006125C9" w:rsidRPr="00E33333" w:rsidRDefault="006125C9" w:rsidP="006125C9">
      <w:pPr>
        <w:pStyle w:val="Caption"/>
        <w:spacing w:after="0"/>
        <w:ind w:left="-360"/>
        <w:rPr>
          <w:rFonts w:cstheme="minorHAnsi"/>
          <w:b/>
          <w:bCs/>
          <w:i w:val="0"/>
          <w:iCs w:val="0"/>
          <w:noProof/>
          <w:color w:val="auto"/>
          <w:sz w:val="28"/>
          <w:szCs w:val="28"/>
        </w:rPr>
      </w:pPr>
      <w:r w:rsidRPr="00E33333">
        <w:rPr>
          <w:b/>
          <w:bCs/>
          <w:i w:val="0"/>
          <w:iCs w:val="0"/>
          <w:color w:val="auto"/>
          <w:sz w:val="22"/>
          <w:szCs w:val="22"/>
        </w:rPr>
        <w:lastRenderedPageBreak/>
        <w:t xml:space="preserve">Table </w:t>
      </w:r>
      <w:r w:rsidRPr="00E33333">
        <w:rPr>
          <w:b/>
          <w:bCs/>
          <w:i w:val="0"/>
          <w:iCs w:val="0"/>
          <w:color w:val="auto"/>
          <w:sz w:val="22"/>
          <w:szCs w:val="22"/>
        </w:rPr>
        <w:fldChar w:fldCharType="begin"/>
      </w:r>
      <w:r w:rsidRPr="00E33333">
        <w:rPr>
          <w:b/>
          <w:bCs/>
          <w:i w:val="0"/>
          <w:iCs w:val="0"/>
          <w:color w:val="auto"/>
          <w:sz w:val="22"/>
          <w:szCs w:val="22"/>
        </w:rPr>
        <w:instrText xml:space="preserve"> SEQ Table \* ARABIC </w:instrText>
      </w:r>
      <w:r w:rsidRPr="00E33333">
        <w:rPr>
          <w:b/>
          <w:bCs/>
          <w:i w:val="0"/>
          <w:iCs w:val="0"/>
          <w:color w:val="auto"/>
          <w:sz w:val="22"/>
          <w:szCs w:val="22"/>
        </w:rPr>
        <w:fldChar w:fldCharType="separate"/>
      </w:r>
      <w:r w:rsidR="00875DBA">
        <w:rPr>
          <w:b/>
          <w:bCs/>
          <w:i w:val="0"/>
          <w:iCs w:val="0"/>
          <w:noProof/>
          <w:color w:val="auto"/>
          <w:sz w:val="22"/>
          <w:szCs w:val="22"/>
        </w:rPr>
        <w:t>1</w:t>
      </w:r>
      <w:r w:rsidRPr="00E33333">
        <w:rPr>
          <w:b/>
          <w:bCs/>
          <w:i w:val="0"/>
          <w:iCs w:val="0"/>
          <w:color w:val="auto"/>
          <w:sz w:val="22"/>
          <w:szCs w:val="22"/>
        </w:rPr>
        <w:fldChar w:fldCharType="end"/>
      </w:r>
      <w:r w:rsidRPr="00E33333">
        <w:rPr>
          <w:b/>
          <w:bCs/>
          <w:i w:val="0"/>
          <w:iCs w:val="0"/>
          <w:color w:val="auto"/>
          <w:sz w:val="22"/>
          <w:szCs w:val="22"/>
        </w:rPr>
        <w:t>: Key Changes in the Results Framework</w:t>
      </w:r>
    </w:p>
    <w:tbl>
      <w:tblPr>
        <w:tblStyle w:val="TableGrid"/>
        <w:tblW w:w="10345" w:type="dxa"/>
        <w:tblInd w:w="-360" w:type="dxa"/>
        <w:tblLook w:val="04A0" w:firstRow="1" w:lastRow="0" w:firstColumn="1" w:lastColumn="0" w:noHBand="0" w:noVBand="1"/>
      </w:tblPr>
      <w:tblGrid>
        <w:gridCol w:w="2469"/>
        <w:gridCol w:w="2116"/>
        <w:gridCol w:w="1340"/>
        <w:gridCol w:w="1450"/>
        <w:gridCol w:w="1440"/>
        <w:gridCol w:w="1530"/>
      </w:tblGrid>
      <w:tr w:rsidR="00453F54" w:rsidRPr="009C7875" w14:paraId="04B80046" w14:textId="27C08D11" w:rsidTr="00CC7E2E">
        <w:trPr>
          <w:tblHeader/>
        </w:trPr>
        <w:tc>
          <w:tcPr>
            <w:tcW w:w="2469" w:type="dxa"/>
            <w:shd w:val="clear" w:color="auto" w:fill="D9D9D9" w:themeFill="background1" w:themeFillShade="D9"/>
          </w:tcPr>
          <w:p w14:paraId="1EEBEAB9" w14:textId="00B37B69" w:rsidR="00453F54" w:rsidRPr="009C7875" w:rsidRDefault="00453F54" w:rsidP="009C7875">
            <w:pPr>
              <w:pStyle w:val="ListParagraph"/>
              <w:widowControl/>
              <w:tabs>
                <w:tab w:val="left" w:pos="0"/>
              </w:tabs>
              <w:autoSpaceDE/>
              <w:autoSpaceDN/>
              <w:adjustRightInd/>
              <w:ind w:left="0"/>
              <w:contextualSpacing w:val="0"/>
              <w:rPr>
                <w:rFonts w:asciiTheme="minorHAnsi" w:hAnsiTheme="minorHAnsi" w:cstheme="minorHAnsi"/>
                <w:b/>
                <w:bCs/>
                <w:noProof/>
                <w:color w:val="000000" w:themeColor="text1"/>
                <w:sz w:val="20"/>
                <w:szCs w:val="20"/>
              </w:rPr>
            </w:pPr>
            <w:r w:rsidRPr="009C7875">
              <w:rPr>
                <w:rFonts w:asciiTheme="minorHAnsi" w:hAnsiTheme="minorHAnsi" w:cstheme="minorHAnsi"/>
                <w:b/>
                <w:bCs/>
                <w:noProof/>
                <w:color w:val="000000" w:themeColor="text1"/>
                <w:sz w:val="20"/>
                <w:szCs w:val="20"/>
              </w:rPr>
              <w:t xml:space="preserve">Current </w:t>
            </w:r>
          </w:p>
        </w:tc>
        <w:tc>
          <w:tcPr>
            <w:tcW w:w="2116" w:type="dxa"/>
            <w:shd w:val="clear" w:color="auto" w:fill="D9D9D9" w:themeFill="background1" w:themeFillShade="D9"/>
          </w:tcPr>
          <w:p w14:paraId="5B9881CA" w14:textId="26AC362E" w:rsidR="00453F54" w:rsidRPr="009C7875" w:rsidRDefault="00453F54" w:rsidP="009C7875">
            <w:pPr>
              <w:pStyle w:val="ListParagraph"/>
              <w:widowControl/>
              <w:tabs>
                <w:tab w:val="left" w:pos="0"/>
              </w:tabs>
              <w:autoSpaceDE/>
              <w:autoSpaceDN/>
              <w:adjustRightInd/>
              <w:ind w:left="0"/>
              <w:contextualSpacing w:val="0"/>
              <w:rPr>
                <w:rFonts w:asciiTheme="minorHAnsi" w:hAnsiTheme="minorHAnsi" w:cstheme="minorHAnsi"/>
                <w:b/>
                <w:bCs/>
                <w:noProof/>
                <w:color w:val="000000" w:themeColor="text1"/>
                <w:sz w:val="20"/>
                <w:szCs w:val="20"/>
              </w:rPr>
            </w:pPr>
            <w:r w:rsidRPr="009C7875">
              <w:rPr>
                <w:rFonts w:asciiTheme="minorHAnsi" w:hAnsiTheme="minorHAnsi" w:cstheme="minorHAnsi"/>
                <w:b/>
                <w:bCs/>
                <w:noProof/>
                <w:color w:val="000000" w:themeColor="text1"/>
                <w:sz w:val="20"/>
                <w:szCs w:val="20"/>
              </w:rPr>
              <w:t>Revised</w:t>
            </w:r>
          </w:p>
        </w:tc>
        <w:tc>
          <w:tcPr>
            <w:tcW w:w="1340" w:type="dxa"/>
            <w:shd w:val="clear" w:color="auto" w:fill="D9D9D9" w:themeFill="background1" w:themeFillShade="D9"/>
          </w:tcPr>
          <w:p w14:paraId="24DDDF03" w14:textId="5916646F" w:rsidR="00453F54" w:rsidRDefault="00453F54" w:rsidP="009C7875">
            <w:pPr>
              <w:pStyle w:val="ListParagraph"/>
              <w:widowControl/>
              <w:tabs>
                <w:tab w:val="left" w:pos="0"/>
              </w:tabs>
              <w:autoSpaceDE/>
              <w:autoSpaceDN/>
              <w:adjustRightInd/>
              <w:ind w:left="0"/>
              <w:contextualSpacing w:val="0"/>
              <w:rPr>
                <w:rFonts w:asciiTheme="minorHAnsi" w:hAnsiTheme="minorHAnsi" w:cstheme="minorHAnsi"/>
                <w:b/>
                <w:bCs/>
                <w:noProof/>
                <w:color w:val="000000" w:themeColor="text1"/>
                <w:sz w:val="20"/>
                <w:szCs w:val="20"/>
              </w:rPr>
            </w:pPr>
            <w:r>
              <w:rPr>
                <w:rFonts w:asciiTheme="minorHAnsi" w:hAnsiTheme="minorHAnsi" w:cstheme="minorHAnsi"/>
                <w:b/>
                <w:bCs/>
                <w:noProof/>
                <w:color w:val="000000" w:themeColor="text1"/>
                <w:sz w:val="20"/>
                <w:szCs w:val="20"/>
              </w:rPr>
              <w:t>Current Baseline</w:t>
            </w:r>
          </w:p>
        </w:tc>
        <w:tc>
          <w:tcPr>
            <w:tcW w:w="1450" w:type="dxa"/>
            <w:shd w:val="clear" w:color="auto" w:fill="D9D9D9" w:themeFill="background1" w:themeFillShade="D9"/>
          </w:tcPr>
          <w:p w14:paraId="5C1EA591" w14:textId="68EF9210" w:rsidR="00453F54" w:rsidRDefault="00453F54" w:rsidP="009C7875">
            <w:pPr>
              <w:pStyle w:val="ListParagraph"/>
              <w:widowControl/>
              <w:tabs>
                <w:tab w:val="left" w:pos="0"/>
              </w:tabs>
              <w:autoSpaceDE/>
              <w:autoSpaceDN/>
              <w:adjustRightInd/>
              <w:ind w:left="0"/>
              <w:contextualSpacing w:val="0"/>
              <w:rPr>
                <w:rFonts w:asciiTheme="minorHAnsi" w:hAnsiTheme="minorHAnsi" w:cstheme="minorHAnsi"/>
                <w:b/>
                <w:bCs/>
                <w:noProof/>
                <w:color w:val="000000" w:themeColor="text1"/>
                <w:sz w:val="20"/>
                <w:szCs w:val="20"/>
              </w:rPr>
            </w:pPr>
            <w:r>
              <w:rPr>
                <w:rFonts w:asciiTheme="minorHAnsi" w:hAnsiTheme="minorHAnsi" w:cstheme="minorHAnsi"/>
                <w:b/>
                <w:bCs/>
                <w:noProof/>
                <w:color w:val="000000" w:themeColor="text1"/>
                <w:sz w:val="20"/>
                <w:szCs w:val="20"/>
              </w:rPr>
              <w:t>Revised Baseline</w:t>
            </w:r>
          </w:p>
        </w:tc>
        <w:tc>
          <w:tcPr>
            <w:tcW w:w="1440" w:type="dxa"/>
            <w:shd w:val="clear" w:color="auto" w:fill="D9D9D9" w:themeFill="background1" w:themeFillShade="D9"/>
          </w:tcPr>
          <w:p w14:paraId="051E3DE3" w14:textId="645997BA" w:rsidR="00453F54" w:rsidRPr="009C7875" w:rsidRDefault="00453F54" w:rsidP="009C7875">
            <w:pPr>
              <w:pStyle w:val="ListParagraph"/>
              <w:widowControl/>
              <w:tabs>
                <w:tab w:val="left" w:pos="0"/>
              </w:tabs>
              <w:autoSpaceDE/>
              <w:autoSpaceDN/>
              <w:adjustRightInd/>
              <w:ind w:left="0"/>
              <w:contextualSpacing w:val="0"/>
              <w:rPr>
                <w:rFonts w:asciiTheme="minorHAnsi" w:hAnsiTheme="minorHAnsi" w:cstheme="minorHAnsi"/>
                <w:b/>
                <w:bCs/>
                <w:noProof/>
                <w:color w:val="000000" w:themeColor="text1"/>
                <w:sz w:val="20"/>
                <w:szCs w:val="20"/>
              </w:rPr>
            </w:pPr>
            <w:r>
              <w:rPr>
                <w:rFonts w:asciiTheme="minorHAnsi" w:hAnsiTheme="minorHAnsi" w:cstheme="minorHAnsi"/>
                <w:b/>
                <w:bCs/>
                <w:noProof/>
                <w:color w:val="000000" w:themeColor="text1"/>
                <w:sz w:val="20"/>
                <w:szCs w:val="20"/>
              </w:rPr>
              <w:t>Current Target</w:t>
            </w:r>
          </w:p>
        </w:tc>
        <w:tc>
          <w:tcPr>
            <w:tcW w:w="1530" w:type="dxa"/>
            <w:shd w:val="clear" w:color="auto" w:fill="D9D9D9" w:themeFill="background1" w:themeFillShade="D9"/>
          </w:tcPr>
          <w:p w14:paraId="20F09846" w14:textId="6C52401D" w:rsidR="00453F54" w:rsidRDefault="00453F54" w:rsidP="009C7875">
            <w:pPr>
              <w:pStyle w:val="ListParagraph"/>
              <w:widowControl/>
              <w:tabs>
                <w:tab w:val="left" w:pos="0"/>
              </w:tabs>
              <w:autoSpaceDE/>
              <w:autoSpaceDN/>
              <w:adjustRightInd/>
              <w:ind w:left="0"/>
              <w:contextualSpacing w:val="0"/>
              <w:rPr>
                <w:rFonts w:asciiTheme="minorHAnsi" w:hAnsiTheme="minorHAnsi" w:cstheme="minorHAnsi"/>
                <w:b/>
                <w:bCs/>
                <w:noProof/>
                <w:color w:val="000000" w:themeColor="text1"/>
                <w:sz w:val="20"/>
                <w:szCs w:val="20"/>
              </w:rPr>
            </w:pPr>
            <w:r>
              <w:rPr>
                <w:rFonts w:asciiTheme="minorHAnsi" w:hAnsiTheme="minorHAnsi" w:cstheme="minorHAnsi"/>
                <w:b/>
                <w:bCs/>
                <w:noProof/>
                <w:color w:val="000000" w:themeColor="text1"/>
                <w:sz w:val="20"/>
                <w:szCs w:val="20"/>
              </w:rPr>
              <w:t>Revised Target</w:t>
            </w:r>
          </w:p>
        </w:tc>
      </w:tr>
      <w:tr w:rsidR="00453F54" w:rsidRPr="009C7875" w14:paraId="5DE69CDB" w14:textId="77777777" w:rsidTr="00A91311">
        <w:trPr>
          <w:trHeight w:val="278"/>
        </w:trPr>
        <w:tc>
          <w:tcPr>
            <w:tcW w:w="10345" w:type="dxa"/>
            <w:gridSpan w:val="6"/>
            <w:shd w:val="clear" w:color="auto" w:fill="D9D9D9" w:themeFill="background1" w:themeFillShade="D9"/>
          </w:tcPr>
          <w:p w14:paraId="3C2B22E6" w14:textId="1EC29434" w:rsidR="00453F54" w:rsidRPr="00914BDE" w:rsidRDefault="00453F54" w:rsidP="009C7875">
            <w:pPr>
              <w:pStyle w:val="NoSpacing"/>
              <w:widowControl/>
              <w:tabs>
                <w:tab w:val="left" w:pos="360"/>
              </w:tabs>
              <w:autoSpaceDE/>
              <w:autoSpaceDN/>
              <w:adjustRightInd/>
              <w:jc w:val="both"/>
              <w:rPr>
                <w:rFonts w:asciiTheme="minorHAnsi" w:hAnsiTheme="minorHAnsi" w:cstheme="minorHAnsi"/>
                <w:sz w:val="20"/>
                <w:szCs w:val="20"/>
              </w:rPr>
            </w:pPr>
            <w:r>
              <w:rPr>
                <w:rFonts w:asciiTheme="minorHAnsi" w:hAnsiTheme="minorHAnsi" w:cstheme="minorHAnsi"/>
                <w:b/>
                <w:sz w:val="20"/>
                <w:szCs w:val="20"/>
              </w:rPr>
              <w:t>PDO Level Results Indicators</w:t>
            </w:r>
          </w:p>
        </w:tc>
      </w:tr>
      <w:tr w:rsidR="00176B7D" w:rsidRPr="00176B7D" w14:paraId="6BE59BA9" w14:textId="490E79C4" w:rsidTr="00A91311">
        <w:trPr>
          <w:trHeight w:val="809"/>
        </w:trPr>
        <w:tc>
          <w:tcPr>
            <w:tcW w:w="2469" w:type="dxa"/>
          </w:tcPr>
          <w:p w14:paraId="21EF2166" w14:textId="66E3826F" w:rsidR="00176B7D" w:rsidRPr="00176B7D" w:rsidRDefault="00176B7D" w:rsidP="00176B7D">
            <w:pPr>
              <w:pStyle w:val="NoSpacing"/>
              <w:widowControl/>
              <w:tabs>
                <w:tab w:val="left" w:pos="360"/>
              </w:tabs>
              <w:autoSpaceDE/>
              <w:autoSpaceDN/>
              <w:adjustRightInd/>
              <w:rPr>
                <w:rFonts w:asciiTheme="minorHAnsi" w:hAnsiTheme="minorHAnsi" w:cstheme="minorHAnsi"/>
                <w:sz w:val="20"/>
                <w:szCs w:val="20"/>
              </w:rPr>
            </w:pPr>
            <w:r w:rsidRPr="00176B7D">
              <w:rPr>
                <w:rFonts w:asciiTheme="minorHAnsi" w:hAnsiTheme="minorHAnsi" w:cstheme="minorHAnsi"/>
                <w:b/>
                <w:sz w:val="20"/>
                <w:szCs w:val="20"/>
              </w:rPr>
              <w:t>Indicator 1:</w:t>
            </w:r>
            <w:r w:rsidRPr="00176B7D">
              <w:rPr>
                <w:rFonts w:asciiTheme="minorHAnsi" w:hAnsiTheme="minorHAnsi" w:cstheme="minorHAnsi"/>
                <w:sz w:val="20"/>
                <w:szCs w:val="20"/>
              </w:rPr>
              <w:t xml:space="preserve"> </w:t>
            </w:r>
            <w:r w:rsidRPr="00176B7D">
              <w:rPr>
                <w:rFonts w:asciiTheme="minorHAnsi" w:hAnsiTheme="minorHAnsi" w:cstheme="minorHAnsi"/>
                <w:color w:val="auto"/>
                <w:sz w:val="20"/>
                <w:szCs w:val="20"/>
              </w:rPr>
              <w:t>Reduction of BT’s cash deficit (% reduction of cash deficit)</w:t>
            </w:r>
          </w:p>
        </w:tc>
        <w:tc>
          <w:tcPr>
            <w:tcW w:w="2116" w:type="dxa"/>
          </w:tcPr>
          <w:p w14:paraId="6DE100B9" w14:textId="386D0B9D" w:rsidR="00176B7D" w:rsidRPr="00176B7D" w:rsidRDefault="00176B7D" w:rsidP="00176B7D">
            <w:pPr>
              <w:pStyle w:val="NoSpacing"/>
              <w:widowControl/>
              <w:tabs>
                <w:tab w:val="left" w:pos="360"/>
              </w:tabs>
              <w:autoSpaceDE/>
              <w:autoSpaceDN/>
              <w:adjustRightInd/>
              <w:rPr>
                <w:rFonts w:asciiTheme="minorHAnsi" w:hAnsiTheme="minorHAnsi" w:cstheme="minorHAnsi"/>
                <w:sz w:val="20"/>
                <w:szCs w:val="20"/>
              </w:rPr>
            </w:pPr>
            <w:r w:rsidRPr="00176B7D">
              <w:rPr>
                <w:rFonts w:asciiTheme="minorHAnsi" w:hAnsiTheme="minorHAnsi" w:cstheme="minorHAnsi"/>
                <w:sz w:val="20"/>
                <w:szCs w:val="20"/>
              </w:rPr>
              <w:t>Cash deficit of electricity sector (not exceeding the specified value)</w:t>
            </w:r>
          </w:p>
        </w:tc>
        <w:tc>
          <w:tcPr>
            <w:tcW w:w="1340" w:type="dxa"/>
          </w:tcPr>
          <w:p w14:paraId="6D7F6211" w14:textId="7FB02E0A" w:rsidR="00176B7D" w:rsidRPr="00176B7D" w:rsidRDefault="00176B7D" w:rsidP="00176B7D">
            <w:pPr>
              <w:pStyle w:val="NoSpacing"/>
              <w:widowControl/>
              <w:tabs>
                <w:tab w:val="left" w:pos="360"/>
              </w:tabs>
              <w:autoSpaceDE/>
              <w:autoSpaceDN/>
              <w:adjustRightInd/>
              <w:rPr>
                <w:rFonts w:asciiTheme="minorHAnsi" w:hAnsiTheme="minorHAnsi" w:cstheme="minorHAnsi"/>
                <w:sz w:val="20"/>
                <w:szCs w:val="20"/>
              </w:rPr>
            </w:pPr>
            <w:r w:rsidRPr="00176B7D">
              <w:rPr>
                <w:rFonts w:asciiTheme="minorHAnsi" w:hAnsiTheme="minorHAnsi" w:cstheme="minorHAnsi"/>
                <w:color w:val="auto"/>
                <w:sz w:val="20"/>
                <w:szCs w:val="20"/>
              </w:rPr>
              <w:t>To be confirmed by the audit of 2019 annual financial statements</w:t>
            </w:r>
          </w:p>
        </w:tc>
        <w:tc>
          <w:tcPr>
            <w:tcW w:w="1450" w:type="dxa"/>
          </w:tcPr>
          <w:p w14:paraId="2A825EEC" w14:textId="7909A09D" w:rsidR="00176B7D" w:rsidRPr="00176B7D" w:rsidRDefault="00176B7D" w:rsidP="00176B7D">
            <w:pPr>
              <w:pStyle w:val="NoSpacing"/>
              <w:widowControl/>
              <w:tabs>
                <w:tab w:val="left" w:pos="360"/>
              </w:tabs>
              <w:autoSpaceDE/>
              <w:autoSpaceDN/>
              <w:adjustRightInd/>
              <w:rPr>
                <w:rFonts w:asciiTheme="minorHAnsi" w:hAnsiTheme="minorHAnsi" w:cstheme="minorHAnsi"/>
                <w:sz w:val="20"/>
                <w:szCs w:val="20"/>
              </w:rPr>
            </w:pPr>
            <w:r w:rsidRPr="00176B7D">
              <w:rPr>
                <w:rFonts w:asciiTheme="minorHAnsi" w:hAnsiTheme="minorHAnsi" w:cstheme="minorHAnsi"/>
                <w:sz w:val="20"/>
                <w:szCs w:val="20"/>
              </w:rPr>
              <w:t>To be confirmed by the auditor of 2021</w:t>
            </w:r>
            <w:r>
              <w:rPr>
                <w:rFonts w:asciiTheme="minorHAnsi" w:hAnsiTheme="minorHAnsi" w:cstheme="minorHAnsi"/>
                <w:sz w:val="20"/>
                <w:szCs w:val="20"/>
              </w:rPr>
              <w:t xml:space="preserve"> </w:t>
            </w:r>
            <w:r w:rsidRPr="00176B7D">
              <w:rPr>
                <w:rFonts w:asciiTheme="minorHAnsi" w:hAnsiTheme="minorHAnsi" w:cstheme="minorHAnsi"/>
                <w:sz w:val="20"/>
                <w:szCs w:val="20"/>
              </w:rPr>
              <w:t>annual financial statements of BT</w:t>
            </w:r>
          </w:p>
        </w:tc>
        <w:tc>
          <w:tcPr>
            <w:tcW w:w="1440" w:type="dxa"/>
          </w:tcPr>
          <w:p w14:paraId="464261E7" w14:textId="5B741FCD" w:rsidR="00176B7D" w:rsidRPr="00176B7D" w:rsidRDefault="00176B7D" w:rsidP="00176B7D">
            <w:pPr>
              <w:pStyle w:val="NoSpacing"/>
              <w:widowControl/>
              <w:tabs>
                <w:tab w:val="left" w:pos="360"/>
              </w:tabs>
              <w:autoSpaceDE/>
              <w:autoSpaceDN/>
              <w:adjustRightInd/>
              <w:rPr>
                <w:rFonts w:asciiTheme="minorHAnsi" w:hAnsiTheme="minorHAnsi" w:cstheme="minorHAnsi"/>
                <w:sz w:val="20"/>
                <w:szCs w:val="20"/>
              </w:rPr>
            </w:pPr>
            <w:r w:rsidRPr="00176B7D">
              <w:rPr>
                <w:rFonts w:asciiTheme="minorHAnsi" w:hAnsiTheme="minorHAnsi" w:cstheme="minorHAnsi"/>
                <w:sz w:val="20"/>
                <w:szCs w:val="20"/>
              </w:rPr>
              <w:t>TJS 19.5 billion</w:t>
            </w:r>
          </w:p>
        </w:tc>
        <w:tc>
          <w:tcPr>
            <w:tcW w:w="1530" w:type="dxa"/>
          </w:tcPr>
          <w:p w14:paraId="4B6220DB" w14:textId="38AEF159" w:rsidR="00176B7D" w:rsidRPr="00176B7D" w:rsidRDefault="00176B7D" w:rsidP="00176B7D">
            <w:pPr>
              <w:pStyle w:val="NoSpacing"/>
              <w:widowControl/>
              <w:tabs>
                <w:tab w:val="left" w:pos="360"/>
              </w:tabs>
              <w:autoSpaceDE/>
              <w:autoSpaceDN/>
              <w:adjustRightInd/>
              <w:rPr>
                <w:rFonts w:asciiTheme="minorHAnsi" w:hAnsiTheme="minorHAnsi" w:cstheme="minorHAnsi"/>
                <w:sz w:val="20"/>
                <w:szCs w:val="20"/>
              </w:rPr>
            </w:pPr>
            <w:r w:rsidRPr="00176B7D">
              <w:rPr>
                <w:rFonts w:asciiTheme="minorHAnsi" w:hAnsiTheme="minorHAnsi" w:cstheme="minorHAnsi"/>
                <w:sz w:val="20"/>
                <w:szCs w:val="20"/>
              </w:rPr>
              <w:t>Electricity sector does not have a cash deficit</w:t>
            </w:r>
          </w:p>
        </w:tc>
      </w:tr>
      <w:tr w:rsidR="00176B7D" w:rsidRPr="00176B7D" w14:paraId="674635CD" w14:textId="0E93446F" w:rsidTr="00A91311">
        <w:tc>
          <w:tcPr>
            <w:tcW w:w="2469" w:type="dxa"/>
          </w:tcPr>
          <w:p w14:paraId="6291964F" w14:textId="5916A0BA" w:rsidR="00176B7D" w:rsidRPr="00176B7D" w:rsidRDefault="00176B7D" w:rsidP="00176B7D">
            <w:pPr>
              <w:pStyle w:val="NoSpacing"/>
              <w:widowControl/>
              <w:tabs>
                <w:tab w:val="left" w:pos="360"/>
              </w:tabs>
              <w:autoSpaceDE/>
              <w:autoSpaceDN/>
              <w:adjustRightInd/>
              <w:rPr>
                <w:rFonts w:asciiTheme="minorHAnsi" w:hAnsiTheme="minorHAnsi" w:cstheme="minorHAnsi"/>
                <w:sz w:val="20"/>
                <w:szCs w:val="20"/>
              </w:rPr>
            </w:pPr>
            <w:r w:rsidRPr="00176B7D">
              <w:rPr>
                <w:rFonts w:asciiTheme="minorHAnsi" w:hAnsiTheme="minorHAnsi" w:cstheme="minorHAnsi"/>
                <w:b/>
                <w:sz w:val="20"/>
                <w:szCs w:val="20"/>
              </w:rPr>
              <w:t>Indicator 2:</w:t>
            </w:r>
            <w:r w:rsidRPr="00176B7D">
              <w:rPr>
                <w:rFonts w:asciiTheme="minorHAnsi" w:hAnsiTheme="minorHAnsi" w:cstheme="minorHAnsi"/>
                <w:sz w:val="20"/>
                <w:szCs w:val="20"/>
              </w:rPr>
              <w:t xml:space="preserve"> Adequate electricity supply received by BT from Sangtuda-1 power plant (GWh)</w:t>
            </w:r>
          </w:p>
        </w:tc>
        <w:tc>
          <w:tcPr>
            <w:tcW w:w="2116" w:type="dxa"/>
          </w:tcPr>
          <w:p w14:paraId="06402E8B" w14:textId="24616868" w:rsidR="00176B7D" w:rsidRPr="00176B7D" w:rsidRDefault="00176B7D" w:rsidP="00176B7D">
            <w:pPr>
              <w:pStyle w:val="ListParagraph"/>
              <w:widowControl/>
              <w:tabs>
                <w:tab w:val="left" w:pos="0"/>
              </w:tabs>
              <w:autoSpaceDE/>
              <w:autoSpaceDN/>
              <w:adjustRightInd/>
              <w:ind w:left="0"/>
              <w:contextualSpacing w:val="0"/>
              <w:rPr>
                <w:rFonts w:asciiTheme="minorHAnsi" w:hAnsiTheme="minorHAnsi" w:cstheme="minorHAnsi"/>
                <w:noProof/>
                <w:color w:val="000000" w:themeColor="text1"/>
                <w:sz w:val="20"/>
                <w:szCs w:val="20"/>
              </w:rPr>
            </w:pPr>
            <w:r w:rsidRPr="00176B7D">
              <w:rPr>
                <w:rFonts w:asciiTheme="minorHAnsi" w:hAnsiTheme="minorHAnsi" w:cstheme="minorHAnsi"/>
                <w:noProof/>
                <w:color w:val="000000" w:themeColor="text1"/>
                <w:sz w:val="20"/>
                <w:szCs w:val="20"/>
              </w:rPr>
              <w:t>No change</w:t>
            </w:r>
          </w:p>
        </w:tc>
        <w:tc>
          <w:tcPr>
            <w:tcW w:w="1340" w:type="dxa"/>
          </w:tcPr>
          <w:p w14:paraId="5E2408CC" w14:textId="39C44D9A" w:rsidR="00176B7D" w:rsidRPr="00176B7D" w:rsidRDefault="00176B7D" w:rsidP="00176B7D">
            <w:pPr>
              <w:pStyle w:val="ListParagraph"/>
              <w:widowControl/>
              <w:tabs>
                <w:tab w:val="left" w:pos="0"/>
              </w:tabs>
              <w:autoSpaceDE/>
              <w:autoSpaceDN/>
              <w:adjustRightInd/>
              <w:ind w:left="0"/>
              <w:contextualSpacing w:val="0"/>
              <w:rPr>
                <w:rFonts w:asciiTheme="minorHAnsi" w:hAnsiTheme="minorHAnsi" w:cstheme="minorHAnsi"/>
                <w:color w:val="auto"/>
                <w:sz w:val="20"/>
                <w:szCs w:val="20"/>
              </w:rPr>
            </w:pPr>
            <w:r w:rsidRPr="00176B7D">
              <w:rPr>
                <w:rFonts w:asciiTheme="minorHAnsi" w:hAnsiTheme="minorHAnsi" w:cstheme="minorHAnsi"/>
                <w:color w:val="auto"/>
                <w:sz w:val="20"/>
                <w:szCs w:val="20"/>
              </w:rPr>
              <w:t>At least 1,800 GWh/year</w:t>
            </w:r>
          </w:p>
        </w:tc>
        <w:tc>
          <w:tcPr>
            <w:tcW w:w="1450" w:type="dxa"/>
          </w:tcPr>
          <w:p w14:paraId="6381B9DE" w14:textId="1A70BB3D" w:rsidR="00176B7D" w:rsidRPr="00176B7D" w:rsidRDefault="00176B7D" w:rsidP="00176B7D">
            <w:pPr>
              <w:pStyle w:val="ListParagraph"/>
              <w:widowControl/>
              <w:tabs>
                <w:tab w:val="left" w:pos="0"/>
              </w:tabs>
              <w:autoSpaceDE/>
              <w:autoSpaceDN/>
              <w:adjustRightInd/>
              <w:ind w:left="0"/>
              <w:contextualSpacing w:val="0"/>
              <w:rPr>
                <w:rFonts w:asciiTheme="minorHAnsi" w:hAnsiTheme="minorHAnsi" w:cstheme="minorHAnsi"/>
                <w:color w:val="auto"/>
                <w:sz w:val="20"/>
                <w:szCs w:val="20"/>
              </w:rPr>
            </w:pPr>
            <w:r w:rsidRPr="00176B7D">
              <w:rPr>
                <w:rFonts w:asciiTheme="minorHAnsi" w:hAnsiTheme="minorHAnsi" w:cstheme="minorHAnsi"/>
                <w:color w:val="auto"/>
                <w:sz w:val="20"/>
                <w:szCs w:val="20"/>
              </w:rPr>
              <w:t>No change</w:t>
            </w:r>
          </w:p>
        </w:tc>
        <w:tc>
          <w:tcPr>
            <w:tcW w:w="1440" w:type="dxa"/>
          </w:tcPr>
          <w:p w14:paraId="11600D11" w14:textId="66804FC9" w:rsidR="00176B7D" w:rsidRPr="00176B7D" w:rsidRDefault="00176B7D" w:rsidP="00176B7D">
            <w:pPr>
              <w:pStyle w:val="ListParagraph"/>
              <w:widowControl/>
              <w:tabs>
                <w:tab w:val="left" w:pos="0"/>
              </w:tabs>
              <w:autoSpaceDE/>
              <w:autoSpaceDN/>
              <w:adjustRightInd/>
              <w:ind w:left="0"/>
              <w:contextualSpacing w:val="0"/>
              <w:rPr>
                <w:rFonts w:asciiTheme="minorHAnsi" w:hAnsiTheme="minorHAnsi" w:cstheme="minorHAnsi"/>
                <w:noProof/>
                <w:color w:val="000000" w:themeColor="text1"/>
                <w:sz w:val="20"/>
                <w:szCs w:val="20"/>
              </w:rPr>
            </w:pPr>
            <w:r w:rsidRPr="00176B7D">
              <w:rPr>
                <w:rFonts w:asciiTheme="minorHAnsi" w:hAnsiTheme="minorHAnsi" w:cstheme="minorHAnsi"/>
                <w:color w:val="auto"/>
                <w:sz w:val="20"/>
                <w:szCs w:val="20"/>
              </w:rPr>
              <w:t>At least 1,800 GWh/year</w:t>
            </w:r>
          </w:p>
        </w:tc>
        <w:tc>
          <w:tcPr>
            <w:tcW w:w="1530" w:type="dxa"/>
          </w:tcPr>
          <w:p w14:paraId="42B505C1" w14:textId="3E324230" w:rsidR="00176B7D" w:rsidRPr="00176B7D" w:rsidRDefault="00176B7D" w:rsidP="00176B7D">
            <w:pPr>
              <w:pStyle w:val="ListParagraph"/>
              <w:widowControl/>
              <w:tabs>
                <w:tab w:val="left" w:pos="0"/>
              </w:tabs>
              <w:autoSpaceDE/>
              <w:autoSpaceDN/>
              <w:adjustRightInd/>
              <w:ind w:left="0"/>
              <w:contextualSpacing w:val="0"/>
              <w:rPr>
                <w:rFonts w:asciiTheme="minorHAnsi" w:hAnsiTheme="minorHAnsi" w:cstheme="minorHAnsi"/>
                <w:noProof/>
                <w:color w:val="000000" w:themeColor="text1"/>
                <w:sz w:val="20"/>
                <w:szCs w:val="20"/>
              </w:rPr>
            </w:pPr>
            <w:r w:rsidRPr="00176B7D">
              <w:rPr>
                <w:rFonts w:asciiTheme="minorHAnsi" w:hAnsiTheme="minorHAnsi" w:cstheme="minorHAnsi"/>
                <w:noProof/>
                <w:color w:val="000000" w:themeColor="text1"/>
                <w:sz w:val="20"/>
                <w:szCs w:val="20"/>
              </w:rPr>
              <w:t>No change</w:t>
            </w:r>
          </w:p>
        </w:tc>
      </w:tr>
      <w:tr w:rsidR="00176B7D" w:rsidRPr="00176B7D" w14:paraId="13B3D35D" w14:textId="35AA9621" w:rsidTr="00A91311">
        <w:trPr>
          <w:trHeight w:val="1061"/>
        </w:trPr>
        <w:tc>
          <w:tcPr>
            <w:tcW w:w="2469" w:type="dxa"/>
          </w:tcPr>
          <w:p w14:paraId="0B8AF93B" w14:textId="6C91F6B2" w:rsidR="00176B7D" w:rsidRPr="00176B7D" w:rsidRDefault="00176B7D" w:rsidP="00176B7D">
            <w:pPr>
              <w:pStyle w:val="NoSpacing"/>
              <w:widowControl/>
              <w:tabs>
                <w:tab w:val="left" w:pos="360"/>
              </w:tabs>
              <w:autoSpaceDE/>
              <w:autoSpaceDN/>
              <w:adjustRightInd/>
              <w:rPr>
                <w:rFonts w:asciiTheme="minorHAnsi" w:hAnsiTheme="minorHAnsi" w:cstheme="minorHAnsi"/>
                <w:sz w:val="20"/>
                <w:szCs w:val="20"/>
              </w:rPr>
            </w:pPr>
            <w:r w:rsidRPr="00176B7D">
              <w:rPr>
                <w:rFonts w:asciiTheme="minorHAnsi" w:hAnsiTheme="minorHAnsi" w:cstheme="minorHAnsi"/>
                <w:b/>
                <w:sz w:val="20"/>
                <w:szCs w:val="20"/>
              </w:rPr>
              <w:t>Indicator 3:</w:t>
            </w:r>
            <w:r w:rsidRPr="00176B7D">
              <w:rPr>
                <w:rFonts w:asciiTheme="minorHAnsi" w:hAnsiTheme="minorHAnsi" w:cstheme="minorHAnsi"/>
                <w:sz w:val="20"/>
                <w:szCs w:val="20"/>
              </w:rPr>
              <w:t xml:space="preserve"> </w:t>
            </w:r>
            <w:r w:rsidRPr="00176B7D">
              <w:rPr>
                <w:rFonts w:asciiTheme="minorHAnsi" w:hAnsiTheme="minorHAnsi" w:cstheme="minorHAnsi"/>
                <w:color w:val="auto"/>
                <w:sz w:val="20"/>
                <w:szCs w:val="20"/>
              </w:rPr>
              <w:t>Reduction of equipment failures in electricity transmission and distribution networks of BT (Number of equipment failures)</w:t>
            </w:r>
          </w:p>
        </w:tc>
        <w:tc>
          <w:tcPr>
            <w:tcW w:w="2116" w:type="dxa"/>
          </w:tcPr>
          <w:p w14:paraId="6D87F44B" w14:textId="3AC36AE6" w:rsidR="00176B7D" w:rsidRPr="00176B7D" w:rsidRDefault="00176B7D" w:rsidP="00176B7D">
            <w:pPr>
              <w:pStyle w:val="ListParagraph"/>
              <w:widowControl/>
              <w:tabs>
                <w:tab w:val="left" w:pos="0"/>
              </w:tabs>
              <w:autoSpaceDE/>
              <w:autoSpaceDN/>
              <w:adjustRightInd/>
              <w:ind w:left="0"/>
              <w:contextualSpacing w:val="0"/>
              <w:rPr>
                <w:rFonts w:asciiTheme="minorHAnsi" w:hAnsiTheme="minorHAnsi" w:cstheme="minorHAnsi"/>
                <w:noProof/>
                <w:color w:val="000000" w:themeColor="text1"/>
                <w:sz w:val="20"/>
                <w:szCs w:val="20"/>
              </w:rPr>
            </w:pPr>
            <w:r w:rsidRPr="00176B7D">
              <w:rPr>
                <w:rFonts w:asciiTheme="minorHAnsi" w:hAnsiTheme="minorHAnsi" w:cstheme="minorHAnsi"/>
                <w:bCs/>
                <w:sz w:val="20"/>
                <w:szCs w:val="20"/>
              </w:rPr>
              <w:t>Reduction of equipment failures in electricity transmission and distribution networks of SIB and STB (Number of equipment failures)</w:t>
            </w:r>
          </w:p>
        </w:tc>
        <w:tc>
          <w:tcPr>
            <w:tcW w:w="1340" w:type="dxa"/>
          </w:tcPr>
          <w:p w14:paraId="6B781B81" w14:textId="04BD1A1C" w:rsidR="00176B7D" w:rsidRPr="00176B7D" w:rsidRDefault="00176B7D" w:rsidP="00176B7D">
            <w:pPr>
              <w:pStyle w:val="ListParagraph"/>
              <w:widowControl/>
              <w:tabs>
                <w:tab w:val="left" w:pos="0"/>
              </w:tabs>
              <w:autoSpaceDE/>
              <w:autoSpaceDN/>
              <w:adjustRightInd/>
              <w:ind w:left="0"/>
              <w:contextualSpacing w:val="0"/>
              <w:rPr>
                <w:rFonts w:asciiTheme="minorHAnsi" w:hAnsiTheme="minorHAnsi" w:cstheme="minorHAnsi"/>
                <w:bCs/>
                <w:sz w:val="20"/>
                <w:szCs w:val="20"/>
              </w:rPr>
            </w:pPr>
            <w:r w:rsidRPr="00176B7D">
              <w:rPr>
                <w:rFonts w:asciiTheme="minorHAnsi" w:hAnsiTheme="minorHAnsi" w:cstheme="minorHAnsi"/>
                <w:bCs/>
                <w:sz w:val="20"/>
                <w:szCs w:val="20"/>
              </w:rPr>
              <w:t>2,417</w:t>
            </w:r>
          </w:p>
        </w:tc>
        <w:tc>
          <w:tcPr>
            <w:tcW w:w="1450" w:type="dxa"/>
          </w:tcPr>
          <w:p w14:paraId="4519422A" w14:textId="53DADD0D" w:rsidR="00176B7D" w:rsidRPr="00176B7D" w:rsidRDefault="00176B7D" w:rsidP="00176B7D">
            <w:pPr>
              <w:pStyle w:val="ListParagraph"/>
              <w:widowControl/>
              <w:tabs>
                <w:tab w:val="left" w:pos="0"/>
              </w:tabs>
              <w:autoSpaceDE/>
              <w:autoSpaceDN/>
              <w:adjustRightInd/>
              <w:ind w:left="0"/>
              <w:contextualSpacing w:val="0"/>
              <w:rPr>
                <w:rFonts w:asciiTheme="minorHAnsi" w:hAnsiTheme="minorHAnsi" w:cstheme="minorHAnsi"/>
                <w:bCs/>
                <w:sz w:val="20"/>
                <w:szCs w:val="20"/>
              </w:rPr>
            </w:pPr>
            <w:r w:rsidRPr="00176B7D">
              <w:rPr>
                <w:rFonts w:asciiTheme="minorHAnsi" w:hAnsiTheme="minorHAnsi" w:cstheme="minorHAnsi"/>
                <w:bCs/>
                <w:sz w:val="20"/>
                <w:szCs w:val="20"/>
              </w:rPr>
              <w:t>No change</w:t>
            </w:r>
          </w:p>
        </w:tc>
        <w:tc>
          <w:tcPr>
            <w:tcW w:w="1440" w:type="dxa"/>
          </w:tcPr>
          <w:p w14:paraId="74746BAE" w14:textId="02C4706A" w:rsidR="00176B7D" w:rsidRPr="00176B7D" w:rsidRDefault="00176B7D" w:rsidP="00176B7D">
            <w:pPr>
              <w:pStyle w:val="ListParagraph"/>
              <w:widowControl/>
              <w:tabs>
                <w:tab w:val="left" w:pos="0"/>
              </w:tabs>
              <w:autoSpaceDE/>
              <w:autoSpaceDN/>
              <w:adjustRightInd/>
              <w:ind w:left="0"/>
              <w:contextualSpacing w:val="0"/>
              <w:rPr>
                <w:rFonts w:asciiTheme="minorHAnsi" w:hAnsiTheme="minorHAnsi" w:cstheme="minorHAnsi"/>
                <w:bCs/>
                <w:sz w:val="20"/>
                <w:szCs w:val="20"/>
              </w:rPr>
            </w:pPr>
            <w:r w:rsidRPr="00176B7D">
              <w:rPr>
                <w:rFonts w:asciiTheme="minorHAnsi" w:hAnsiTheme="minorHAnsi" w:cstheme="minorHAnsi"/>
                <w:bCs/>
                <w:sz w:val="20"/>
                <w:szCs w:val="20"/>
              </w:rPr>
              <w:t>1,400</w:t>
            </w:r>
          </w:p>
        </w:tc>
        <w:tc>
          <w:tcPr>
            <w:tcW w:w="1530" w:type="dxa"/>
          </w:tcPr>
          <w:p w14:paraId="6C4E41BC" w14:textId="7E183951" w:rsidR="00176B7D" w:rsidRPr="00176B7D" w:rsidRDefault="00176B7D" w:rsidP="00176B7D">
            <w:pPr>
              <w:pStyle w:val="ListParagraph"/>
              <w:widowControl/>
              <w:tabs>
                <w:tab w:val="left" w:pos="0"/>
              </w:tabs>
              <w:autoSpaceDE/>
              <w:autoSpaceDN/>
              <w:adjustRightInd/>
              <w:ind w:left="0"/>
              <w:contextualSpacing w:val="0"/>
              <w:rPr>
                <w:rFonts w:asciiTheme="minorHAnsi" w:hAnsiTheme="minorHAnsi" w:cstheme="minorHAnsi"/>
                <w:bCs/>
                <w:sz w:val="20"/>
                <w:szCs w:val="20"/>
              </w:rPr>
            </w:pPr>
            <w:r w:rsidRPr="00176B7D">
              <w:rPr>
                <w:rFonts w:asciiTheme="minorHAnsi" w:hAnsiTheme="minorHAnsi" w:cstheme="minorHAnsi"/>
                <w:bCs/>
                <w:sz w:val="20"/>
                <w:szCs w:val="20"/>
              </w:rPr>
              <w:t>No change</w:t>
            </w:r>
          </w:p>
        </w:tc>
      </w:tr>
      <w:tr w:rsidR="00176B7D" w:rsidRPr="00176B7D" w14:paraId="3BDCD2D8" w14:textId="113CA9A8" w:rsidTr="00A91311">
        <w:tc>
          <w:tcPr>
            <w:tcW w:w="2469" w:type="dxa"/>
          </w:tcPr>
          <w:p w14:paraId="4AE0667E" w14:textId="252DA84B" w:rsidR="00176B7D" w:rsidRPr="00176B7D" w:rsidRDefault="00176B7D" w:rsidP="00176B7D">
            <w:pPr>
              <w:pStyle w:val="NoSpacing"/>
              <w:widowControl/>
              <w:tabs>
                <w:tab w:val="left" w:pos="360"/>
              </w:tabs>
              <w:autoSpaceDE/>
              <w:autoSpaceDN/>
              <w:adjustRightInd/>
              <w:rPr>
                <w:rFonts w:asciiTheme="minorHAnsi" w:hAnsiTheme="minorHAnsi" w:cstheme="minorHAnsi"/>
                <w:sz w:val="20"/>
                <w:szCs w:val="20"/>
              </w:rPr>
            </w:pPr>
            <w:r w:rsidRPr="00176B7D">
              <w:rPr>
                <w:rFonts w:asciiTheme="minorHAnsi" w:hAnsiTheme="minorHAnsi" w:cstheme="minorHAnsi"/>
                <w:b/>
                <w:sz w:val="20"/>
                <w:szCs w:val="20"/>
              </w:rPr>
              <w:t>Indicator 4:</w:t>
            </w:r>
            <w:r w:rsidRPr="00176B7D">
              <w:rPr>
                <w:rFonts w:asciiTheme="minorHAnsi" w:hAnsiTheme="minorHAnsi" w:cstheme="minorHAnsi"/>
                <w:sz w:val="20"/>
                <w:szCs w:val="20"/>
              </w:rPr>
              <w:t xml:space="preserve"> Use of technically, economically, and financially sound principles for the Recipient’s investment decision-making in electricity generation, transmission, and distribution</w:t>
            </w:r>
            <w:r w:rsidRPr="00176B7D">
              <w:rPr>
                <w:rFonts w:asciiTheme="minorHAnsi" w:hAnsiTheme="minorHAnsi" w:cstheme="minorHAnsi"/>
                <w:color w:val="auto"/>
                <w:sz w:val="20"/>
                <w:szCs w:val="20"/>
              </w:rPr>
              <w:t xml:space="preserve"> (Yes/No)</w:t>
            </w:r>
          </w:p>
        </w:tc>
        <w:tc>
          <w:tcPr>
            <w:tcW w:w="2116" w:type="dxa"/>
          </w:tcPr>
          <w:p w14:paraId="1DC8CFE9" w14:textId="51429906" w:rsidR="00176B7D" w:rsidRPr="00176B7D" w:rsidRDefault="00176B7D" w:rsidP="00176B7D">
            <w:pPr>
              <w:pStyle w:val="ListParagraph"/>
              <w:widowControl/>
              <w:tabs>
                <w:tab w:val="left" w:pos="0"/>
              </w:tabs>
              <w:autoSpaceDE/>
              <w:autoSpaceDN/>
              <w:adjustRightInd/>
              <w:ind w:left="0"/>
              <w:contextualSpacing w:val="0"/>
              <w:rPr>
                <w:rFonts w:asciiTheme="minorHAnsi" w:hAnsiTheme="minorHAnsi" w:cstheme="minorHAnsi"/>
                <w:noProof/>
                <w:color w:val="000000" w:themeColor="text1"/>
                <w:sz w:val="20"/>
                <w:szCs w:val="20"/>
              </w:rPr>
            </w:pPr>
            <w:r w:rsidRPr="00176B7D">
              <w:rPr>
                <w:rFonts w:asciiTheme="minorHAnsi" w:hAnsiTheme="minorHAnsi" w:cstheme="minorHAnsi"/>
                <w:noProof/>
                <w:color w:val="000000" w:themeColor="text1"/>
                <w:sz w:val="20"/>
                <w:szCs w:val="20"/>
              </w:rPr>
              <w:t>No change</w:t>
            </w:r>
          </w:p>
        </w:tc>
        <w:tc>
          <w:tcPr>
            <w:tcW w:w="1340" w:type="dxa"/>
          </w:tcPr>
          <w:p w14:paraId="70334556" w14:textId="75822269" w:rsidR="00176B7D" w:rsidRPr="00176B7D" w:rsidRDefault="00176B7D" w:rsidP="00176B7D">
            <w:pPr>
              <w:pStyle w:val="ListParagraph"/>
              <w:widowControl/>
              <w:tabs>
                <w:tab w:val="left" w:pos="0"/>
              </w:tabs>
              <w:autoSpaceDE/>
              <w:autoSpaceDN/>
              <w:adjustRightInd/>
              <w:ind w:left="0"/>
              <w:contextualSpacing w:val="0"/>
              <w:rPr>
                <w:rFonts w:asciiTheme="minorHAnsi" w:hAnsiTheme="minorHAnsi" w:cstheme="minorHAnsi"/>
                <w:color w:val="auto"/>
                <w:sz w:val="20"/>
                <w:szCs w:val="20"/>
              </w:rPr>
            </w:pPr>
            <w:r w:rsidRPr="00176B7D">
              <w:rPr>
                <w:rFonts w:asciiTheme="minorHAnsi" w:hAnsiTheme="minorHAnsi" w:cstheme="minorHAnsi"/>
                <w:color w:val="auto"/>
                <w:sz w:val="20"/>
                <w:szCs w:val="20"/>
              </w:rPr>
              <w:t>No</w:t>
            </w:r>
          </w:p>
        </w:tc>
        <w:tc>
          <w:tcPr>
            <w:tcW w:w="1450" w:type="dxa"/>
          </w:tcPr>
          <w:p w14:paraId="6A548A4F" w14:textId="664A7FD5" w:rsidR="00176B7D" w:rsidRPr="00176B7D" w:rsidRDefault="00176B7D" w:rsidP="00176B7D">
            <w:pPr>
              <w:pStyle w:val="ListParagraph"/>
              <w:widowControl/>
              <w:tabs>
                <w:tab w:val="left" w:pos="0"/>
              </w:tabs>
              <w:autoSpaceDE/>
              <w:autoSpaceDN/>
              <w:adjustRightInd/>
              <w:ind w:left="0"/>
              <w:contextualSpacing w:val="0"/>
              <w:rPr>
                <w:rFonts w:asciiTheme="minorHAnsi" w:hAnsiTheme="minorHAnsi" w:cstheme="minorHAnsi"/>
                <w:color w:val="auto"/>
                <w:sz w:val="20"/>
                <w:szCs w:val="20"/>
              </w:rPr>
            </w:pPr>
            <w:r w:rsidRPr="00176B7D">
              <w:rPr>
                <w:rFonts w:asciiTheme="minorHAnsi" w:hAnsiTheme="minorHAnsi" w:cstheme="minorHAnsi"/>
                <w:color w:val="auto"/>
                <w:sz w:val="20"/>
                <w:szCs w:val="20"/>
              </w:rPr>
              <w:t>No change</w:t>
            </w:r>
          </w:p>
        </w:tc>
        <w:tc>
          <w:tcPr>
            <w:tcW w:w="1440" w:type="dxa"/>
          </w:tcPr>
          <w:p w14:paraId="7D39D63C" w14:textId="089C6E03" w:rsidR="00176B7D" w:rsidRPr="00176B7D" w:rsidRDefault="00176B7D" w:rsidP="00176B7D">
            <w:pPr>
              <w:pStyle w:val="ListParagraph"/>
              <w:widowControl/>
              <w:tabs>
                <w:tab w:val="left" w:pos="0"/>
              </w:tabs>
              <w:autoSpaceDE/>
              <w:autoSpaceDN/>
              <w:adjustRightInd/>
              <w:ind w:left="0"/>
              <w:contextualSpacing w:val="0"/>
              <w:rPr>
                <w:rFonts w:asciiTheme="minorHAnsi" w:hAnsiTheme="minorHAnsi" w:cstheme="minorHAnsi"/>
                <w:noProof/>
                <w:color w:val="000000" w:themeColor="text1"/>
                <w:sz w:val="20"/>
                <w:szCs w:val="20"/>
              </w:rPr>
            </w:pPr>
            <w:r w:rsidRPr="00176B7D">
              <w:rPr>
                <w:rFonts w:asciiTheme="minorHAnsi" w:hAnsiTheme="minorHAnsi" w:cstheme="minorHAnsi"/>
                <w:noProof/>
                <w:color w:val="000000" w:themeColor="text1"/>
                <w:sz w:val="20"/>
                <w:szCs w:val="20"/>
              </w:rPr>
              <w:t>Yes</w:t>
            </w:r>
          </w:p>
        </w:tc>
        <w:tc>
          <w:tcPr>
            <w:tcW w:w="1530" w:type="dxa"/>
          </w:tcPr>
          <w:p w14:paraId="5F455C49" w14:textId="085FEDCE" w:rsidR="00176B7D" w:rsidRPr="00176B7D" w:rsidRDefault="00176B7D" w:rsidP="00176B7D">
            <w:pPr>
              <w:pStyle w:val="ListParagraph"/>
              <w:widowControl/>
              <w:tabs>
                <w:tab w:val="left" w:pos="0"/>
              </w:tabs>
              <w:autoSpaceDE/>
              <w:autoSpaceDN/>
              <w:adjustRightInd/>
              <w:ind w:left="0"/>
              <w:contextualSpacing w:val="0"/>
              <w:rPr>
                <w:rFonts w:asciiTheme="minorHAnsi" w:hAnsiTheme="minorHAnsi" w:cstheme="minorHAnsi"/>
                <w:noProof/>
                <w:color w:val="000000" w:themeColor="text1"/>
                <w:sz w:val="20"/>
                <w:szCs w:val="20"/>
              </w:rPr>
            </w:pPr>
            <w:r w:rsidRPr="00176B7D">
              <w:rPr>
                <w:rFonts w:asciiTheme="minorHAnsi" w:hAnsiTheme="minorHAnsi" w:cstheme="minorHAnsi"/>
                <w:noProof/>
                <w:color w:val="000000" w:themeColor="text1"/>
                <w:sz w:val="20"/>
                <w:szCs w:val="20"/>
              </w:rPr>
              <w:t>No change</w:t>
            </w:r>
          </w:p>
        </w:tc>
      </w:tr>
      <w:tr w:rsidR="00176B7D" w:rsidRPr="009C7875" w14:paraId="7477CE4F" w14:textId="77777777" w:rsidTr="00A91311">
        <w:tc>
          <w:tcPr>
            <w:tcW w:w="10345" w:type="dxa"/>
            <w:gridSpan w:val="6"/>
            <w:shd w:val="clear" w:color="auto" w:fill="D9D9D9" w:themeFill="background1" w:themeFillShade="D9"/>
          </w:tcPr>
          <w:p w14:paraId="7120054A" w14:textId="484AF78D" w:rsidR="00176B7D" w:rsidRDefault="00176B7D" w:rsidP="00176B7D">
            <w:pPr>
              <w:pStyle w:val="ListParagraph"/>
              <w:widowControl/>
              <w:tabs>
                <w:tab w:val="left" w:pos="0"/>
              </w:tabs>
              <w:autoSpaceDE/>
              <w:autoSpaceDN/>
              <w:adjustRightInd/>
              <w:ind w:left="0"/>
              <w:contextualSpacing w:val="0"/>
              <w:rPr>
                <w:rFonts w:asciiTheme="minorHAnsi" w:hAnsiTheme="minorHAnsi" w:cstheme="minorHAnsi"/>
                <w:noProof/>
                <w:color w:val="000000" w:themeColor="text1"/>
                <w:sz w:val="20"/>
                <w:szCs w:val="20"/>
              </w:rPr>
            </w:pPr>
            <w:r>
              <w:rPr>
                <w:rFonts w:asciiTheme="minorHAnsi" w:hAnsiTheme="minorHAnsi" w:cstheme="minorHAnsi"/>
                <w:b/>
                <w:sz w:val="20"/>
                <w:szCs w:val="20"/>
              </w:rPr>
              <w:t>Intermediate Results Indicators</w:t>
            </w:r>
          </w:p>
        </w:tc>
      </w:tr>
      <w:tr w:rsidR="00176B7D" w:rsidRPr="009C7875" w14:paraId="6C124086" w14:textId="77777777" w:rsidTr="00A91311">
        <w:tc>
          <w:tcPr>
            <w:tcW w:w="2469" w:type="dxa"/>
          </w:tcPr>
          <w:p w14:paraId="2E5A36A4" w14:textId="050FDCA7" w:rsidR="00176B7D" w:rsidRDefault="00176B7D" w:rsidP="00176B7D">
            <w:pPr>
              <w:pStyle w:val="NoSpacing"/>
              <w:widowControl/>
              <w:tabs>
                <w:tab w:val="left" w:pos="360"/>
              </w:tabs>
              <w:autoSpaceDE/>
              <w:autoSpaceDN/>
              <w:adjustRightInd/>
              <w:rPr>
                <w:rFonts w:asciiTheme="minorHAnsi" w:hAnsiTheme="minorHAnsi" w:cstheme="minorHAnsi"/>
                <w:b/>
                <w:sz w:val="20"/>
                <w:szCs w:val="20"/>
              </w:rPr>
            </w:pPr>
            <w:r w:rsidRPr="00395A47">
              <w:rPr>
                <w:rFonts w:ascii="Calibri" w:eastAsia="Times New Roman" w:hAnsi="Calibri" w:cs="Calibri"/>
                <w:color w:val="auto"/>
                <w:sz w:val="20"/>
                <w:szCs w:val="18"/>
              </w:rPr>
              <w:t xml:space="preserve">Improvement of BT’s collection rate for billed electricity in the cities of </w:t>
            </w:r>
            <w:proofErr w:type="spellStart"/>
            <w:r w:rsidRPr="00395A47">
              <w:rPr>
                <w:rFonts w:ascii="Calibri" w:eastAsia="Times New Roman" w:hAnsi="Calibri" w:cs="Calibri"/>
                <w:color w:val="auto"/>
                <w:sz w:val="20"/>
                <w:szCs w:val="18"/>
              </w:rPr>
              <w:t>Istaravshan</w:t>
            </w:r>
            <w:proofErr w:type="spellEnd"/>
            <w:r w:rsidRPr="00395A47">
              <w:rPr>
                <w:rFonts w:ascii="Calibri" w:eastAsia="Times New Roman" w:hAnsi="Calibri" w:cs="Calibri"/>
                <w:color w:val="auto"/>
                <w:sz w:val="20"/>
                <w:szCs w:val="18"/>
              </w:rPr>
              <w:t xml:space="preserve">, Isfara, and </w:t>
            </w:r>
            <w:proofErr w:type="spellStart"/>
            <w:r w:rsidRPr="00395A47">
              <w:rPr>
                <w:rFonts w:ascii="Calibri" w:eastAsia="Times New Roman" w:hAnsi="Calibri" w:cs="Calibri"/>
                <w:color w:val="auto"/>
                <w:sz w:val="20"/>
                <w:szCs w:val="18"/>
              </w:rPr>
              <w:t>Konibodom</w:t>
            </w:r>
            <w:proofErr w:type="spellEnd"/>
          </w:p>
        </w:tc>
        <w:tc>
          <w:tcPr>
            <w:tcW w:w="2116" w:type="dxa"/>
          </w:tcPr>
          <w:p w14:paraId="55EF06EC" w14:textId="1A40DBFA" w:rsidR="00176B7D" w:rsidRPr="009C7875" w:rsidRDefault="007C6AC8" w:rsidP="00176B7D">
            <w:pPr>
              <w:pStyle w:val="ListParagraph"/>
              <w:widowControl/>
              <w:tabs>
                <w:tab w:val="left" w:pos="0"/>
              </w:tabs>
              <w:autoSpaceDE/>
              <w:autoSpaceDN/>
              <w:adjustRightInd/>
              <w:ind w:left="0"/>
              <w:contextualSpacing w:val="0"/>
              <w:rPr>
                <w:rFonts w:asciiTheme="minorHAnsi" w:hAnsiTheme="minorHAnsi" w:cstheme="minorHAnsi"/>
                <w:noProof/>
                <w:color w:val="000000" w:themeColor="text1"/>
                <w:sz w:val="20"/>
                <w:szCs w:val="20"/>
              </w:rPr>
            </w:pPr>
            <w:r>
              <w:rPr>
                <w:rFonts w:asciiTheme="minorHAnsi" w:hAnsiTheme="minorHAnsi" w:cstheme="minorHAnsi"/>
                <w:noProof/>
                <w:color w:val="000000" w:themeColor="text1"/>
                <w:sz w:val="20"/>
                <w:szCs w:val="20"/>
              </w:rPr>
              <w:t>This intermediate result indicator is proposed</w:t>
            </w:r>
            <w:r w:rsidR="00176B7D">
              <w:rPr>
                <w:rFonts w:asciiTheme="minorHAnsi" w:hAnsiTheme="minorHAnsi" w:cstheme="minorHAnsi"/>
                <w:noProof/>
                <w:color w:val="000000" w:themeColor="text1"/>
                <w:sz w:val="20"/>
                <w:szCs w:val="20"/>
              </w:rPr>
              <w:t xml:space="preserve"> for deletion given that this is no longer suppported under the Program</w:t>
            </w:r>
          </w:p>
        </w:tc>
        <w:tc>
          <w:tcPr>
            <w:tcW w:w="1340" w:type="dxa"/>
          </w:tcPr>
          <w:p w14:paraId="2F3D5B97" w14:textId="69A0BDCC" w:rsidR="00176B7D" w:rsidRDefault="007C6AC8" w:rsidP="00176B7D">
            <w:pPr>
              <w:pStyle w:val="ListParagraph"/>
              <w:widowControl/>
              <w:tabs>
                <w:tab w:val="left" w:pos="0"/>
              </w:tabs>
              <w:autoSpaceDE/>
              <w:autoSpaceDN/>
              <w:adjustRightInd/>
              <w:ind w:left="0"/>
              <w:contextualSpacing w:val="0"/>
              <w:rPr>
                <w:rFonts w:asciiTheme="minorHAnsi" w:hAnsiTheme="minorHAnsi" w:cstheme="minorHAnsi"/>
                <w:color w:val="auto"/>
                <w:sz w:val="20"/>
                <w:szCs w:val="22"/>
              </w:rPr>
            </w:pPr>
            <w:r>
              <w:rPr>
                <w:rFonts w:asciiTheme="minorHAnsi" w:hAnsiTheme="minorHAnsi" w:cstheme="minorHAnsi"/>
                <w:color w:val="auto"/>
                <w:sz w:val="20"/>
                <w:szCs w:val="22"/>
              </w:rPr>
              <w:t>-</w:t>
            </w:r>
          </w:p>
        </w:tc>
        <w:tc>
          <w:tcPr>
            <w:tcW w:w="1450" w:type="dxa"/>
          </w:tcPr>
          <w:p w14:paraId="111FEC8A" w14:textId="39186D44" w:rsidR="00176B7D" w:rsidRDefault="00176B7D" w:rsidP="00176B7D">
            <w:pPr>
              <w:pStyle w:val="ListParagraph"/>
              <w:widowControl/>
              <w:tabs>
                <w:tab w:val="left" w:pos="0"/>
              </w:tabs>
              <w:autoSpaceDE/>
              <w:autoSpaceDN/>
              <w:adjustRightInd/>
              <w:ind w:left="0"/>
              <w:contextualSpacing w:val="0"/>
              <w:rPr>
                <w:rFonts w:asciiTheme="minorHAnsi" w:hAnsiTheme="minorHAnsi" w:cstheme="minorHAnsi"/>
                <w:color w:val="auto"/>
                <w:sz w:val="20"/>
                <w:szCs w:val="22"/>
              </w:rPr>
            </w:pPr>
            <w:r>
              <w:rPr>
                <w:rFonts w:asciiTheme="minorHAnsi" w:hAnsiTheme="minorHAnsi" w:cstheme="minorHAnsi"/>
                <w:color w:val="auto"/>
                <w:sz w:val="20"/>
                <w:szCs w:val="22"/>
              </w:rPr>
              <w:t>-</w:t>
            </w:r>
          </w:p>
        </w:tc>
        <w:tc>
          <w:tcPr>
            <w:tcW w:w="1440" w:type="dxa"/>
          </w:tcPr>
          <w:p w14:paraId="4DE9614D" w14:textId="33DD7D50" w:rsidR="00176B7D" w:rsidRDefault="007C6AC8" w:rsidP="00176B7D">
            <w:pPr>
              <w:pStyle w:val="ListParagraph"/>
              <w:widowControl/>
              <w:tabs>
                <w:tab w:val="left" w:pos="0"/>
              </w:tabs>
              <w:autoSpaceDE/>
              <w:autoSpaceDN/>
              <w:adjustRightInd/>
              <w:ind w:left="0"/>
              <w:contextualSpacing w:val="0"/>
              <w:rPr>
                <w:rFonts w:asciiTheme="minorHAnsi" w:hAnsiTheme="minorHAnsi" w:cstheme="minorHAnsi"/>
                <w:color w:val="auto"/>
                <w:sz w:val="20"/>
                <w:szCs w:val="22"/>
              </w:rPr>
            </w:pPr>
            <w:r>
              <w:rPr>
                <w:rFonts w:asciiTheme="minorHAnsi" w:hAnsiTheme="minorHAnsi" w:cstheme="minorHAnsi"/>
                <w:color w:val="auto"/>
                <w:sz w:val="20"/>
                <w:szCs w:val="22"/>
              </w:rPr>
              <w:t>-</w:t>
            </w:r>
          </w:p>
        </w:tc>
        <w:tc>
          <w:tcPr>
            <w:tcW w:w="1530" w:type="dxa"/>
          </w:tcPr>
          <w:p w14:paraId="0D46B173" w14:textId="4AFB6F2D" w:rsidR="00176B7D" w:rsidRDefault="00176B7D" w:rsidP="00176B7D">
            <w:pPr>
              <w:pStyle w:val="ListParagraph"/>
              <w:widowControl/>
              <w:tabs>
                <w:tab w:val="left" w:pos="0"/>
              </w:tabs>
              <w:autoSpaceDE/>
              <w:autoSpaceDN/>
              <w:adjustRightInd/>
              <w:ind w:left="0"/>
              <w:contextualSpacing w:val="0"/>
              <w:rPr>
                <w:rFonts w:asciiTheme="minorHAnsi" w:hAnsiTheme="minorHAnsi" w:cstheme="minorHAnsi"/>
                <w:noProof/>
                <w:color w:val="000000" w:themeColor="text1"/>
                <w:sz w:val="20"/>
                <w:szCs w:val="20"/>
              </w:rPr>
            </w:pPr>
            <w:r>
              <w:rPr>
                <w:rFonts w:asciiTheme="minorHAnsi" w:hAnsiTheme="minorHAnsi" w:cstheme="minorHAnsi"/>
                <w:noProof/>
                <w:color w:val="000000" w:themeColor="text1"/>
                <w:sz w:val="20"/>
                <w:szCs w:val="20"/>
              </w:rPr>
              <w:t>-</w:t>
            </w:r>
          </w:p>
        </w:tc>
      </w:tr>
      <w:tr w:rsidR="00176B7D" w:rsidRPr="00FD6DA6" w14:paraId="5F20F769" w14:textId="77777777" w:rsidTr="00A91311">
        <w:tc>
          <w:tcPr>
            <w:tcW w:w="2469" w:type="dxa"/>
          </w:tcPr>
          <w:p w14:paraId="0E7E0682" w14:textId="2F37F0D1" w:rsidR="00176B7D" w:rsidRPr="00FD6DA6" w:rsidRDefault="00176B7D" w:rsidP="00176B7D">
            <w:pPr>
              <w:pStyle w:val="NoSpacing"/>
              <w:widowControl/>
              <w:tabs>
                <w:tab w:val="left" w:pos="360"/>
              </w:tabs>
              <w:autoSpaceDE/>
              <w:autoSpaceDN/>
              <w:adjustRightInd/>
              <w:rPr>
                <w:rFonts w:asciiTheme="minorHAnsi" w:hAnsiTheme="minorHAnsi" w:cstheme="minorHAnsi"/>
                <w:sz w:val="20"/>
                <w:szCs w:val="20"/>
              </w:rPr>
            </w:pPr>
            <w:r w:rsidRPr="00AA6DF1">
              <w:rPr>
                <w:rFonts w:asciiTheme="minorHAnsi" w:eastAsia="Times New Roman" w:hAnsiTheme="minorHAnsi" w:cstheme="minorHAnsi"/>
                <w:sz w:val="20"/>
                <w:szCs w:val="18"/>
              </w:rPr>
              <w:t>BT</w:t>
            </w:r>
            <w:r>
              <w:rPr>
                <w:rFonts w:asciiTheme="minorHAnsi" w:eastAsia="Times New Roman" w:hAnsiTheme="minorHAnsi" w:cstheme="minorHAnsi"/>
                <w:sz w:val="20"/>
                <w:szCs w:val="18"/>
              </w:rPr>
              <w:t xml:space="preserve"> generation</w:t>
            </w:r>
            <w:r w:rsidRPr="00AA6DF1">
              <w:rPr>
                <w:rFonts w:asciiTheme="minorHAnsi" w:eastAsia="Times New Roman" w:hAnsiTheme="minorHAnsi" w:cstheme="minorHAnsi"/>
                <w:sz w:val="20"/>
                <w:szCs w:val="18"/>
              </w:rPr>
              <w:t>, transmission, and distribution companies have functional Supervisory Boards and the specialized committees</w:t>
            </w:r>
          </w:p>
        </w:tc>
        <w:tc>
          <w:tcPr>
            <w:tcW w:w="2116" w:type="dxa"/>
          </w:tcPr>
          <w:p w14:paraId="13CC634D" w14:textId="69A37D7E" w:rsidR="00176B7D" w:rsidRPr="00FD6DA6" w:rsidRDefault="00176B7D" w:rsidP="00176B7D">
            <w:pPr>
              <w:pStyle w:val="ListParagraph"/>
              <w:widowControl/>
              <w:tabs>
                <w:tab w:val="left" w:pos="0"/>
              </w:tabs>
              <w:autoSpaceDE/>
              <w:autoSpaceDN/>
              <w:adjustRightInd/>
              <w:ind w:left="0"/>
              <w:contextualSpacing w:val="0"/>
              <w:rPr>
                <w:rFonts w:asciiTheme="minorHAnsi" w:hAnsiTheme="minorHAnsi" w:cstheme="minorHAnsi"/>
                <w:noProof/>
                <w:color w:val="000000" w:themeColor="text1"/>
                <w:sz w:val="20"/>
                <w:szCs w:val="20"/>
              </w:rPr>
            </w:pPr>
            <w:r>
              <w:rPr>
                <w:rFonts w:asciiTheme="minorHAnsi" w:eastAsia="Times New Roman" w:hAnsiTheme="minorHAnsi" w:cstheme="minorHAnsi"/>
                <w:sz w:val="20"/>
                <w:szCs w:val="18"/>
              </w:rPr>
              <w:t>BT, SIB, and STB</w:t>
            </w:r>
            <w:r w:rsidRPr="00AA6DF1">
              <w:rPr>
                <w:rFonts w:asciiTheme="minorHAnsi" w:eastAsia="Times New Roman" w:hAnsiTheme="minorHAnsi" w:cstheme="minorHAnsi"/>
                <w:sz w:val="20"/>
                <w:szCs w:val="18"/>
              </w:rPr>
              <w:t xml:space="preserve"> have functional Supervisory Boards and the specialized committees</w:t>
            </w:r>
          </w:p>
        </w:tc>
        <w:tc>
          <w:tcPr>
            <w:tcW w:w="1340" w:type="dxa"/>
          </w:tcPr>
          <w:p w14:paraId="230A2BAF" w14:textId="1B6B17A0" w:rsidR="00176B7D" w:rsidRDefault="007C6AC8" w:rsidP="00176B7D">
            <w:pPr>
              <w:pStyle w:val="ListParagraph"/>
              <w:widowControl/>
              <w:tabs>
                <w:tab w:val="left" w:pos="0"/>
              </w:tabs>
              <w:autoSpaceDE/>
              <w:autoSpaceDN/>
              <w:adjustRightInd/>
              <w:ind w:left="0"/>
              <w:contextualSpacing w:val="0"/>
              <w:rPr>
                <w:rFonts w:asciiTheme="minorHAnsi" w:hAnsiTheme="minorHAnsi" w:cstheme="minorHAnsi"/>
                <w:color w:val="auto"/>
                <w:sz w:val="20"/>
                <w:szCs w:val="20"/>
              </w:rPr>
            </w:pPr>
            <w:r>
              <w:rPr>
                <w:rFonts w:asciiTheme="minorHAnsi" w:hAnsiTheme="minorHAnsi" w:cstheme="minorHAnsi"/>
                <w:color w:val="auto"/>
                <w:sz w:val="20"/>
                <w:szCs w:val="20"/>
              </w:rPr>
              <w:t>No</w:t>
            </w:r>
          </w:p>
        </w:tc>
        <w:tc>
          <w:tcPr>
            <w:tcW w:w="1450" w:type="dxa"/>
          </w:tcPr>
          <w:p w14:paraId="583AA094" w14:textId="7AA67767" w:rsidR="00176B7D" w:rsidRDefault="00176B7D" w:rsidP="00176B7D">
            <w:pPr>
              <w:pStyle w:val="ListParagraph"/>
              <w:widowControl/>
              <w:tabs>
                <w:tab w:val="left" w:pos="0"/>
              </w:tabs>
              <w:autoSpaceDE/>
              <w:autoSpaceDN/>
              <w:adjustRightInd/>
              <w:ind w:left="0"/>
              <w:contextualSpacing w:val="0"/>
              <w:rPr>
                <w:rFonts w:asciiTheme="minorHAnsi" w:hAnsiTheme="minorHAnsi" w:cstheme="minorHAnsi"/>
                <w:color w:val="auto"/>
                <w:sz w:val="20"/>
                <w:szCs w:val="20"/>
              </w:rPr>
            </w:pPr>
            <w:r>
              <w:rPr>
                <w:rFonts w:asciiTheme="minorHAnsi" w:hAnsiTheme="minorHAnsi" w:cstheme="minorHAnsi"/>
                <w:color w:val="auto"/>
                <w:sz w:val="20"/>
                <w:szCs w:val="20"/>
              </w:rPr>
              <w:t>No change</w:t>
            </w:r>
          </w:p>
        </w:tc>
        <w:tc>
          <w:tcPr>
            <w:tcW w:w="1440" w:type="dxa"/>
          </w:tcPr>
          <w:p w14:paraId="5C2F3CF5" w14:textId="158552D3" w:rsidR="00176B7D" w:rsidRPr="00FD6DA6" w:rsidRDefault="007C6AC8" w:rsidP="00176B7D">
            <w:pPr>
              <w:pStyle w:val="ListParagraph"/>
              <w:widowControl/>
              <w:tabs>
                <w:tab w:val="left" w:pos="0"/>
              </w:tabs>
              <w:autoSpaceDE/>
              <w:autoSpaceDN/>
              <w:adjustRightInd/>
              <w:ind w:left="0"/>
              <w:contextualSpacing w:val="0"/>
              <w:rPr>
                <w:rFonts w:asciiTheme="minorHAnsi" w:hAnsiTheme="minorHAnsi" w:cstheme="minorHAnsi"/>
                <w:color w:val="auto"/>
                <w:sz w:val="20"/>
                <w:szCs w:val="20"/>
              </w:rPr>
            </w:pPr>
            <w:r>
              <w:rPr>
                <w:rFonts w:asciiTheme="minorHAnsi" w:hAnsiTheme="minorHAnsi" w:cstheme="minorHAnsi"/>
                <w:color w:val="auto"/>
                <w:sz w:val="20"/>
                <w:szCs w:val="20"/>
              </w:rPr>
              <w:t>Yes</w:t>
            </w:r>
          </w:p>
        </w:tc>
        <w:tc>
          <w:tcPr>
            <w:tcW w:w="1530" w:type="dxa"/>
          </w:tcPr>
          <w:p w14:paraId="1B427220" w14:textId="56C82596" w:rsidR="00176B7D" w:rsidRPr="00FD6DA6" w:rsidRDefault="00176B7D" w:rsidP="00176B7D">
            <w:pPr>
              <w:pStyle w:val="ListParagraph"/>
              <w:widowControl/>
              <w:tabs>
                <w:tab w:val="left" w:pos="0"/>
              </w:tabs>
              <w:autoSpaceDE/>
              <w:autoSpaceDN/>
              <w:adjustRightInd/>
              <w:ind w:left="0"/>
              <w:contextualSpacing w:val="0"/>
              <w:rPr>
                <w:rFonts w:asciiTheme="minorHAnsi" w:hAnsiTheme="minorHAnsi" w:cstheme="minorHAnsi"/>
                <w:noProof/>
                <w:color w:val="000000" w:themeColor="text1"/>
                <w:sz w:val="20"/>
                <w:szCs w:val="20"/>
              </w:rPr>
            </w:pPr>
            <w:r>
              <w:rPr>
                <w:rFonts w:asciiTheme="minorHAnsi" w:hAnsiTheme="minorHAnsi" w:cstheme="minorHAnsi"/>
                <w:noProof/>
                <w:color w:val="000000" w:themeColor="text1"/>
                <w:sz w:val="20"/>
                <w:szCs w:val="20"/>
              </w:rPr>
              <w:t>No change</w:t>
            </w:r>
          </w:p>
        </w:tc>
      </w:tr>
      <w:tr w:rsidR="00176B7D" w:rsidRPr="00FD6DA6" w14:paraId="3E4A795A" w14:textId="77777777" w:rsidTr="00A91311">
        <w:tc>
          <w:tcPr>
            <w:tcW w:w="2469" w:type="dxa"/>
          </w:tcPr>
          <w:p w14:paraId="0212DEF7" w14:textId="14956439" w:rsidR="00176B7D" w:rsidRPr="00AA6DF1" w:rsidRDefault="00176B7D" w:rsidP="00176B7D">
            <w:pPr>
              <w:pStyle w:val="NoSpacing"/>
              <w:widowControl/>
              <w:tabs>
                <w:tab w:val="left" w:pos="360"/>
              </w:tabs>
              <w:autoSpaceDE/>
              <w:autoSpaceDN/>
              <w:adjustRightInd/>
              <w:rPr>
                <w:rFonts w:asciiTheme="minorHAnsi" w:eastAsia="Times New Roman" w:hAnsiTheme="minorHAnsi" w:cstheme="minorHAnsi"/>
                <w:sz w:val="20"/>
                <w:szCs w:val="18"/>
              </w:rPr>
            </w:pPr>
            <w:r w:rsidRPr="00AA6DF1">
              <w:rPr>
                <w:rFonts w:asciiTheme="minorHAnsi" w:eastAsia="Times New Roman" w:hAnsiTheme="minorHAnsi" w:cstheme="minorHAnsi"/>
                <w:sz w:val="20"/>
                <w:szCs w:val="20"/>
              </w:rPr>
              <w:t>BT</w:t>
            </w:r>
            <w:r>
              <w:rPr>
                <w:rFonts w:asciiTheme="minorHAnsi" w:eastAsia="Times New Roman" w:hAnsiTheme="minorHAnsi" w:cstheme="minorHAnsi"/>
                <w:sz w:val="20"/>
                <w:szCs w:val="20"/>
              </w:rPr>
              <w:t xml:space="preserve"> generation</w:t>
            </w:r>
            <w:r w:rsidRPr="00AA6DF1">
              <w:rPr>
                <w:rFonts w:asciiTheme="minorHAnsi" w:eastAsia="Times New Roman" w:hAnsiTheme="minorHAnsi" w:cstheme="minorHAnsi"/>
                <w:sz w:val="20"/>
                <w:szCs w:val="20"/>
              </w:rPr>
              <w:t xml:space="preserve">, transmission, and distribution companies disclose key quarterly </w:t>
            </w:r>
            <w:r w:rsidRPr="00AA6DF1">
              <w:rPr>
                <w:rFonts w:asciiTheme="minorHAnsi" w:eastAsia="Times New Roman" w:hAnsiTheme="minorHAnsi" w:cstheme="minorHAnsi"/>
                <w:sz w:val="20"/>
                <w:szCs w:val="20"/>
              </w:rPr>
              <w:lastRenderedPageBreak/>
              <w:t>operational and financial data</w:t>
            </w:r>
          </w:p>
        </w:tc>
        <w:tc>
          <w:tcPr>
            <w:tcW w:w="2116" w:type="dxa"/>
          </w:tcPr>
          <w:p w14:paraId="29005C62" w14:textId="42A6C382" w:rsidR="00176B7D" w:rsidRPr="00FD6DA6" w:rsidRDefault="00176B7D" w:rsidP="00176B7D">
            <w:pPr>
              <w:pStyle w:val="ListParagraph"/>
              <w:widowControl/>
              <w:tabs>
                <w:tab w:val="left" w:pos="0"/>
              </w:tabs>
              <w:autoSpaceDE/>
              <w:autoSpaceDN/>
              <w:adjustRightInd/>
              <w:ind w:left="0"/>
              <w:contextualSpacing w:val="0"/>
              <w:rPr>
                <w:rFonts w:asciiTheme="minorHAnsi" w:hAnsiTheme="minorHAnsi" w:cstheme="minorHAnsi"/>
                <w:noProof/>
                <w:color w:val="000000" w:themeColor="text1"/>
                <w:sz w:val="20"/>
                <w:szCs w:val="20"/>
              </w:rPr>
            </w:pPr>
            <w:r>
              <w:rPr>
                <w:rFonts w:asciiTheme="minorHAnsi" w:eastAsia="Times New Roman" w:hAnsiTheme="minorHAnsi" w:cstheme="minorHAnsi"/>
                <w:sz w:val="20"/>
                <w:szCs w:val="20"/>
              </w:rPr>
              <w:lastRenderedPageBreak/>
              <w:t>BT, SIB, and STB</w:t>
            </w:r>
            <w:r w:rsidRPr="00AA6DF1">
              <w:rPr>
                <w:rFonts w:asciiTheme="minorHAnsi" w:eastAsia="Times New Roman" w:hAnsiTheme="minorHAnsi" w:cstheme="minorHAnsi"/>
                <w:sz w:val="20"/>
                <w:szCs w:val="20"/>
              </w:rPr>
              <w:t xml:space="preserve"> disclose key quarterly operational and financial data</w:t>
            </w:r>
          </w:p>
        </w:tc>
        <w:tc>
          <w:tcPr>
            <w:tcW w:w="1340" w:type="dxa"/>
          </w:tcPr>
          <w:p w14:paraId="0DE4ED5B" w14:textId="30FE8B15" w:rsidR="00176B7D" w:rsidRDefault="007C6AC8" w:rsidP="00176B7D">
            <w:pPr>
              <w:pStyle w:val="ListParagraph"/>
              <w:widowControl/>
              <w:tabs>
                <w:tab w:val="left" w:pos="0"/>
              </w:tabs>
              <w:autoSpaceDE/>
              <w:autoSpaceDN/>
              <w:adjustRightInd/>
              <w:ind w:left="0"/>
              <w:contextualSpacing w:val="0"/>
              <w:rPr>
                <w:rFonts w:asciiTheme="minorHAnsi" w:hAnsiTheme="minorHAnsi" w:cstheme="minorHAnsi"/>
                <w:color w:val="auto"/>
                <w:sz w:val="20"/>
                <w:szCs w:val="20"/>
              </w:rPr>
            </w:pPr>
            <w:r>
              <w:rPr>
                <w:rFonts w:asciiTheme="minorHAnsi" w:hAnsiTheme="minorHAnsi" w:cstheme="minorHAnsi"/>
                <w:color w:val="auto"/>
                <w:sz w:val="20"/>
                <w:szCs w:val="20"/>
              </w:rPr>
              <w:t>No</w:t>
            </w:r>
          </w:p>
        </w:tc>
        <w:tc>
          <w:tcPr>
            <w:tcW w:w="1450" w:type="dxa"/>
          </w:tcPr>
          <w:p w14:paraId="227266B2" w14:textId="78DE122C" w:rsidR="00176B7D" w:rsidRDefault="00176B7D" w:rsidP="00176B7D">
            <w:pPr>
              <w:pStyle w:val="ListParagraph"/>
              <w:widowControl/>
              <w:tabs>
                <w:tab w:val="left" w:pos="0"/>
              </w:tabs>
              <w:autoSpaceDE/>
              <w:autoSpaceDN/>
              <w:adjustRightInd/>
              <w:ind w:left="0"/>
              <w:contextualSpacing w:val="0"/>
              <w:rPr>
                <w:rFonts w:asciiTheme="minorHAnsi" w:hAnsiTheme="minorHAnsi" w:cstheme="minorHAnsi"/>
                <w:color w:val="auto"/>
                <w:sz w:val="20"/>
                <w:szCs w:val="20"/>
              </w:rPr>
            </w:pPr>
            <w:r>
              <w:rPr>
                <w:rFonts w:asciiTheme="minorHAnsi" w:hAnsiTheme="minorHAnsi" w:cstheme="minorHAnsi"/>
                <w:color w:val="auto"/>
                <w:sz w:val="20"/>
                <w:szCs w:val="20"/>
              </w:rPr>
              <w:t>No change</w:t>
            </w:r>
          </w:p>
        </w:tc>
        <w:tc>
          <w:tcPr>
            <w:tcW w:w="1440" w:type="dxa"/>
          </w:tcPr>
          <w:p w14:paraId="19DA7BB4" w14:textId="1A1238D2" w:rsidR="00176B7D" w:rsidRDefault="007C6AC8" w:rsidP="00176B7D">
            <w:pPr>
              <w:pStyle w:val="ListParagraph"/>
              <w:widowControl/>
              <w:tabs>
                <w:tab w:val="left" w:pos="0"/>
              </w:tabs>
              <w:autoSpaceDE/>
              <w:autoSpaceDN/>
              <w:adjustRightInd/>
              <w:ind w:left="0"/>
              <w:contextualSpacing w:val="0"/>
              <w:rPr>
                <w:rFonts w:asciiTheme="minorHAnsi" w:hAnsiTheme="minorHAnsi" w:cstheme="minorHAnsi"/>
                <w:color w:val="auto"/>
                <w:sz w:val="20"/>
                <w:szCs w:val="20"/>
              </w:rPr>
            </w:pPr>
            <w:r>
              <w:rPr>
                <w:rFonts w:asciiTheme="minorHAnsi" w:hAnsiTheme="minorHAnsi" w:cstheme="minorHAnsi"/>
                <w:color w:val="auto"/>
                <w:sz w:val="20"/>
                <w:szCs w:val="20"/>
              </w:rPr>
              <w:t>Yes</w:t>
            </w:r>
          </w:p>
        </w:tc>
        <w:tc>
          <w:tcPr>
            <w:tcW w:w="1530" w:type="dxa"/>
          </w:tcPr>
          <w:p w14:paraId="6DC87557" w14:textId="1BE7B1B6" w:rsidR="00176B7D" w:rsidRDefault="00176B7D" w:rsidP="00176B7D">
            <w:pPr>
              <w:pStyle w:val="ListParagraph"/>
              <w:widowControl/>
              <w:tabs>
                <w:tab w:val="left" w:pos="0"/>
              </w:tabs>
              <w:autoSpaceDE/>
              <w:autoSpaceDN/>
              <w:adjustRightInd/>
              <w:ind w:left="0"/>
              <w:contextualSpacing w:val="0"/>
              <w:rPr>
                <w:rFonts w:asciiTheme="minorHAnsi" w:hAnsiTheme="minorHAnsi" w:cstheme="minorHAnsi"/>
                <w:noProof/>
                <w:color w:val="000000" w:themeColor="text1"/>
                <w:sz w:val="20"/>
                <w:szCs w:val="20"/>
              </w:rPr>
            </w:pPr>
            <w:r>
              <w:rPr>
                <w:rFonts w:asciiTheme="minorHAnsi" w:hAnsiTheme="minorHAnsi" w:cstheme="minorHAnsi"/>
                <w:noProof/>
                <w:color w:val="000000" w:themeColor="text1"/>
                <w:sz w:val="20"/>
                <w:szCs w:val="20"/>
              </w:rPr>
              <w:t>No change</w:t>
            </w:r>
          </w:p>
        </w:tc>
      </w:tr>
      <w:tr w:rsidR="00176B7D" w:rsidRPr="00FD6DA6" w14:paraId="08E80A24" w14:textId="77777777" w:rsidTr="00A91311">
        <w:tc>
          <w:tcPr>
            <w:tcW w:w="2469" w:type="dxa"/>
          </w:tcPr>
          <w:p w14:paraId="29CC44C0" w14:textId="0CD8A2AA" w:rsidR="00176B7D" w:rsidRPr="00FD6DA6" w:rsidRDefault="00176B7D" w:rsidP="00176B7D">
            <w:pPr>
              <w:pStyle w:val="NoSpacing"/>
              <w:widowControl/>
              <w:tabs>
                <w:tab w:val="left" w:pos="360"/>
              </w:tabs>
              <w:autoSpaceDE/>
              <w:autoSpaceDN/>
              <w:adjustRightInd/>
              <w:rPr>
                <w:rFonts w:ascii="Calibri" w:eastAsia="Times New Roman" w:hAnsi="Calibri" w:cs="Calibri"/>
                <w:color w:val="auto"/>
                <w:sz w:val="20"/>
                <w:szCs w:val="20"/>
              </w:rPr>
            </w:pPr>
            <w:r w:rsidRPr="00FD6DA6">
              <w:rPr>
                <w:rFonts w:asciiTheme="minorHAnsi" w:hAnsiTheme="minorHAnsi" w:cstheme="minorHAnsi"/>
                <w:sz w:val="20"/>
                <w:szCs w:val="20"/>
              </w:rPr>
              <w:t>Increase in the share of women taking on permanent jobs at BT</w:t>
            </w:r>
            <w:r w:rsidR="003209BC">
              <w:rPr>
                <w:rFonts w:asciiTheme="minorHAnsi" w:hAnsiTheme="minorHAnsi" w:cstheme="minorHAnsi"/>
                <w:sz w:val="20"/>
                <w:szCs w:val="20"/>
              </w:rPr>
              <w:t>, SIB, and STB</w:t>
            </w:r>
            <w:r w:rsidRPr="00FD6DA6">
              <w:rPr>
                <w:rFonts w:asciiTheme="minorHAnsi" w:hAnsiTheme="minorHAnsi" w:cstheme="minorHAnsi"/>
                <w:sz w:val="20"/>
                <w:szCs w:val="20"/>
              </w:rPr>
              <w:t xml:space="preserve"> at technical and managerial levels</w:t>
            </w:r>
          </w:p>
        </w:tc>
        <w:tc>
          <w:tcPr>
            <w:tcW w:w="2116" w:type="dxa"/>
          </w:tcPr>
          <w:p w14:paraId="1C763DA3" w14:textId="6E7FC15E" w:rsidR="00176B7D" w:rsidRPr="00FD6DA6" w:rsidRDefault="00176B7D" w:rsidP="00176B7D">
            <w:pPr>
              <w:pStyle w:val="ListParagraph"/>
              <w:widowControl/>
              <w:tabs>
                <w:tab w:val="left" w:pos="0"/>
              </w:tabs>
              <w:autoSpaceDE/>
              <w:autoSpaceDN/>
              <w:adjustRightInd/>
              <w:ind w:left="0"/>
              <w:contextualSpacing w:val="0"/>
              <w:rPr>
                <w:rFonts w:asciiTheme="minorHAnsi" w:hAnsiTheme="minorHAnsi" w:cstheme="minorHAnsi"/>
                <w:noProof/>
                <w:color w:val="000000" w:themeColor="text1"/>
                <w:sz w:val="20"/>
                <w:szCs w:val="20"/>
              </w:rPr>
            </w:pPr>
            <w:r w:rsidRPr="00FD6DA6">
              <w:rPr>
                <w:rFonts w:asciiTheme="minorHAnsi" w:hAnsiTheme="minorHAnsi" w:cstheme="minorHAnsi"/>
                <w:noProof/>
                <w:color w:val="000000" w:themeColor="text1"/>
                <w:sz w:val="20"/>
                <w:szCs w:val="20"/>
              </w:rPr>
              <w:t>New indicator to measure progress with gender activities</w:t>
            </w:r>
          </w:p>
        </w:tc>
        <w:tc>
          <w:tcPr>
            <w:tcW w:w="1340" w:type="dxa"/>
          </w:tcPr>
          <w:p w14:paraId="00D6221F" w14:textId="11303224" w:rsidR="00176B7D" w:rsidRPr="00FD6DA6" w:rsidRDefault="00176B7D" w:rsidP="00176B7D">
            <w:pPr>
              <w:pStyle w:val="ListParagraph"/>
              <w:widowControl/>
              <w:tabs>
                <w:tab w:val="left" w:pos="0"/>
              </w:tabs>
              <w:autoSpaceDE/>
              <w:autoSpaceDN/>
              <w:adjustRightInd/>
              <w:ind w:left="0"/>
              <w:contextualSpacing w:val="0"/>
              <w:rPr>
                <w:rFonts w:asciiTheme="minorHAnsi" w:hAnsiTheme="minorHAnsi" w:cstheme="minorHAnsi"/>
                <w:color w:val="auto"/>
                <w:sz w:val="20"/>
                <w:szCs w:val="20"/>
              </w:rPr>
            </w:pPr>
            <w:r>
              <w:rPr>
                <w:rFonts w:asciiTheme="minorHAnsi" w:hAnsiTheme="minorHAnsi" w:cstheme="minorHAnsi"/>
                <w:color w:val="auto"/>
                <w:sz w:val="20"/>
                <w:szCs w:val="20"/>
              </w:rPr>
              <w:t>-</w:t>
            </w:r>
          </w:p>
        </w:tc>
        <w:tc>
          <w:tcPr>
            <w:tcW w:w="1450" w:type="dxa"/>
          </w:tcPr>
          <w:p w14:paraId="04A5BC70" w14:textId="40B76BB3" w:rsidR="00176B7D" w:rsidRPr="00FD6DA6" w:rsidRDefault="00176B7D" w:rsidP="00176B7D">
            <w:pPr>
              <w:pStyle w:val="ListParagraph"/>
              <w:widowControl/>
              <w:tabs>
                <w:tab w:val="left" w:pos="0"/>
              </w:tabs>
              <w:autoSpaceDE/>
              <w:autoSpaceDN/>
              <w:adjustRightInd/>
              <w:ind w:left="0"/>
              <w:contextualSpacing w:val="0"/>
              <w:rPr>
                <w:rFonts w:asciiTheme="minorHAnsi" w:hAnsiTheme="minorHAnsi" w:cstheme="minorHAnsi"/>
                <w:color w:val="auto"/>
                <w:sz w:val="20"/>
                <w:szCs w:val="20"/>
              </w:rPr>
            </w:pPr>
            <w:r>
              <w:rPr>
                <w:rFonts w:asciiTheme="minorHAnsi" w:hAnsiTheme="minorHAnsi" w:cstheme="minorHAnsi"/>
                <w:color w:val="auto"/>
                <w:sz w:val="20"/>
                <w:szCs w:val="20"/>
              </w:rPr>
              <w:t>-</w:t>
            </w:r>
          </w:p>
        </w:tc>
        <w:tc>
          <w:tcPr>
            <w:tcW w:w="1440" w:type="dxa"/>
          </w:tcPr>
          <w:p w14:paraId="7F275F6B" w14:textId="10C22F85" w:rsidR="00176B7D" w:rsidRPr="00FD6DA6" w:rsidRDefault="00176B7D" w:rsidP="00176B7D">
            <w:pPr>
              <w:pStyle w:val="ListParagraph"/>
              <w:widowControl/>
              <w:tabs>
                <w:tab w:val="left" w:pos="0"/>
              </w:tabs>
              <w:autoSpaceDE/>
              <w:autoSpaceDN/>
              <w:adjustRightInd/>
              <w:ind w:left="0"/>
              <w:contextualSpacing w:val="0"/>
              <w:rPr>
                <w:rFonts w:asciiTheme="minorHAnsi" w:hAnsiTheme="minorHAnsi" w:cstheme="minorHAnsi"/>
                <w:color w:val="auto"/>
                <w:sz w:val="20"/>
                <w:szCs w:val="20"/>
              </w:rPr>
            </w:pPr>
            <w:r w:rsidRPr="00FD6DA6">
              <w:rPr>
                <w:rFonts w:asciiTheme="minorHAnsi" w:hAnsiTheme="minorHAnsi" w:cstheme="minorHAnsi"/>
                <w:color w:val="auto"/>
                <w:sz w:val="20"/>
                <w:szCs w:val="20"/>
              </w:rPr>
              <w:t>0%</w:t>
            </w:r>
          </w:p>
        </w:tc>
        <w:tc>
          <w:tcPr>
            <w:tcW w:w="1530" w:type="dxa"/>
          </w:tcPr>
          <w:p w14:paraId="24847778" w14:textId="64D2E374" w:rsidR="00176B7D" w:rsidRPr="00FD6DA6" w:rsidRDefault="00176B7D" w:rsidP="00176B7D">
            <w:pPr>
              <w:pStyle w:val="ListParagraph"/>
              <w:widowControl/>
              <w:tabs>
                <w:tab w:val="left" w:pos="0"/>
              </w:tabs>
              <w:autoSpaceDE/>
              <w:autoSpaceDN/>
              <w:adjustRightInd/>
              <w:ind w:left="0"/>
              <w:contextualSpacing w:val="0"/>
              <w:rPr>
                <w:rFonts w:asciiTheme="minorHAnsi" w:hAnsiTheme="minorHAnsi" w:cstheme="minorHAnsi"/>
                <w:noProof/>
                <w:color w:val="000000" w:themeColor="text1"/>
                <w:sz w:val="20"/>
                <w:szCs w:val="20"/>
              </w:rPr>
            </w:pPr>
            <w:r w:rsidRPr="00FD6DA6">
              <w:rPr>
                <w:rFonts w:asciiTheme="minorHAnsi" w:hAnsiTheme="minorHAnsi" w:cstheme="minorHAnsi"/>
                <w:noProof/>
                <w:color w:val="000000" w:themeColor="text1"/>
                <w:sz w:val="20"/>
                <w:szCs w:val="20"/>
              </w:rPr>
              <w:t>10%</w:t>
            </w:r>
          </w:p>
        </w:tc>
      </w:tr>
    </w:tbl>
    <w:p w14:paraId="015372F5" w14:textId="77777777" w:rsidR="00CF2C4E" w:rsidRDefault="00883931" w:rsidP="00837D22">
      <w:pPr>
        <w:pStyle w:val="ListParagraph"/>
        <w:widowControl/>
        <w:numPr>
          <w:ilvl w:val="0"/>
          <w:numId w:val="3"/>
        </w:numPr>
        <w:tabs>
          <w:tab w:val="left" w:pos="0"/>
        </w:tabs>
        <w:autoSpaceDE/>
        <w:autoSpaceDN/>
        <w:adjustRightInd/>
        <w:spacing w:before="120" w:after="120"/>
        <w:ind w:left="-360" w:firstLine="0"/>
        <w:contextualSpacing w:val="0"/>
        <w:jc w:val="both"/>
        <w:rPr>
          <w:rFonts w:asciiTheme="minorHAnsi" w:hAnsiTheme="minorHAnsi" w:cstheme="minorHAnsi"/>
          <w:b/>
          <w:sz w:val="22"/>
          <w:szCs w:val="22"/>
        </w:rPr>
      </w:pPr>
      <w:r w:rsidRPr="00883931">
        <w:rPr>
          <w:rFonts w:asciiTheme="minorHAnsi" w:hAnsiTheme="minorHAnsi" w:cstheme="minorHAnsi"/>
          <w:b/>
          <w:sz w:val="22"/>
          <w:szCs w:val="22"/>
        </w:rPr>
        <w:t xml:space="preserve">Changes to </w:t>
      </w:r>
      <w:r>
        <w:rPr>
          <w:rFonts w:asciiTheme="minorHAnsi" w:hAnsiTheme="minorHAnsi" w:cstheme="minorHAnsi"/>
          <w:b/>
          <w:sz w:val="22"/>
          <w:szCs w:val="22"/>
        </w:rPr>
        <w:t xml:space="preserve">existing </w:t>
      </w:r>
      <w:proofErr w:type="spellStart"/>
      <w:r w:rsidRPr="00883931">
        <w:rPr>
          <w:rFonts w:asciiTheme="minorHAnsi" w:hAnsiTheme="minorHAnsi" w:cstheme="minorHAnsi"/>
          <w:b/>
          <w:sz w:val="22"/>
          <w:szCs w:val="22"/>
        </w:rPr>
        <w:t>DLRs.</w:t>
      </w:r>
      <w:proofErr w:type="spellEnd"/>
      <w:r>
        <w:rPr>
          <w:rFonts w:asciiTheme="minorHAnsi" w:hAnsiTheme="minorHAnsi" w:cstheme="minorHAnsi"/>
          <w:b/>
          <w:sz w:val="22"/>
          <w:szCs w:val="22"/>
        </w:rPr>
        <w:t xml:space="preserve"> </w:t>
      </w:r>
      <w:r>
        <w:rPr>
          <w:rFonts w:asciiTheme="minorHAnsi" w:hAnsiTheme="minorHAnsi" w:cstheme="minorHAnsi"/>
          <w:bCs/>
          <w:sz w:val="22"/>
          <w:szCs w:val="22"/>
        </w:rPr>
        <w:t>Based on the rationale for the AF, additional DLRs are proposed while existing DLRs have been revised as part of the restructuring of the parent project. Most of the revisions to existing DLRs are related to extending the deadlines for achievement of targets</w:t>
      </w:r>
      <w:r>
        <w:rPr>
          <w:rStyle w:val="FootnoteReference"/>
          <w:rFonts w:asciiTheme="minorHAnsi" w:hAnsiTheme="minorHAnsi" w:cstheme="minorHAnsi"/>
          <w:bCs/>
          <w:sz w:val="22"/>
          <w:szCs w:val="22"/>
        </w:rPr>
        <w:footnoteReference w:id="6"/>
      </w:r>
      <w:r>
        <w:rPr>
          <w:rFonts w:asciiTheme="minorHAnsi" w:hAnsiTheme="minorHAnsi" w:cstheme="minorHAnsi"/>
          <w:bCs/>
          <w:sz w:val="22"/>
          <w:szCs w:val="22"/>
        </w:rPr>
        <w:t xml:space="preserve">.  </w:t>
      </w:r>
      <w:r w:rsidRPr="00883931">
        <w:rPr>
          <w:rFonts w:asciiTheme="minorHAnsi" w:hAnsiTheme="minorHAnsi" w:cstheme="minorHAnsi"/>
          <w:b/>
          <w:sz w:val="22"/>
          <w:szCs w:val="22"/>
        </w:rPr>
        <w:t xml:space="preserve"> </w:t>
      </w:r>
    </w:p>
    <w:p w14:paraId="09A87857" w14:textId="12F62391" w:rsidR="00CF2C4E" w:rsidRPr="008C49BA" w:rsidRDefault="008C49BA" w:rsidP="008C49BA">
      <w:pPr>
        <w:pStyle w:val="Caption"/>
        <w:spacing w:after="0"/>
        <w:ind w:hanging="360"/>
        <w:rPr>
          <w:rFonts w:cstheme="minorHAnsi"/>
          <w:b/>
          <w:bCs/>
          <w:i w:val="0"/>
          <w:iCs w:val="0"/>
          <w:color w:val="auto"/>
          <w:sz w:val="22"/>
          <w:szCs w:val="22"/>
        </w:rPr>
      </w:pPr>
      <w:r w:rsidRPr="008C49BA">
        <w:rPr>
          <w:b/>
          <w:bCs/>
          <w:i w:val="0"/>
          <w:iCs w:val="0"/>
          <w:color w:val="auto"/>
          <w:sz w:val="22"/>
          <w:szCs w:val="22"/>
        </w:rPr>
        <w:t xml:space="preserve">Table </w:t>
      </w:r>
      <w:r w:rsidRPr="008C49BA">
        <w:rPr>
          <w:b/>
          <w:bCs/>
          <w:i w:val="0"/>
          <w:iCs w:val="0"/>
          <w:color w:val="auto"/>
          <w:sz w:val="22"/>
          <w:szCs w:val="22"/>
        </w:rPr>
        <w:fldChar w:fldCharType="begin"/>
      </w:r>
      <w:r w:rsidRPr="008C49BA">
        <w:rPr>
          <w:b/>
          <w:bCs/>
          <w:i w:val="0"/>
          <w:iCs w:val="0"/>
          <w:color w:val="auto"/>
          <w:sz w:val="22"/>
          <w:szCs w:val="22"/>
        </w:rPr>
        <w:instrText xml:space="preserve"> SEQ Table \* ARABIC </w:instrText>
      </w:r>
      <w:r w:rsidRPr="008C49BA">
        <w:rPr>
          <w:b/>
          <w:bCs/>
          <w:i w:val="0"/>
          <w:iCs w:val="0"/>
          <w:color w:val="auto"/>
          <w:sz w:val="22"/>
          <w:szCs w:val="22"/>
        </w:rPr>
        <w:fldChar w:fldCharType="separate"/>
      </w:r>
      <w:r w:rsidR="00875DBA">
        <w:rPr>
          <w:b/>
          <w:bCs/>
          <w:i w:val="0"/>
          <w:iCs w:val="0"/>
          <w:noProof/>
          <w:color w:val="auto"/>
          <w:sz w:val="22"/>
          <w:szCs w:val="22"/>
        </w:rPr>
        <w:t>2</w:t>
      </w:r>
      <w:r w:rsidRPr="008C49BA">
        <w:rPr>
          <w:b/>
          <w:bCs/>
          <w:i w:val="0"/>
          <w:iCs w:val="0"/>
          <w:color w:val="auto"/>
          <w:sz w:val="22"/>
          <w:szCs w:val="22"/>
        </w:rPr>
        <w:fldChar w:fldCharType="end"/>
      </w:r>
      <w:r w:rsidRPr="008C49BA">
        <w:rPr>
          <w:b/>
          <w:bCs/>
          <w:i w:val="0"/>
          <w:iCs w:val="0"/>
          <w:color w:val="auto"/>
          <w:sz w:val="22"/>
          <w:szCs w:val="22"/>
        </w:rPr>
        <w:t xml:space="preserve">: </w:t>
      </w:r>
      <w:r w:rsidR="00CF2C4E" w:rsidRPr="008C49BA">
        <w:rPr>
          <w:b/>
          <w:bCs/>
          <w:i w:val="0"/>
          <w:iCs w:val="0"/>
          <w:color w:val="auto"/>
          <w:sz w:val="22"/>
          <w:szCs w:val="22"/>
        </w:rPr>
        <w:t>Changes to DLRs</w:t>
      </w:r>
    </w:p>
    <w:tbl>
      <w:tblPr>
        <w:tblStyle w:val="TableGrid"/>
        <w:tblW w:w="10530" w:type="dxa"/>
        <w:tblInd w:w="-365" w:type="dxa"/>
        <w:tblLook w:val="04A0" w:firstRow="1" w:lastRow="0" w:firstColumn="1" w:lastColumn="0" w:noHBand="0" w:noVBand="1"/>
      </w:tblPr>
      <w:tblGrid>
        <w:gridCol w:w="3870"/>
        <w:gridCol w:w="1440"/>
        <w:gridCol w:w="1440"/>
        <w:gridCol w:w="3780"/>
      </w:tblGrid>
      <w:tr w:rsidR="00F75071" w:rsidRPr="00CF2C4E" w14:paraId="628D6BAB" w14:textId="77777777" w:rsidTr="005621D8">
        <w:tc>
          <w:tcPr>
            <w:tcW w:w="3870" w:type="dxa"/>
            <w:shd w:val="clear" w:color="auto" w:fill="E7E6E6" w:themeFill="background2"/>
          </w:tcPr>
          <w:p w14:paraId="1F1D49B2" w14:textId="77777777" w:rsidR="00CF2C4E" w:rsidRPr="00CF2C4E" w:rsidRDefault="00CF2C4E" w:rsidP="00CF2C4E">
            <w:pPr>
              <w:rPr>
                <w:rFonts w:asciiTheme="minorHAnsi" w:hAnsiTheme="minorHAnsi" w:cstheme="minorHAnsi"/>
                <w:b/>
                <w:sz w:val="20"/>
                <w:szCs w:val="20"/>
              </w:rPr>
            </w:pPr>
            <w:r w:rsidRPr="00CF2C4E">
              <w:rPr>
                <w:rFonts w:asciiTheme="minorHAnsi" w:hAnsiTheme="minorHAnsi" w:cstheme="minorHAnsi"/>
                <w:b/>
                <w:sz w:val="20"/>
                <w:szCs w:val="20"/>
              </w:rPr>
              <w:t>Disbursement Linked indicators</w:t>
            </w:r>
          </w:p>
        </w:tc>
        <w:tc>
          <w:tcPr>
            <w:tcW w:w="1440" w:type="dxa"/>
            <w:shd w:val="clear" w:color="auto" w:fill="E7E6E6" w:themeFill="background2"/>
          </w:tcPr>
          <w:p w14:paraId="41A0EBF5" w14:textId="3C2F47E4" w:rsidR="00CF2C4E" w:rsidRPr="00CF2C4E" w:rsidRDefault="00CF2C4E" w:rsidP="00CF2C4E">
            <w:pPr>
              <w:rPr>
                <w:rFonts w:asciiTheme="minorHAnsi" w:hAnsiTheme="minorHAnsi" w:cstheme="minorHAnsi"/>
                <w:b/>
                <w:sz w:val="20"/>
                <w:szCs w:val="20"/>
              </w:rPr>
            </w:pPr>
            <w:r w:rsidRPr="00CF2C4E">
              <w:rPr>
                <w:rFonts w:asciiTheme="minorHAnsi" w:hAnsiTheme="minorHAnsi" w:cstheme="minorHAnsi"/>
                <w:b/>
                <w:sz w:val="20"/>
                <w:szCs w:val="20"/>
              </w:rPr>
              <w:t xml:space="preserve">Current </w:t>
            </w:r>
            <w:r w:rsidR="00F75071">
              <w:rPr>
                <w:rFonts w:asciiTheme="minorHAnsi" w:hAnsiTheme="minorHAnsi" w:cstheme="minorHAnsi"/>
                <w:b/>
                <w:sz w:val="20"/>
                <w:szCs w:val="20"/>
              </w:rPr>
              <w:t>deadline</w:t>
            </w:r>
          </w:p>
        </w:tc>
        <w:tc>
          <w:tcPr>
            <w:tcW w:w="1440" w:type="dxa"/>
            <w:shd w:val="clear" w:color="auto" w:fill="E7E6E6" w:themeFill="background2"/>
          </w:tcPr>
          <w:p w14:paraId="5588FBFB" w14:textId="77777777" w:rsidR="00CF2C4E" w:rsidRPr="00CF2C4E" w:rsidRDefault="00CF2C4E" w:rsidP="00CF2C4E">
            <w:pPr>
              <w:rPr>
                <w:rFonts w:asciiTheme="minorHAnsi" w:hAnsiTheme="minorHAnsi" w:cstheme="minorHAnsi"/>
                <w:b/>
                <w:sz w:val="20"/>
                <w:szCs w:val="20"/>
              </w:rPr>
            </w:pPr>
            <w:r w:rsidRPr="00CF2C4E">
              <w:rPr>
                <w:rFonts w:asciiTheme="minorHAnsi" w:hAnsiTheme="minorHAnsi" w:cstheme="minorHAnsi"/>
                <w:b/>
                <w:sz w:val="20"/>
                <w:szCs w:val="20"/>
              </w:rPr>
              <w:t xml:space="preserve">Revised </w:t>
            </w:r>
          </w:p>
          <w:p w14:paraId="0337AE32" w14:textId="77E10F34" w:rsidR="00CF2C4E" w:rsidRPr="00CF2C4E" w:rsidRDefault="00F75071" w:rsidP="00CF2C4E">
            <w:pPr>
              <w:rPr>
                <w:rFonts w:asciiTheme="minorHAnsi" w:hAnsiTheme="minorHAnsi" w:cstheme="minorHAnsi"/>
                <w:b/>
                <w:sz w:val="20"/>
                <w:szCs w:val="20"/>
              </w:rPr>
            </w:pPr>
            <w:r>
              <w:rPr>
                <w:rFonts w:asciiTheme="minorHAnsi" w:hAnsiTheme="minorHAnsi" w:cstheme="minorHAnsi"/>
                <w:b/>
                <w:sz w:val="20"/>
                <w:szCs w:val="20"/>
              </w:rPr>
              <w:t>deadline</w:t>
            </w:r>
          </w:p>
        </w:tc>
        <w:tc>
          <w:tcPr>
            <w:tcW w:w="3780" w:type="dxa"/>
            <w:shd w:val="clear" w:color="auto" w:fill="E7E6E6" w:themeFill="background2"/>
          </w:tcPr>
          <w:p w14:paraId="0A2257C2" w14:textId="77777777" w:rsidR="00CF2C4E" w:rsidRPr="00CF2C4E" w:rsidRDefault="00CF2C4E" w:rsidP="00CF2C4E">
            <w:pPr>
              <w:rPr>
                <w:rFonts w:asciiTheme="minorHAnsi" w:hAnsiTheme="minorHAnsi" w:cstheme="minorHAnsi"/>
                <w:b/>
                <w:sz w:val="20"/>
                <w:szCs w:val="20"/>
              </w:rPr>
            </w:pPr>
            <w:r w:rsidRPr="00CF2C4E">
              <w:rPr>
                <w:rFonts w:asciiTheme="minorHAnsi" w:hAnsiTheme="minorHAnsi" w:cstheme="minorHAnsi"/>
                <w:b/>
                <w:sz w:val="20"/>
                <w:szCs w:val="20"/>
              </w:rPr>
              <w:t>Comments</w:t>
            </w:r>
          </w:p>
        </w:tc>
      </w:tr>
      <w:tr w:rsidR="00CF2C4E" w:rsidRPr="00CF2C4E" w14:paraId="4E3D131A" w14:textId="77777777" w:rsidTr="004B0D0B">
        <w:tc>
          <w:tcPr>
            <w:tcW w:w="10530" w:type="dxa"/>
            <w:gridSpan w:val="4"/>
            <w:shd w:val="clear" w:color="auto" w:fill="D9E2F3" w:themeFill="accent5" w:themeFillTint="33"/>
            <w:vAlign w:val="center"/>
          </w:tcPr>
          <w:p w14:paraId="666866CF" w14:textId="42797424" w:rsidR="00CF2C4E" w:rsidRPr="00CF2C4E" w:rsidRDefault="00530828" w:rsidP="00CF2C4E">
            <w:pPr>
              <w:rPr>
                <w:rFonts w:asciiTheme="minorHAnsi" w:hAnsiTheme="minorHAnsi" w:cstheme="minorHAnsi"/>
                <w:sz w:val="20"/>
                <w:szCs w:val="20"/>
              </w:rPr>
            </w:pPr>
            <w:r>
              <w:rPr>
                <w:rFonts w:asciiTheme="minorHAnsi" w:eastAsia="Times New Roman" w:hAnsiTheme="minorHAnsi" w:cstheme="minorHAnsi"/>
                <w:b/>
                <w:sz w:val="20"/>
                <w:szCs w:val="20"/>
              </w:rPr>
              <w:t xml:space="preserve">DLI 1: </w:t>
            </w:r>
            <w:r w:rsidR="00CF2C4E" w:rsidRPr="00CF2C4E">
              <w:rPr>
                <w:rFonts w:asciiTheme="minorHAnsi" w:eastAsia="Times New Roman" w:hAnsiTheme="minorHAnsi" w:cstheme="minorHAnsi"/>
                <w:b/>
                <w:sz w:val="20"/>
                <w:szCs w:val="20"/>
              </w:rPr>
              <w:t>Achievement of cost-recovery end-user tariffs</w:t>
            </w:r>
          </w:p>
        </w:tc>
      </w:tr>
      <w:tr w:rsidR="00F75071" w:rsidRPr="00CF2C4E" w14:paraId="5B8F83BC" w14:textId="77777777" w:rsidTr="00F75071">
        <w:tc>
          <w:tcPr>
            <w:tcW w:w="3870" w:type="dxa"/>
          </w:tcPr>
          <w:p w14:paraId="1812A89C" w14:textId="338C80A9" w:rsidR="00CF2C4E" w:rsidRPr="00F75071" w:rsidRDefault="00CF2C4E" w:rsidP="00CF2C4E">
            <w:pPr>
              <w:rPr>
                <w:rFonts w:asciiTheme="minorHAnsi" w:hAnsiTheme="minorHAnsi" w:cstheme="minorHAnsi"/>
                <w:sz w:val="20"/>
                <w:szCs w:val="20"/>
              </w:rPr>
            </w:pPr>
            <w:r w:rsidRPr="00F75071">
              <w:rPr>
                <w:rFonts w:asciiTheme="minorHAnsi" w:hAnsiTheme="minorHAnsi" w:cstheme="minorHAnsi"/>
                <w:b/>
                <w:bCs/>
                <w:sz w:val="20"/>
                <w:szCs w:val="20"/>
              </w:rPr>
              <w:t>DLR 1.1:</w:t>
            </w:r>
            <w:r w:rsidRPr="00F75071">
              <w:rPr>
                <w:rFonts w:asciiTheme="minorHAnsi" w:hAnsiTheme="minorHAnsi" w:cstheme="minorHAnsi"/>
                <w:sz w:val="20"/>
                <w:szCs w:val="20"/>
              </w:rPr>
              <w:t xml:space="preserve"> At least twelve (12) percent increase of average end-user tariff for BT has been adopted by the Recipient</w:t>
            </w:r>
          </w:p>
        </w:tc>
        <w:tc>
          <w:tcPr>
            <w:tcW w:w="1440" w:type="dxa"/>
          </w:tcPr>
          <w:p w14:paraId="1EDB2C2F" w14:textId="25EE05C9" w:rsidR="00CF2C4E" w:rsidRPr="00F75071" w:rsidRDefault="00A10B52" w:rsidP="00CF2C4E">
            <w:pPr>
              <w:rPr>
                <w:rFonts w:asciiTheme="minorHAnsi" w:hAnsiTheme="minorHAnsi" w:cstheme="minorHAnsi"/>
                <w:sz w:val="20"/>
                <w:szCs w:val="20"/>
              </w:rPr>
            </w:pPr>
            <w:r w:rsidRPr="00F75071">
              <w:rPr>
                <w:rFonts w:asciiTheme="minorHAnsi" w:hAnsiTheme="minorHAnsi" w:cstheme="minorHAnsi"/>
                <w:sz w:val="20"/>
                <w:szCs w:val="20"/>
              </w:rPr>
              <w:t>Sep</w:t>
            </w:r>
            <w:r w:rsidR="008C49BA" w:rsidRPr="00F75071">
              <w:rPr>
                <w:rFonts w:asciiTheme="minorHAnsi" w:hAnsiTheme="minorHAnsi" w:cstheme="minorHAnsi"/>
                <w:sz w:val="20"/>
                <w:szCs w:val="20"/>
              </w:rPr>
              <w:t>.</w:t>
            </w:r>
            <w:r w:rsidR="00CF2C4E" w:rsidRPr="00F75071">
              <w:rPr>
                <w:rFonts w:asciiTheme="minorHAnsi" w:hAnsiTheme="minorHAnsi" w:cstheme="minorHAnsi"/>
                <w:sz w:val="20"/>
                <w:szCs w:val="20"/>
              </w:rPr>
              <w:t xml:space="preserve"> 3</w:t>
            </w:r>
            <w:r w:rsidRPr="00F75071">
              <w:rPr>
                <w:rFonts w:asciiTheme="minorHAnsi" w:hAnsiTheme="minorHAnsi" w:cstheme="minorHAnsi"/>
                <w:sz w:val="20"/>
                <w:szCs w:val="20"/>
              </w:rPr>
              <w:t>0</w:t>
            </w:r>
            <w:r w:rsidR="00CF2C4E" w:rsidRPr="00F75071">
              <w:rPr>
                <w:rFonts w:asciiTheme="minorHAnsi" w:hAnsiTheme="minorHAnsi" w:cstheme="minorHAnsi"/>
                <w:sz w:val="20"/>
                <w:szCs w:val="20"/>
              </w:rPr>
              <w:t>, 2021</w:t>
            </w:r>
          </w:p>
        </w:tc>
        <w:tc>
          <w:tcPr>
            <w:tcW w:w="1440" w:type="dxa"/>
          </w:tcPr>
          <w:p w14:paraId="593AD3CD" w14:textId="4A1D6DAF" w:rsidR="00CF2C4E" w:rsidRPr="00CF2C4E" w:rsidRDefault="00CF2C4E" w:rsidP="00CF2C4E">
            <w:pPr>
              <w:rPr>
                <w:rFonts w:asciiTheme="minorHAnsi" w:hAnsiTheme="minorHAnsi" w:cstheme="minorHAnsi"/>
                <w:sz w:val="20"/>
                <w:szCs w:val="20"/>
              </w:rPr>
            </w:pPr>
            <w:r w:rsidRPr="00CF2C4E">
              <w:rPr>
                <w:rFonts w:asciiTheme="minorHAnsi" w:hAnsiTheme="minorHAnsi" w:cstheme="minorHAnsi"/>
                <w:sz w:val="20"/>
                <w:szCs w:val="20"/>
              </w:rPr>
              <w:t>Nov</w:t>
            </w:r>
            <w:r w:rsidR="008C49BA">
              <w:rPr>
                <w:rFonts w:asciiTheme="minorHAnsi" w:hAnsiTheme="minorHAnsi" w:cstheme="minorHAnsi"/>
                <w:sz w:val="20"/>
                <w:szCs w:val="20"/>
              </w:rPr>
              <w:t>.</w:t>
            </w:r>
            <w:r w:rsidRPr="00CF2C4E">
              <w:rPr>
                <w:rFonts w:asciiTheme="minorHAnsi" w:hAnsiTheme="minorHAnsi" w:cstheme="minorHAnsi"/>
                <w:sz w:val="20"/>
                <w:szCs w:val="20"/>
              </w:rPr>
              <w:t xml:space="preserve"> 30, 2022</w:t>
            </w:r>
          </w:p>
        </w:tc>
        <w:tc>
          <w:tcPr>
            <w:tcW w:w="3780" w:type="dxa"/>
          </w:tcPr>
          <w:p w14:paraId="40DC3950" w14:textId="56D07433" w:rsidR="00CF2C4E" w:rsidRPr="00CF2C4E" w:rsidRDefault="00CF2C4E" w:rsidP="00CF2C4E">
            <w:pPr>
              <w:rPr>
                <w:rFonts w:asciiTheme="minorHAnsi" w:hAnsiTheme="minorHAnsi" w:cstheme="minorHAnsi"/>
                <w:sz w:val="20"/>
                <w:szCs w:val="20"/>
              </w:rPr>
            </w:pPr>
            <w:r w:rsidRPr="00CF2C4E">
              <w:rPr>
                <w:rFonts w:asciiTheme="minorHAnsi" w:hAnsiTheme="minorHAnsi" w:cstheme="minorHAnsi"/>
                <w:sz w:val="20"/>
                <w:szCs w:val="20"/>
              </w:rPr>
              <w:t>The tariff increase decision has been approved and was expected to become effective in April 2022. However, effectiveness was deferred due to deterioration of macroeconomic situation. It is currently expected to become effective by November 30, 2022, which would also allow time to finalize the ongoing work on the design of a block tariff structure that may be used to subsidize vulnerable consumers</w:t>
            </w:r>
          </w:p>
        </w:tc>
      </w:tr>
      <w:tr w:rsidR="00F75071" w:rsidRPr="00CF2C4E" w14:paraId="7675A10E" w14:textId="77777777" w:rsidTr="00F75071">
        <w:tc>
          <w:tcPr>
            <w:tcW w:w="3870" w:type="dxa"/>
          </w:tcPr>
          <w:p w14:paraId="2BBD9CB0" w14:textId="7D5E0C75" w:rsidR="00CF2C4E" w:rsidRPr="00CF2C4E" w:rsidRDefault="00CF2C4E" w:rsidP="00CF2C4E">
            <w:pPr>
              <w:rPr>
                <w:rFonts w:asciiTheme="minorHAnsi" w:hAnsiTheme="minorHAnsi" w:cstheme="minorHAnsi"/>
                <w:sz w:val="20"/>
                <w:szCs w:val="20"/>
              </w:rPr>
            </w:pPr>
            <w:r w:rsidRPr="00CF2C4E">
              <w:rPr>
                <w:rFonts w:asciiTheme="minorHAnsi" w:eastAsia="Times New Roman" w:hAnsiTheme="minorHAnsi" w:cstheme="minorHAnsi"/>
                <w:b/>
                <w:bCs/>
                <w:sz w:val="20"/>
                <w:szCs w:val="20"/>
              </w:rPr>
              <w:t>DLR 1.2:</w:t>
            </w:r>
            <w:r w:rsidRPr="00CF2C4E">
              <w:rPr>
                <w:rFonts w:asciiTheme="minorHAnsi" w:eastAsia="Times New Roman" w:hAnsiTheme="minorHAnsi" w:cstheme="minorHAnsi"/>
                <w:sz w:val="20"/>
                <w:szCs w:val="20"/>
              </w:rPr>
              <w:t xml:space="preserve"> At least annual adjustment of generation, transmission, distribution, and end-user tariffs as per the new tariff methodology and consistent with the targets approved under the Electricity Tariff Paper</w:t>
            </w:r>
          </w:p>
        </w:tc>
        <w:tc>
          <w:tcPr>
            <w:tcW w:w="1440" w:type="dxa"/>
          </w:tcPr>
          <w:p w14:paraId="2430DA2A" w14:textId="455E2BC9" w:rsidR="00CF2C4E" w:rsidRPr="00CF2C4E" w:rsidRDefault="00CF2C4E" w:rsidP="00CF2C4E">
            <w:pPr>
              <w:rPr>
                <w:rFonts w:asciiTheme="minorHAnsi" w:hAnsiTheme="minorHAnsi" w:cstheme="minorHAnsi"/>
                <w:sz w:val="20"/>
                <w:szCs w:val="20"/>
              </w:rPr>
            </w:pPr>
            <w:r w:rsidRPr="00CF2C4E">
              <w:rPr>
                <w:rFonts w:asciiTheme="minorHAnsi" w:hAnsiTheme="minorHAnsi" w:cstheme="minorHAnsi"/>
                <w:sz w:val="20"/>
                <w:szCs w:val="20"/>
              </w:rPr>
              <w:t>Dec</w:t>
            </w:r>
            <w:r w:rsidR="00A10B52">
              <w:rPr>
                <w:rFonts w:asciiTheme="minorHAnsi" w:hAnsiTheme="minorHAnsi" w:cstheme="minorHAnsi"/>
                <w:sz w:val="20"/>
                <w:szCs w:val="20"/>
              </w:rPr>
              <w:t>.</w:t>
            </w:r>
            <w:r w:rsidRPr="00CF2C4E">
              <w:rPr>
                <w:rFonts w:asciiTheme="minorHAnsi" w:hAnsiTheme="minorHAnsi" w:cstheme="minorHAnsi"/>
                <w:sz w:val="20"/>
                <w:szCs w:val="20"/>
              </w:rPr>
              <w:t xml:space="preserve"> 31, 2021</w:t>
            </w:r>
          </w:p>
        </w:tc>
        <w:tc>
          <w:tcPr>
            <w:tcW w:w="1440" w:type="dxa"/>
          </w:tcPr>
          <w:p w14:paraId="012E4904" w14:textId="37C4A07B" w:rsidR="00CF2C4E" w:rsidRPr="00CF2C4E" w:rsidRDefault="00A10B52" w:rsidP="00CF2C4E">
            <w:pPr>
              <w:rPr>
                <w:rFonts w:asciiTheme="minorHAnsi" w:hAnsiTheme="minorHAnsi" w:cstheme="minorHAnsi"/>
                <w:sz w:val="20"/>
                <w:szCs w:val="20"/>
              </w:rPr>
            </w:pPr>
            <w:r>
              <w:rPr>
                <w:rFonts w:asciiTheme="minorHAnsi" w:hAnsiTheme="minorHAnsi" w:cstheme="minorHAnsi"/>
                <w:sz w:val="20"/>
                <w:szCs w:val="20"/>
              </w:rPr>
              <w:t>Dec.</w:t>
            </w:r>
            <w:r w:rsidR="00CF2C4E" w:rsidRPr="00CF2C4E">
              <w:rPr>
                <w:rFonts w:asciiTheme="minorHAnsi" w:hAnsiTheme="minorHAnsi" w:cstheme="minorHAnsi"/>
                <w:sz w:val="20"/>
                <w:szCs w:val="20"/>
              </w:rPr>
              <w:t xml:space="preserve"> 31, 202</w:t>
            </w:r>
            <w:r>
              <w:rPr>
                <w:rFonts w:asciiTheme="minorHAnsi" w:hAnsiTheme="minorHAnsi" w:cstheme="minorHAnsi"/>
                <w:sz w:val="20"/>
                <w:szCs w:val="20"/>
              </w:rPr>
              <w:t>3</w:t>
            </w:r>
          </w:p>
        </w:tc>
        <w:tc>
          <w:tcPr>
            <w:tcW w:w="3780" w:type="dxa"/>
          </w:tcPr>
          <w:p w14:paraId="67B3C411" w14:textId="752876AB" w:rsidR="00CF2C4E" w:rsidRPr="00CF2C4E" w:rsidRDefault="00CF2C4E" w:rsidP="00CF2C4E">
            <w:pPr>
              <w:rPr>
                <w:rFonts w:asciiTheme="minorHAnsi" w:hAnsiTheme="minorHAnsi" w:cstheme="minorHAnsi"/>
                <w:sz w:val="20"/>
                <w:szCs w:val="20"/>
              </w:rPr>
            </w:pPr>
            <w:r w:rsidRPr="00CF2C4E">
              <w:rPr>
                <w:rFonts w:asciiTheme="minorHAnsi" w:hAnsiTheme="minorHAnsi" w:cstheme="minorHAnsi"/>
                <w:sz w:val="20"/>
                <w:szCs w:val="20"/>
              </w:rPr>
              <w:t>The tariffs for generation and T&amp;D can be finalized once the allocation of fixed assets among BT, SIB, and STB is completed. The work is in progress and has been delayed due to disagreement on consequence of accounting treatment of fixed asset transfer from BT because such transfer would create a loss for BT, which would need to be covered by the Government. Alternatively, SIB and STB should receive additional equity injection to pay for assets at residual values. The Bank team is currently providing support to help resolve this issue</w:t>
            </w:r>
          </w:p>
        </w:tc>
      </w:tr>
      <w:tr w:rsidR="00F75071" w:rsidRPr="00CF2C4E" w14:paraId="7BE3B535" w14:textId="77777777" w:rsidTr="00F75071">
        <w:tc>
          <w:tcPr>
            <w:tcW w:w="3870" w:type="dxa"/>
          </w:tcPr>
          <w:p w14:paraId="19B09C6F" w14:textId="49769F58" w:rsidR="00CF2C4E" w:rsidRPr="00CF2C4E" w:rsidRDefault="00CF2C4E" w:rsidP="00CF2C4E">
            <w:pPr>
              <w:rPr>
                <w:rFonts w:asciiTheme="minorHAnsi" w:hAnsiTheme="minorHAnsi" w:cstheme="minorHAnsi"/>
                <w:sz w:val="20"/>
                <w:szCs w:val="20"/>
              </w:rPr>
            </w:pPr>
            <w:r w:rsidRPr="00CF2C4E">
              <w:rPr>
                <w:rFonts w:asciiTheme="minorHAnsi" w:eastAsia="Times New Roman" w:hAnsiTheme="minorHAnsi" w:cstheme="minorHAnsi"/>
                <w:b/>
                <w:bCs/>
                <w:sz w:val="20"/>
                <w:szCs w:val="20"/>
              </w:rPr>
              <w:t>DLR 1.3 to 1.6:</w:t>
            </w:r>
            <w:r w:rsidRPr="00CF2C4E">
              <w:rPr>
                <w:rFonts w:asciiTheme="minorHAnsi" w:eastAsia="Times New Roman" w:hAnsiTheme="minorHAnsi" w:cstheme="minorHAnsi"/>
                <w:sz w:val="20"/>
                <w:szCs w:val="20"/>
              </w:rPr>
              <w:t xml:space="preserve"> At least annual adjustment of generation, transmission, </w:t>
            </w:r>
            <w:proofErr w:type="gramStart"/>
            <w:r w:rsidRPr="00CF2C4E">
              <w:rPr>
                <w:rFonts w:asciiTheme="minorHAnsi" w:eastAsia="Times New Roman" w:hAnsiTheme="minorHAnsi" w:cstheme="minorHAnsi"/>
                <w:sz w:val="20"/>
                <w:szCs w:val="20"/>
              </w:rPr>
              <w:t>distribution</w:t>
            </w:r>
            <w:proofErr w:type="gramEnd"/>
            <w:r w:rsidRPr="00CF2C4E">
              <w:rPr>
                <w:rFonts w:asciiTheme="minorHAnsi" w:eastAsia="Times New Roman" w:hAnsiTheme="minorHAnsi" w:cstheme="minorHAnsi"/>
                <w:sz w:val="20"/>
                <w:szCs w:val="20"/>
              </w:rPr>
              <w:t xml:space="preserve"> and end-user tariffs as per new tariff methodology and consistent with the </w:t>
            </w:r>
            <w:r w:rsidRPr="00CF2C4E">
              <w:rPr>
                <w:rFonts w:asciiTheme="minorHAnsi" w:eastAsia="Times New Roman" w:hAnsiTheme="minorHAnsi" w:cstheme="minorHAnsi"/>
                <w:sz w:val="20"/>
                <w:szCs w:val="20"/>
              </w:rPr>
              <w:lastRenderedPageBreak/>
              <w:t>targets approved under the Electricity Tariff Paper</w:t>
            </w:r>
          </w:p>
        </w:tc>
        <w:tc>
          <w:tcPr>
            <w:tcW w:w="1440" w:type="dxa"/>
          </w:tcPr>
          <w:p w14:paraId="276E1C07" w14:textId="77777777" w:rsidR="00CF2C4E" w:rsidRPr="00CF2C4E" w:rsidRDefault="00CF2C4E" w:rsidP="00CF2C4E">
            <w:pPr>
              <w:rPr>
                <w:rFonts w:asciiTheme="minorHAnsi" w:hAnsiTheme="minorHAnsi" w:cstheme="minorHAnsi"/>
                <w:sz w:val="20"/>
                <w:szCs w:val="20"/>
              </w:rPr>
            </w:pPr>
            <w:r w:rsidRPr="00CF2C4E">
              <w:rPr>
                <w:rFonts w:asciiTheme="minorHAnsi" w:hAnsiTheme="minorHAnsi" w:cstheme="minorHAnsi"/>
                <w:sz w:val="20"/>
                <w:szCs w:val="20"/>
              </w:rPr>
              <w:lastRenderedPageBreak/>
              <w:t>Annual</w:t>
            </w:r>
          </w:p>
        </w:tc>
        <w:tc>
          <w:tcPr>
            <w:tcW w:w="1440" w:type="dxa"/>
          </w:tcPr>
          <w:p w14:paraId="4635F9E1" w14:textId="77777777" w:rsidR="00CF2C4E" w:rsidRPr="00CF2C4E" w:rsidRDefault="00CF2C4E" w:rsidP="00CF2C4E">
            <w:pPr>
              <w:rPr>
                <w:rFonts w:asciiTheme="minorHAnsi" w:hAnsiTheme="minorHAnsi" w:cstheme="minorHAnsi"/>
                <w:sz w:val="20"/>
                <w:szCs w:val="20"/>
              </w:rPr>
            </w:pPr>
            <w:r w:rsidRPr="00CF2C4E">
              <w:rPr>
                <w:rFonts w:asciiTheme="minorHAnsi" w:hAnsiTheme="minorHAnsi" w:cstheme="minorHAnsi"/>
                <w:sz w:val="20"/>
                <w:szCs w:val="20"/>
              </w:rPr>
              <w:t>Shifted</w:t>
            </w:r>
          </w:p>
          <w:p w14:paraId="1FC01591" w14:textId="6ED46922" w:rsidR="00CF2C4E" w:rsidRPr="00CF2C4E" w:rsidRDefault="00CF2C4E" w:rsidP="00CF2C4E">
            <w:pPr>
              <w:rPr>
                <w:rFonts w:asciiTheme="minorHAnsi" w:hAnsiTheme="minorHAnsi" w:cstheme="minorHAnsi"/>
                <w:sz w:val="20"/>
                <w:szCs w:val="20"/>
              </w:rPr>
            </w:pPr>
            <w:r w:rsidRPr="00CF2C4E">
              <w:rPr>
                <w:rFonts w:asciiTheme="minorHAnsi" w:hAnsiTheme="minorHAnsi" w:cstheme="minorHAnsi"/>
                <w:sz w:val="20"/>
                <w:szCs w:val="20"/>
              </w:rPr>
              <w:t xml:space="preserve">by </w:t>
            </w:r>
            <w:r w:rsidR="00A10B52">
              <w:rPr>
                <w:rFonts w:asciiTheme="minorHAnsi" w:hAnsiTheme="minorHAnsi" w:cstheme="minorHAnsi"/>
                <w:sz w:val="20"/>
                <w:szCs w:val="20"/>
              </w:rPr>
              <w:t>two</w:t>
            </w:r>
            <w:r w:rsidRPr="00CF2C4E">
              <w:rPr>
                <w:rFonts w:asciiTheme="minorHAnsi" w:hAnsiTheme="minorHAnsi" w:cstheme="minorHAnsi"/>
                <w:sz w:val="20"/>
                <w:szCs w:val="20"/>
              </w:rPr>
              <w:t xml:space="preserve"> year</w:t>
            </w:r>
            <w:r w:rsidR="00A10B52">
              <w:rPr>
                <w:rFonts w:asciiTheme="minorHAnsi" w:hAnsiTheme="minorHAnsi" w:cstheme="minorHAnsi"/>
                <w:sz w:val="20"/>
                <w:szCs w:val="20"/>
              </w:rPr>
              <w:t>s</w:t>
            </w:r>
          </w:p>
        </w:tc>
        <w:tc>
          <w:tcPr>
            <w:tcW w:w="3780" w:type="dxa"/>
          </w:tcPr>
          <w:p w14:paraId="27081393" w14:textId="5113A6D7" w:rsidR="00CF2C4E" w:rsidRPr="00CF2C4E" w:rsidRDefault="00CF2C4E" w:rsidP="00CF2C4E">
            <w:pPr>
              <w:rPr>
                <w:rFonts w:asciiTheme="minorHAnsi" w:hAnsiTheme="minorHAnsi" w:cstheme="minorHAnsi"/>
                <w:sz w:val="20"/>
                <w:szCs w:val="20"/>
              </w:rPr>
            </w:pPr>
            <w:r w:rsidRPr="00CF2C4E">
              <w:rPr>
                <w:rFonts w:asciiTheme="minorHAnsi" w:hAnsiTheme="minorHAnsi" w:cstheme="minorHAnsi"/>
                <w:sz w:val="20"/>
                <w:szCs w:val="20"/>
              </w:rPr>
              <w:t>This is necessitated by the restructuring requested for DLR 1.2</w:t>
            </w:r>
          </w:p>
        </w:tc>
      </w:tr>
      <w:tr w:rsidR="00F75071" w:rsidRPr="00CF2C4E" w14:paraId="58FD3BE8" w14:textId="77777777" w:rsidTr="00F75071">
        <w:tc>
          <w:tcPr>
            <w:tcW w:w="3870" w:type="dxa"/>
          </w:tcPr>
          <w:p w14:paraId="69ABA50B" w14:textId="180CF646" w:rsidR="00CF2C4E" w:rsidRPr="00CF2C4E" w:rsidRDefault="00CF2C4E" w:rsidP="00CF2C4E">
            <w:pPr>
              <w:rPr>
                <w:rFonts w:asciiTheme="minorHAnsi" w:eastAsia="Times New Roman" w:hAnsiTheme="minorHAnsi" w:cstheme="minorHAnsi"/>
                <w:sz w:val="20"/>
                <w:szCs w:val="20"/>
              </w:rPr>
            </w:pPr>
            <w:r w:rsidRPr="00CF2C4E">
              <w:rPr>
                <w:rFonts w:asciiTheme="minorHAnsi" w:eastAsia="Times New Roman" w:hAnsiTheme="minorHAnsi" w:cstheme="minorHAnsi"/>
                <w:b/>
                <w:bCs/>
                <w:sz w:val="20"/>
                <w:szCs w:val="20"/>
              </w:rPr>
              <w:t xml:space="preserve">DLR 1.7: </w:t>
            </w:r>
            <w:r w:rsidRPr="00CF2C4E">
              <w:rPr>
                <w:rFonts w:asciiTheme="minorHAnsi" w:eastAsia="Times New Roman" w:hAnsiTheme="minorHAnsi" w:cstheme="minorHAnsi"/>
                <w:sz w:val="20"/>
                <w:szCs w:val="20"/>
              </w:rPr>
              <w:t xml:space="preserve">(a) approval by the Recipient’s government of the Electricity Tariff Paper satisfactory to the Association, with estimated full cost-recovery tariff and tariff adjustment plan to reach full cost-recovery by the end of 2031; and (b) establishment of an adequately staffed Tariff Unit at the </w:t>
            </w:r>
            <w:r w:rsidR="00842CA3">
              <w:rPr>
                <w:rFonts w:asciiTheme="minorHAnsi" w:eastAsia="Times New Roman" w:hAnsiTheme="minorHAnsi" w:cstheme="minorHAnsi"/>
                <w:sz w:val="20"/>
                <w:szCs w:val="20"/>
              </w:rPr>
              <w:t>AMS</w:t>
            </w:r>
          </w:p>
        </w:tc>
        <w:tc>
          <w:tcPr>
            <w:tcW w:w="1440" w:type="dxa"/>
          </w:tcPr>
          <w:p w14:paraId="78E77B52" w14:textId="77777777" w:rsidR="00CF2C4E" w:rsidRPr="00CF2C4E" w:rsidRDefault="00CF2C4E" w:rsidP="00CF2C4E">
            <w:pPr>
              <w:rPr>
                <w:rFonts w:asciiTheme="minorHAnsi" w:hAnsiTheme="minorHAnsi" w:cstheme="minorHAnsi"/>
                <w:sz w:val="20"/>
                <w:szCs w:val="20"/>
              </w:rPr>
            </w:pPr>
            <w:r w:rsidRPr="00CF2C4E">
              <w:rPr>
                <w:rFonts w:asciiTheme="minorHAnsi" w:hAnsiTheme="minorHAnsi" w:cstheme="minorHAnsi"/>
                <w:sz w:val="20"/>
                <w:szCs w:val="20"/>
              </w:rPr>
              <w:t>June 30, 2021</w:t>
            </w:r>
          </w:p>
        </w:tc>
        <w:tc>
          <w:tcPr>
            <w:tcW w:w="1440" w:type="dxa"/>
          </w:tcPr>
          <w:p w14:paraId="6373014E" w14:textId="66178C76" w:rsidR="00CF2C4E" w:rsidRPr="00CF2C4E" w:rsidRDefault="00CF2C4E" w:rsidP="00CF2C4E">
            <w:pPr>
              <w:rPr>
                <w:rFonts w:asciiTheme="minorHAnsi" w:hAnsiTheme="minorHAnsi" w:cstheme="minorHAnsi"/>
                <w:sz w:val="20"/>
                <w:szCs w:val="20"/>
              </w:rPr>
            </w:pPr>
            <w:r w:rsidRPr="00CF2C4E">
              <w:rPr>
                <w:rFonts w:asciiTheme="minorHAnsi" w:hAnsiTheme="minorHAnsi" w:cstheme="minorHAnsi"/>
                <w:sz w:val="20"/>
                <w:szCs w:val="20"/>
              </w:rPr>
              <w:t>Sep</w:t>
            </w:r>
            <w:r w:rsidR="00A10B52">
              <w:rPr>
                <w:rFonts w:asciiTheme="minorHAnsi" w:hAnsiTheme="minorHAnsi" w:cstheme="minorHAnsi"/>
                <w:sz w:val="20"/>
                <w:szCs w:val="20"/>
              </w:rPr>
              <w:t>.</w:t>
            </w:r>
            <w:r w:rsidRPr="00CF2C4E">
              <w:rPr>
                <w:rFonts w:asciiTheme="minorHAnsi" w:hAnsiTheme="minorHAnsi" w:cstheme="minorHAnsi"/>
                <w:sz w:val="20"/>
                <w:szCs w:val="20"/>
              </w:rPr>
              <w:t xml:space="preserve"> 30, 2022</w:t>
            </w:r>
          </w:p>
        </w:tc>
        <w:tc>
          <w:tcPr>
            <w:tcW w:w="3780" w:type="dxa"/>
          </w:tcPr>
          <w:p w14:paraId="4E060BBD" w14:textId="79EA40A0" w:rsidR="00CF2C4E" w:rsidRPr="00CF2C4E" w:rsidRDefault="00CF2C4E" w:rsidP="00CF2C4E">
            <w:pPr>
              <w:rPr>
                <w:rFonts w:asciiTheme="minorHAnsi" w:hAnsiTheme="minorHAnsi" w:cstheme="minorHAnsi"/>
                <w:sz w:val="20"/>
                <w:szCs w:val="20"/>
              </w:rPr>
            </w:pPr>
            <w:r w:rsidRPr="00CF2C4E">
              <w:rPr>
                <w:rFonts w:asciiTheme="minorHAnsi" w:hAnsiTheme="minorHAnsi" w:cstheme="minorHAnsi"/>
                <w:sz w:val="20"/>
                <w:szCs w:val="20"/>
              </w:rPr>
              <w:t>This would allow time to complete the allocation of assets among BT, SIB, and STB, which is ongoing. The new Electricity Tariff Paper can be prepared only when tariffs are computed for each separate energy company, which requires clarity on each company’s fixed assets. The staffing at AM</w:t>
            </w:r>
            <w:r w:rsidR="00842CA3">
              <w:rPr>
                <w:rFonts w:asciiTheme="minorHAnsi" w:hAnsiTheme="minorHAnsi" w:cstheme="minorHAnsi"/>
                <w:sz w:val="20"/>
                <w:szCs w:val="20"/>
              </w:rPr>
              <w:t>S</w:t>
            </w:r>
            <w:r w:rsidRPr="00CF2C4E">
              <w:rPr>
                <w:rFonts w:asciiTheme="minorHAnsi" w:hAnsiTheme="minorHAnsi" w:cstheme="minorHAnsi"/>
                <w:sz w:val="20"/>
                <w:szCs w:val="20"/>
              </w:rPr>
              <w:t xml:space="preserve"> tariff unit required more time given the difficulties associated with identification of specialists with required qualifications</w:t>
            </w:r>
          </w:p>
        </w:tc>
      </w:tr>
      <w:tr w:rsidR="00E2660B" w:rsidRPr="00CF2C4E" w14:paraId="252515A2" w14:textId="77777777" w:rsidTr="00E2660B">
        <w:tc>
          <w:tcPr>
            <w:tcW w:w="3870" w:type="dxa"/>
            <w:shd w:val="clear" w:color="auto" w:fill="D9E2F3" w:themeFill="accent5" w:themeFillTint="33"/>
          </w:tcPr>
          <w:p w14:paraId="5062C9AD" w14:textId="273BF46E" w:rsidR="00E2660B" w:rsidRDefault="00E2660B" w:rsidP="00CF2C4E">
            <w:pPr>
              <w:rPr>
                <w:rFonts w:asciiTheme="minorHAnsi" w:eastAsia="Times New Roman" w:hAnsiTheme="minorHAnsi" w:cstheme="minorHAnsi"/>
                <w:b/>
                <w:bCs/>
                <w:sz w:val="20"/>
                <w:szCs w:val="20"/>
              </w:rPr>
            </w:pPr>
            <w:r>
              <w:rPr>
                <w:rFonts w:asciiTheme="minorHAnsi" w:eastAsia="Times New Roman" w:hAnsiTheme="minorHAnsi" w:cstheme="minorHAnsi"/>
                <w:b/>
                <w:bCs/>
                <w:sz w:val="20"/>
                <w:szCs w:val="20"/>
              </w:rPr>
              <w:t>New DLRs</w:t>
            </w:r>
            <w:r w:rsidR="009A43D1">
              <w:rPr>
                <w:rFonts w:asciiTheme="minorHAnsi" w:eastAsia="Times New Roman" w:hAnsiTheme="minorHAnsi" w:cstheme="minorHAnsi"/>
                <w:b/>
                <w:bCs/>
                <w:sz w:val="20"/>
                <w:szCs w:val="20"/>
              </w:rPr>
              <w:t xml:space="preserve"> under DLI 1</w:t>
            </w:r>
          </w:p>
        </w:tc>
        <w:tc>
          <w:tcPr>
            <w:tcW w:w="1440" w:type="dxa"/>
            <w:shd w:val="clear" w:color="auto" w:fill="D9E2F3" w:themeFill="accent5" w:themeFillTint="33"/>
          </w:tcPr>
          <w:p w14:paraId="78DFCB89" w14:textId="77777777" w:rsidR="00E2660B" w:rsidRDefault="00E2660B" w:rsidP="00CF2C4E">
            <w:pPr>
              <w:rPr>
                <w:rFonts w:asciiTheme="minorHAnsi" w:hAnsiTheme="minorHAnsi" w:cstheme="minorHAnsi"/>
                <w:sz w:val="20"/>
                <w:szCs w:val="20"/>
              </w:rPr>
            </w:pPr>
          </w:p>
        </w:tc>
        <w:tc>
          <w:tcPr>
            <w:tcW w:w="1440" w:type="dxa"/>
            <w:shd w:val="clear" w:color="auto" w:fill="D9E2F3" w:themeFill="accent5" w:themeFillTint="33"/>
          </w:tcPr>
          <w:p w14:paraId="3C9030DE" w14:textId="77777777" w:rsidR="00E2660B" w:rsidRDefault="00E2660B" w:rsidP="00CF2C4E">
            <w:pPr>
              <w:rPr>
                <w:rFonts w:asciiTheme="minorHAnsi" w:hAnsiTheme="minorHAnsi" w:cstheme="minorHAnsi"/>
                <w:sz w:val="20"/>
                <w:szCs w:val="20"/>
              </w:rPr>
            </w:pPr>
          </w:p>
        </w:tc>
        <w:tc>
          <w:tcPr>
            <w:tcW w:w="3780" w:type="dxa"/>
            <w:shd w:val="clear" w:color="auto" w:fill="D9E2F3" w:themeFill="accent5" w:themeFillTint="33"/>
          </w:tcPr>
          <w:p w14:paraId="02AF9649" w14:textId="77777777" w:rsidR="00E2660B" w:rsidRDefault="00E2660B" w:rsidP="00CF2C4E">
            <w:pPr>
              <w:rPr>
                <w:rFonts w:asciiTheme="minorHAnsi" w:hAnsiTheme="minorHAnsi" w:cstheme="minorHAnsi"/>
                <w:sz w:val="20"/>
                <w:szCs w:val="20"/>
              </w:rPr>
            </w:pPr>
          </w:p>
        </w:tc>
      </w:tr>
      <w:tr w:rsidR="00E2660B" w:rsidRPr="00CF2C4E" w14:paraId="09E012C7" w14:textId="77777777" w:rsidTr="00E2660B">
        <w:tc>
          <w:tcPr>
            <w:tcW w:w="6750" w:type="dxa"/>
            <w:gridSpan w:val="3"/>
          </w:tcPr>
          <w:p w14:paraId="5667BF4E" w14:textId="4FED0D80" w:rsidR="00E2660B" w:rsidRPr="00CF2C4E" w:rsidRDefault="00E2660B" w:rsidP="00CF2C4E">
            <w:pPr>
              <w:rPr>
                <w:rFonts w:asciiTheme="minorHAnsi" w:hAnsiTheme="minorHAnsi" w:cstheme="minorHAnsi"/>
                <w:sz w:val="20"/>
                <w:szCs w:val="20"/>
              </w:rPr>
            </w:pPr>
            <w:r>
              <w:rPr>
                <w:rFonts w:asciiTheme="minorHAnsi" w:eastAsia="Times New Roman" w:hAnsiTheme="minorHAnsi" w:cstheme="minorHAnsi"/>
                <w:b/>
                <w:bCs/>
                <w:sz w:val="20"/>
                <w:szCs w:val="20"/>
              </w:rPr>
              <w:t xml:space="preserve">New DLR 1.8: </w:t>
            </w:r>
            <w:r w:rsidRPr="00F75071">
              <w:rPr>
                <w:rFonts w:asciiTheme="minorHAnsi" w:eastAsia="Times New Roman" w:hAnsiTheme="minorHAnsi" w:cstheme="minorHAnsi"/>
                <w:sz w:val="20"/>
                <w:szCs w:val="20"/>
              </w:rPr>
              <w:t>By December 31, 2028, at least annual adjustment of generation, transmission,</w:t>
            </w:r>
            <w:r w:rsidRPr="00DE086F">
              <w:rPr>
                <w:rFonts w:asciiTheme="minorHAnsi" w:eastAsia="Times New Roman" w:hAnsiTheme="minorHAnsi" w:cstheme="minorHAnsi"/>
                <w:b/>
                <w:bCs/>
                <w:sz w:val="20"/>
                <w:szCs w:val="20"/>
              </w:rPr>
              <w:t xml:space="preserve"> </w:t>
            </w:r>
            <w:r w:rsidRPr="00F75071">
              <w:rPr>
                <w:rFonts w:asciiTheme="minorHAnsi" w:eastAsia="Times New Roman" w:hAnsiTheme="minorHAnsi" w:cstheme="minorHAnsi"/>
                <w:sz w:val="20"/>
                <w:szCs w:val="20"/>
              </w:rPr>
              <w:t>distribution, and end-user tariffs as per the new tariff methodology and consistent with the targets approved under the Electricity Tariff Paper</w:t>
            </w:r>
          </w:p>
        </w:tc>
        <w:tc>
          <w:tcPr>
            <w:tcW w:w="3780" w:type="dxa"/>
            <w:vMerge w:val="restart"/>
            <w:vAlign w:val="center"/>
          </w:tcPr>
          <w:p w14:paraId="6522FA10" w14:textId="234D5133" w:rsidR="00E2660B" w:rsidRPr="00CF2C4E" w:rsidRDefault="00E2660B" w:rsidP="00E2660B">
            <w:pPr>
              <w:rPr>
                <w:rFonts w:asciiTheme="minorHAnsi" w:hAnsiTheme="minorHAnsi" w:cstheme="minorHAnsi"/>
                <w:sz w:val="20"/>
                <w:szCs w:val="20"/>
              </w:rPr>
            </w:pPr>
            <w:r>
              <w:rPr>
                <w:rFonts w:asciiTheme="minorHAnsi" w:hAnsiTheme="minorHAnsi" w:cstheme="minorHAnsi"/>
                <w:sz w:val="20"/>
                <w:szCs w:val="20"/>
              </w:rPr>
              <w:t>Proposed under AF to promote consistent implementation of the tariff adjustments</w:t>
            </w:r>
          </w:p>
        </w:tc>
      </w:tr>
      <w:tr w:rsidR="00E2660B" w:rsidRPr="00CF2C4E" w14:paraId="76AD6204" w14:textId="77777777" w:rsidTr="004B1841">
        <w:tc>
          <w:tcPr>
            <w:tcW w:w="6750" w:type="dxa"/>
            <w:gridSpan w:val="3"/>
          </w:tcPr>
          <w:p w14:paraId="41BCBF1D" w14:textId="23BEB6B9" w:rsidR="00E2660B" w:rsidRPr="00CF2C4E" w:rsidRDefault="00E2660B" w:rsidP="00CF2C4E">
            <w:pPr>
              <w:rPr>
                <w:rFonts w:asciiTheme="minorHAnsi" w:hAnsiTheme="minorHAnsi" w:cstheme="minorHAnsi"/>
                <w:sz w:val="20"/>
                <w:szCs w:val="20"/>
              </w:rPr>
            </w:pPr>
            <w:r>
              <w:rPr>
                <w:rFonts w:asciiTheme="minorHAnsi" w:eastAsia="Times New Roman" w:hAnsiTheme="minorHAnsi" w:cstheme="minorHAnsi"/>
                <w:b/>
                <w:bCs/>
                <w:sz w:val="20"/>
                <w:szCs w:val="20"/>
              </w:rPr>
              <w:t xml:space="preserve">New DLR 1.9: </w:t>
            </w:r>
            <w:r w:rsidRPr="00F75071">
              <w:rPr>
                <w:rFonts w:asciiTheme="minorHAnsi" w:eastAsia="Times New Roman" w:hAnsiTheme="minorHAnsi" w:cstheme="minorHAnsi"/>
                <w:sz w:val="20"/>
                <w:szCs w:val="20"/>
              </w:rPr>
              <w:t>By December 31, 2029, at least annual adjustment of generation, transmission, distribution, and end-user tariffs as per the new tariff methodology and consistent with the targets approved under the Electricity Tariff Paper</w:t>
            </w:r>
          </w:p>
        </w:tc>
        <w:tc>
          <w:tcPr>
            <w:tcW w:w="3780" w:type="dxa"/>
            <w:vMerge/>
          </w:tcPr>
          <w:p w14:paraId="00FCA0B1" w14:textId="35E4350A" w:rsidR="00E2660B" w:rsidRPr="00CF2C4E" w:rsidRDefault="00E2660B" w:rsidP="00CF2C4E">
            <w:pPr>
              <w:rPr>
                <w:rFonts w:asciiTheme="minorHAnsi" w:hAnsiTheme="minorHAnsi" w:cstheme="minorHAnsi"/>
                <w:sz w:val="20"/>
                <w:szCs w:val="20"/>
              </w:rPr>
            </w:pPr>
          </w:p>
        </w:tc>
      </w:tr>
      <w:tr w:rsidR="00E2660B" w:rsidRPr="00CF2C4E" w14:paraId="3FCD6C8C" w14:textId="77777777" w:rsidTr="0093081A">
        <w:tc>
          <w:tcPr>
            <w:tcW w:w="6750" w:type="dxa"/>
            <w:gridSpan w:val="3"/>
          </w:tcPr>
          <w:p w14:paraId="47E7DFDA" w14:textId="7D04BD6C" w:rsidR="00E2660B" w:rsidRPr="00CF2C4E" w:rsidRDefault="00E2660B" w:rsidP="00CF2C4E">
            <w:pPr>
              <w:rPr>
                <w:rFonts w:asciiTheme="minorHAnsi" w:hAnsiTheme="minorHAnsi" w:cstheme="minorHAnsi"/>
                <w:sz w:val="20"/>
                <w:szCs w:val="20"/>
              </w:rPr>
            </w:pPr>
            <w:r>
              <w:rPr>
                <w:rFonts w:asciiTheme="minorHAnsi" w:eastAsia="Times New Roman" w:hAnsiTheme="minorHAnsi" w:cstheme="minorHAnsi"/>
                <w:b/>
                <w:bCs/>
                <w:sz w:val="20"/>
                <w:szCs w:val="20"/>
              </w:rPr>
              <w:t xml:space="preserve">New </w:t>
            </w:r>
            <w:r w:rsidRPr="00F75071">
              <w:rPr>
                <w:rFonts w:asciiTheme="minorHAnsi" w:eastAsia="Times New Roman" w:hAnsiTheme="minorHAnsi" w:cstheme="minorHAnsi"/>
                <w:b/>
                <w:bCs/>
                <w:sz w:val="20"/>
                <w:szCs w:val="20"/>
              </w:rPr>
              <w:t xml:space="preserve">DLR 1.10: </w:t>
            </w:r>
            <w:r w:rsidRPr="00F75071">
              <w:rPr>
                <w:rFonts w:asciiTheme="minorHAnsi" w:eastAsia="Times New Roman" w:hAnsiTheme="minorHAnsi" w:cstheme="minorHAnsi"/>
                <w:sz w:val="20"/>
                <w:szCs w:val="20"/>
              </w:rPr>
              <w:t>By December 31, 2030, at least annual adjustment of generation, transmission, distribution, and end-user tariffs as per the new tariff methodology and consistent with the targets approved under the Electricity Tariff Paper</w:t>
            </w:r>
          </w:p>
        </w:tc>
        <w:tc>
          <w:tcPr>
            <w:tcW w:w="3780" w:type="dxa"/>
            <w:vMerge/>
          </w:tcPr>
          <w:p w14:paraId="25837933" w14:textId="3167349F" w:rsidR="00E2660B" w:rsidRPr="00CF2C4E" w:rsidRDefault="00E2660B" w:rsidP="00CF2C4E">
            <w:pPr>
              <w:rPr>
                <w:rFonts w:asciiTheme="minorHAnsi" w:hAnsiTheme="minorHAnsi" w:cstheme="minorHAnsi"/>
                <w:sz w:val="20"/>
                <w:szCs w:val="20"/>
              </w:rPr>
            </w:pPr>
          </w:p>
        </w:tc>
      </w:tr>
      <w:tr w:rsidR="00E2660B" w:rsidRPr="00CF2C4E" w14:paraId="101D2075" w14:textId="77777777" w:rsidTr="00C4254A">
        <w:tc>
          <w:tcPr>
            <w:tcW w:w="6750" w:type="dxa"/>
            <w:gridSpan w:val="3"/>
          </w:tcPr>
          <w:p w14:paraId="0CA8259F" w14:textId="4D14E7A5" w:rsidR="00E2660B" w:rsidRPr="00CF2C4E" w:rsidRDefault="00E2660B" w:rsidP="00CF2C4E">
            <w:pPr>
              <w:rPr>
                <w:rFonts w:asciiTheme="minorHAnsi" w:hAnsiTheme="minorHAnsi" w:cstheme="minorHAnsi"/>
                <w:sz w:val="20"/>
                <w:szCs w:val="20"/>
              </w:rPr>
            </w:pPr>
            <w:r>
              <w:rPr>
                <w:rFonts w:asciiTheme="minorHAnsi" w:eastAsia="Times New Roman" w:hAnsiTheme="minorHAnsi" w:cstheme="minorHAnsi"/>
                <w:b/>
                <w:bCs/>
                <w:sz w:val="20"/>
                <w:szCs w:val="20"/>
              </w:rPr>
              <w:t xml:space="preserve">New </w:t>
            </w:r>
            <w:r w:rsidRPr="00F75071">
              <w:rPr>
                <w:rFonts w:asciiTheme="minorHAnsi" w:eastAsia="Times New Roman" w:hAnsiTheme="minorHAnsi" w:cstheme="minorHAnsi"/>
                <w:b/>
                <w:bCs/>
                <w:sz w:val="20"/>
                <w:szCs w:val="20"/>
              </w:rPr>
              <w:t xml:space="preserve">DLR 1.11: </w:t>
            </w:r>
            <w:r w:rsidRPr="00F75071">
              <w:rPr>
                <w:rFonts w:asciiTheme="minorHAnsi" w:eastAsia="Times New Roman" w:hAnsiTheme="minorHAnsi" w:cstheme="minorHAnsi"/>
                <w:sz w:val="20"/>
                <w:szCs w:val="20"/>
              </w:rPr>
              <w:t>By December 31, 2031, at least annual adjustment of generation, transmission, distribution, and end-user tariffs as per the new tariff methodology and consistent with the targets approved under the Electricity Tariff Paper</w:t>
            </w:r>
          </w:p>
        </w:tc>
        <w:tc>
          <w:tcPr>
            <w:tcW w:w="3780" w:type="dxa"/>
            <w:vMerge/>
          </w:tcPr>
          <w:p w14:paraId="29B7ED73" w14:textId="5551249C" w:rsidR="00E2660B" w:rsidRPr="00CF2C4E" w:rsidRDefault="00E2660B" w:rsidP="00CF2C4E">
            <w:pPr>
              <w:rPr>
                <w:rFonts w:asciiTheme="minorHAnsi" w:hAnsiTheme="minorHAnsi" w:cstheme="minorHAnsi"/>
                <w:sz w:val="20"/>
                <w:szCs w:val="20"/>
              </w:rPr>
            </w:pPr>
          </w:p>
        </w:tc>
      </w:tr>
      <w:tr w:rsidR="00CF2C4E" w:rsidRPr="00CF2C4E" w14:paraId="6875CA6D" w14:textId="77777777" w:rsidTr="004B0D0B">
        <w:tc>
          <w:tcPr>
            <w:tcW w:w="10530" w:type="dxa"/>
            <w:gridSpan w:val="4"/>
            <w:shd w:val="clear" w:color="auto" w:fill="D9E2F3" w:themeFill="accent5" w:themeFillTint="33"/>
            <w:vAlign w:val="center"/>
          </w:tcPr>
          <w:p w14:paraId="05F022DA" w14:textId="1BCFCAC3" w:rsidR="00CF2C4E" w:rsidRPr="00CF2C4E" w:rsidRDefault="00530828" w:rsidP="00CF2C4E">
            <w:pPr>
              <w:rPr>
                <w:rFonts w:asciiTheme="minorHAnsi" w:hAnsiTheme="minorHAnsi" w:cstheme="minorHAnsi"/>
                <w:sz w:val="20"/>
                <w:szCs w:val="20"/>
              </w:rPr>
            </w:pPr>
            <w:r>
              <w:rPr>
                <w:rFonts w:asciiTheme="minorHAnsi" w:hAnsiTheme="minorHAnsi" w:cstheme="minorHAnsi"/>
                <w:b/>
                <w:sz w:val="20"/>
                <w:szCs w:val="20"/>
              </w:rPr>
              <w:t xml:space="preserve">DLI 2: </w:t>
            </w:r>
            <w:r w:rsidR="00CF2C4E" w:rsidRPr="00CF2C4E">
              <w:rPr>
                <w:rFonts w:asciiTheme="minorHAnsi" w:hAnsiTheme="minorHAnsi" w:cstheme="minorHAnsi"/>
                <w:b/>
                <w:sz w:val="20"/>
                <w:szCs w:val="20"/>
              </w:rPr>
              <w:t>Revision of the Subsidiary Agreements between MOF and BT</w:t>
            </w:r>
          </w:p>
        </w:tc>
      </w:tr>
      <w:tr w:rsidR="00F75071" w:rsidRPr="00CF2C4E" w14:paraId="3D8D0CF0" w14:textId="77777777" w:rsidTr="00F75071">
        <w:tc>
          <w:tcPr>
            <w:tcW w:w="3870" w:type="dxa"/>
          </w:tcPr>
          <w:p w14:paraId="09E3B182" w14:textId="4058A329" w:rsidR="00CF2C4E" w:rsidRPr="00CF2C4E" w:rsidRDefault="00CF2C4E" w:rsidP="00CF2C4E">
            <w:pPr>
              <w:ind w:left="-40"/>
              <w:rPr>
                <w:rFonts w:asciiTheme="minorHAnsi" w:hAnsiTheme="minorHAnsi" w:cstheme="minorHAnsi"/>
                <w:sz w:val="20"/>
                <w:szCs w:val="20"/>
              </w:rPr>
            </w:pPr>
            <w:r w:rsidRPr="00CF2C4E">
              <w:rPr>
                <w:rFonts w:asciiTheme="minorHAnsi" w:hAnsiTheme="minorHAnsi" w:cstheme="minorHAnsi"/>
                <w:b/>
                <w:bCs/>
                <w:sz w:val="20"/>
                <w:szCs w:val="20"/>
              </w:rPr>
              <w:t>DLR 2.6:</w:t>
            </w:r>
            <w:r w:rsidRPr="00CF2C4E">
              <w:rPr>
                <w:rFonts w:asciiTheme="minorHAnsi" w:hAnsiTheme="minorHAnsi" w:cstheme="minorHAnsi"/>
                <w:sz w:val="20"/>
                <w:szCs w:val="20"/>
              </w:rPr>
              <w:t xml:space="preserve"> (a) the MOF and BT revise the terms of ten loans under Group 2 Subsidiary Agreements to align those with the terms in respective legal agreements between the Recipient and the financiers; and (b) the Recipient converts into equity the difference between the original and revised interest payable by BT to the MOF under each of the ten loans from Group 2 Subsidiary Agreements, assuming the revised terms of each such loan were in effect since the effectiveness date of the respective Group 2 Subsidiary Agreements</w:t>
            </w:r>
          </w:p>
        </w:tc>
        <w:tc>
          <w:tcPr>
            <w:tcW w:w="1440" w:type="dxa"/>
          </w:tcPr>
          <w:p w14:paraId="7F1D9001" w14:textId="77777777" w:rsidR="00CF2C4E" w:rsidRPr="00CF2C4E" w:rsidRDefault="00CF2C4E" w:rsidP="00CF2C4E">
            <w:pPr>
              <w:rPr>
                <w:rFonts w:asciiTheme="minorHAnsi" w:hAnsiTheme="minorHAnsi" w:cstheme="minorHAnsi"/>
                <w:sz w:val="20"/>
                <w:szCs w:val="20"/>
              </w:rPr>
            </w:pPr>
            <w:r w:rsidRPr="00CF2C4E">
              <w:rPr>
                <w:rFonts w:asciiTheme="minorHAnsi" w:hAnsiTheme="minorHAnsi" w:cstheme="minorHAnsi"/>
                <w:sz w:val="20"/>
                <w:szCs w:val="20"/>
              </w:rPr>
              <w:t>June 30, 2021</w:t>
            </w:r>
          </w:p>
        </w:tc>
        <w:tc>
          <w:tcPr>
            <w:tcW w:w="1440" w:type="dxa"/>
          </w:tcPr>
          <w:p w14:paraId="2C2A7704" w14:textId="33858B2B" w:rsidR="00CF2C4E" w:rsidRPr="00CF2C4E" w:rsidRDefault="00CF2C4E" w:rsidP="00CF2C4E">
            <w:pPr>
              <w:rPr>
                <w:rFonts w:asciiTheme="minorHAnsi" w:hAnsiTheme="minorHAnsi" w:cstheme="minorHAnsi"/>
                <w:sz w:val="20"/>
                <w:szCs w:val="20"/>
              </w:rPr>
            </w:pPr>
            <w:r w:rsidRPr="00CF2C4E">
              <w:rPr>
                <w:rFonts w:asciiTheme="minorHAnsi" w:hAnsiTheme="minorHAnsi" w:cstheme="minorHAnsi"/>
                <w:sz w:val="20"/>
                <w:szCs w:val="20"/>
              </w:rPr>
              <w:t>Sep</w:t>
            </w:r>
            <w:r w:rsidR="00CE193C">
              <w:rPr>
                <w:rFonts w:asciiTheme="minorHAnsi" w:hAnsiTheme="minorHAnsi" w:cstheme="minorHAnsi"/>
                <w:sz w:val="20"/>
                <w:szCs w:val="20"/>
              </w:rPr>
              <w:t>.</w:t>
            </w:r>
            <w:r w:rsidRPr="00CF2C4E">
              <w:rPr>
                <w:rFonts w:asciiTheme="minorHAnsi" w:hAnsiTheme="minorHAnsi" w:cstheme="minorHAnsi"/>
                <w:sz w:val="20"/>
                <w:szCs w:val="20"/>
              </w:rPr>
              <w:t xml:space="preserve"> 30, 2022</w:t>
            </w:r>
          </w:p>
        </w:tc>
        <w:tc>
          <w:tcPr>
            <w:tcW w:w="3780" w:type="dxa"/>
          </w:tcPr>
          <w:p w14:paraId="7424A9A5" w14:textId="2F763988" w:rsidR="00CF2C4E" w:rsidRPr="00CF2C4E" w:rsidRDefault="00CF2C4E" w:rsidP="00CF2C4E">
            <w:pPr>
              <w:rPr>
                <w:rFonts w:asciiTheme="minorHAnsi" w:hAnsiTheme="minorHAnsi" w:cstheme="minorHAnsi"/>
                <w:sz w:val="20"/>
                <w:szCs w:val="20"/>
              </w:rPr>
            </w:pPr>
            <w:r w:rsidRPr="00CF2C4E">
              <w:rPr>
                <w:rFonts w:asciiTheme="minorHAnsi" w:hAnsiTheme="minorHAnsi" w:cstheme="minorHAnsi"/>
                <w:sz w:val="20"/>
                <w:szCs w:val="20"/>
              </w:rPr>
              <w:t>The revision of Group 2 Subsidiary Agreements is largely completed with outstanding balances of loans, overdue interest, the difference between the accumulated interest under existing and revised terms, as well as fines and penalties for overdue debt service reconciled between MOF and BT. Additional time is required because modifications to some of the subsidiary agreements require approval from financiers as per relevant financing agreements</w:t>
            </w:r>
          </w:p>
        </w:tc>
      </w:tr>
      <w:tr w:rsidR="00F75071" w:rsidRPr="00CF2C4E" w14:paraId="52F573FE" w14:textId="77777777" w:rsidTr="00F75071">
        <w:tc>
          <w:tcPr>
            <w:tcW w:w="3870" w:type="dxa"/>
          </w:tcPr>
          <w:p w14:paraId="67361F8A" w14:textId="2064E291" w:rsidR="00CF2C4E" w:rsidRPr="00CF2C4E" w:rsidRDefault="00CF2C4E" w:rsidP="00CF2C4E">
            <w:pPr>
              <w:ind w:left="-40"/>
              <w:rPr>
                <w:rFonts w:asciiTheme="minorHAnsi" w:hAnsiTheme="minorHAnsi" w:cstheme="minorHAnsi"/>
                <w:sz w:val="20"/>
                <w:szCs w:val="20"/>
              </w:rPr>
            </w:pPr>
            <w:r w:rsidRPr="00CF2C4E">
              <w:rPr>
                <w:rFonts w:asciiTheme="minorHAnsi" w:hAnsiTheme="minorHAnsi" w:cstheme="minorHAnsi"/>
                <w:b/>
                <w:bCs/>
                <w:sz w:val="20"/>
                <w:szCs w:val="20"/>
              </w:rPr>
              <w:t>DLR 2.8:</w:t>
            </w:r>
            <w:r w:rsidRPr="00CF2C4E">
              <w:rPr>
                <w:rFonts w:asciiTheme="minorHAnsi" w:hAnsiTheme="minorHAnsi" w:cstheme="minorHAnsi"/>
                <w:sz w:val="20"/>
                <w:szCs w:val="20"/>
              </w:rPr>
              <w:t xml:space="preserve"> (a) the MOF and BT revise the terms of nine additional loans under Group 2 Subsidiary Agreements to align those with the terms in respective legal agreements between the Recipient and the financiers; and (b) the Recipient converts into equity the difference between the original and revised </w:t>
            </w:r>
            <w:r w:rsidRPr="00CF2C4E">
              <w:rPr>
                <w:rFonts w:asciiTheme="minorHAnsi" w:hAnsiTheme="minorHAnsi" w:cstheme="minorHAnsi"/>
                <w:sz w:val="20"/>
                <w:szCs w:val="20"/>
              </w:rPr>
              <w:lastRenderedPageBreak/>
              <w:t>interest payable by BT to the MOF under each of the nine loans from Group 2 Subsidiary Agreements, assuming the revised terms of each such loan were in effect since the effectiveness date of the respective Group 2 Subsidiary Agreements</w:t>
            </w:r>
          </w:p>
        </w:tc>
        <w:tc>
          <w:tcPr>
            <w:tcW w:w="1440" w:type="dxa"/>
          </w:tcPr>
          <w:p w14:paraId="2264CE7F" w14:textId="346BC400" w:rsidR="00CF2C4E" w:rsidRPr="00CF2C4E" w:rsidRDefault="00CF2C4E" w:rsidP="00CF2C4E">
            <w:pPr>
              <w:rPr>
                <w:rFonts w:asciiTheme="minorHAnsi" w:hAnsiTheme="minorHAnsi" w:cstheme="minorHAnsi"/>
                <w:sz w:val="20"/>
                <w:szCs w:val="20"/>
              </w:rPr>
            </w:pPr>
            <w:r w:rsidRPr="00CF2C4E">
              <w:rPr>
                <w:rFonts w:asciiTheme="minorHAnsi" w:hAnsiTheme="minorHAnsi" w:cstheme="minorHAnsi"/>
                <w:sz w:val="20"/>
                <w:szCs w:val="20"/>
              </w:rPr>
              <w:lastRenderedPageBreak/>
              <w:t>Dec</w:t>
            </w:r>
            <w:r w:rsidR="00EC7CB6">
              <w:rPr>
                <w:rFonts w:asciiTheme="minorHAnsi" w:hAnsiTheme="minorHAnsi" w:cstheme="minorHAnsi"/>
                <w:sz w:val="20"/>
                <w:szCs w:val="20"/>
              </w:rPr>
              <w:t>.</w:t>
            </w:r>
            <w:r w:rsidRPr="00CF2C4E">
              <w:rPr>
                <w:rFonts w:asciiTheme="minorHAnsi" w:hAnsiTheme="minorHAnsi" w:cstheme="minorHAnsi"/>
                <w:sz w:val="20"/>
                <w:szCs w:val="20"/>
              </w:rPr>
              <w:t xml:space="preserve"> 31, 2021</w:t>
            </w:r>
          </w:p>
        </w:tc>
        <w:tc>
          <w:tcPr>
            <w:tcW w:w="1440" w:type="dxa"/>
          </w:tcPr>
          <w:p w14:paraId="10529E0E" w14:textId="6E459B40" w:rsidR="00CF2C4E" w:rsidRPr="00CF2C4E" w:rsidRDefault="00EC7CB6" w:rsidP="00CF2C4E">
            <w:pPr>
              <w:rPr>
                <w:rFonts w:asciiTheme="minorHAnsi" w:hAnsiTheme="minorHAnsi" w:cstheme="minorHAnsi"/>
                <w:sz w:val="20"/>
                <w:szCs w:val="20"/>
              </w:rPr>
            </w:pPr>
            <w:r>
              <w:rPr>
                <w:rFonts w:asciiTheme="minorHAnsi" w:hAnsiTheme="minorHAnsi" w:cstheme="minorHAnsi"/>
                <w:sz w:val="20"/>
                <w:szCs w:val="20"/>
              </w:rPr>
              <w:t>Sep. 30</w:t>
            </w:r>
            <w:r w:rsidR="00CF2C4E" w:rsidRPr="00CF2C4E">
              <w:rPr>
                <w:rFonts w:asciiTheme="minorHAnsi" w:hAnsiTheme="minorHAnsi" w:cstheme="minorHAnsi"/>
                <w:sz w:val="20"/>
                <w:szCs w:val="20"/>
              </w:rPr>
              <w:t>, 2022</w:t>
            </w:r>
          </w:p>
        </w:tc>
        <w:tc>
          <w:tcPr>
            <w:tcW w:w="3780" w:type="dxa"/>
          </w:tcPr>
          <w:p w14:paraId="4C86303D" w14:textId="5C32C32C" w:rsidR="00CF2C4E" w:rsidRPr="00CF2C4E" w:rsidRDefault="00CF2C4E" w:rsidP="00CF2C4E">
            <w:pPr>
              <w:rPr>
                <w:rFonts w:asciiTheme="minorHAnsi" w:hAnsiTheme="minorHAnsi" w:cstheme="minorHAnsi"/>
                <w:sz w:val="20"/>
                <w:szCs w:val="20"/>
              </w:rPr>
            </w:pPr>
            <w:r w:rsidRPr="00CF2C4E">
              <w:rPr>
                <w:rFonts w:asciiTheme="minorHAnsi" w:hAnsiTheme="minorHAnsi" w:cstheme="minorHAnsi"/>
                <w:sz w:val="20"/>
                <w:szCs w:val="20"/>
              </w:rPr>
              <w:t>The works to revise all Group 2 Subsidiary Agreements are underway. This DLR will be achieved together with DLR 2.6 for which extension was also requested. The Government adopted the approach of doing one round of revisions to all Group 2 Subsidiary Agreements</w:t>
            </w:r>
          </w:p>
        </w:tc>
      </w:tr>
      <w:tr w:rsidR="00CF2C4E" w:rsidRPr="00CF2C4E" w14:paraId="32BF0221" w14:textId="77777777" w:rsidTr="00EC7CB6">
        <w:tc>
          <w:tcPr>
            <w:tcW w:w="10530" w:type="dxa"/>
            <w:gridSpan w:val="4"/>
            <w:shd w:val="clear" w:color="auto" w:fill="D9E2F3" w:themeFill="accent5" w:themeFillTint="33"/>
          </w:tcPr>
          <w:p w14:paraId="2D6FBD54" w14:textId="34FE27EB" w:rsidR="00CF2C4E" w:rsidRPr="00CF2C4E" w:rsidRDefault="00530828" w:rsidP="009A43D1">
            <w:pPr>
              <w:ind w:left="-14"/>
              <w:rPr>
                <w:rFonts w:asciiTheme="minorHAnsi" w:hAnsiTheme="minorHAnsi" w:cstheme="minorHAnsi"/>
                <w:sz w:val="20"/>
                <w:szCs w:val="20"/>
              </w:rPr>
            </w:pPr>
            <w:r>
              <w:rPr>
                <w:rFonts w:asciiTheme="minorHAnsi" w:eastAsia="Times New Roman" w:hAnsiTheme="minorHAnsi" w:cstheme="minorHAnsi"/>
                <w:b/>
                <w:sz w:val="20"/>
                <w:szCs w:val="20"/>
              </w:rPr>
              <w:t xml:space="preserve">DLI 3: </w:t>
            </w:r>
            <w:r w:rsidR="00CF2C4E" w:rsidRPr="00CF2C4E">
              <w:rPr>
                <w:rFonts w:asciiTheme="minorHAnsi" w:eastAsia="Times New Roman" w:hAnsiTheme="minorHAnsi" w:cstheme="minorHAnsi"/>
                <w:b/>
                <w:sz w:val="20"/>
                <w:szCs w:val="20"/>
              </w:rPr>
              <w:t>Electricity sector’s cash deficit</w:t>
            </w:r>
          </w:p>
        </w:tc>
      </w:tr>
      <w:tr w:rsidR="007365AE" w:rsidRPr="00CF2C4E" w14:paraId="4BA6D2C0" w14:textId="77777777" w:rsidTr="0050746C">
        <w:trPr>
          <w:trHeight w:val="333"/>
        </w:trPr>
        <w:tc>
          <w:tcPr>
            <w:tcW w:w="3870" w:type="dxa"/>
          </w:tcPr>
          <w:p w14:paraId="64C171D2" w14:textId="77777777" w:rsidR="007365AE" w:rsidRPr="00CF2C4E" w:rsidRDefault="007365AE" w:rsidP="00CF2C4E">
            <w:pPr>
              <w:ind w:left="-40"/>
              <w:rPr>
                <w:rFonts w:asciiTheme="minorHAnsi" w:eastAsia="Times New Roman" w:hAnsiTheme="minorHAnsi" w:cstheme="minorHAnsi"/>
                <w:b/>
                <w:sz w:val="20"/>
                <w:szCs w:val="20"/>
              </w:rPr>
            </w:pPr>
            <w:r w:rsidRPr="00CF2C4E">
              <w:rPr>
                <w:rFonts w:asciiTheme="minorHAnsi" w:hAnsiTheme="minorHAnsi" w:cstheme="minorHAnsi"/>
                <w:b/>
                <w:bCs/>
                <w:sz w:val="20"/>
                <w:szCs w:val="20"/>
              </w:rPr>
              <w:t>DLR 3.1:</w:t>
            </w:r>
            <w:r w:rsidRPr="00CF2C4E">
              <w:rPr>
                <w:rFonts w:asciiTheme="minorHAnsi" w:hAnsiTheme="minorHAnsi" w:cstheme="minorHAnsi"/>
                <w:sz w:val="20"/>
                <w:szCs w:val="20"/>
              </w:rPr>
              <w:t xml:space="preserve"> At least 7 percent reduction from BT’s cash deficit in 2019 </w:t>
            </w:r>
          </w:p>
        </w:tc>
        <w:tc>
          <w:tcPr>
            <w:tcW w:w="1440" w:type="dxa"/>
          </w:tcPr>
          <w:p w14:paraId="708BE24F" w14:textId="00B451A5" w:rsidR="007365AE" w:rsidRPr="00CF2C4E" w:rsidRDefault="00DB3B95" w:rsidP="00CF2C4E">
            <w:pPr>
              <w:rPr>
                <w:rFonts w:asciiTheme="minorHAnsi" w:hAnsiTheme="minorHAnsi" w:cstheme="minorHAnsi"/>
                <w:sz w:val="20"/>
                <w:szCs w:val="20"/>
              </w:rPr>
            </w:pPr>
            <w:r>
              <w:rPr>
                <w:rFonts w:asciiTheme="minorHAnsi" w:hAnsiTheme="minorHAnsi" w:cstheme="minorHAnsi"/>
                <w:sz w:val="20"/>
                <w:szCs w:val="20"/>
              </w:rPr>
              <w:t>Dec. 31, 2020</w:t>
            </w:r>
          </w:p>
        </w:tc>
        <w:tc>
          <w:tcPr>
            <w:tcW w:w="1440" w:type="dxa"/>
          </w:tcPr>
          <w:p w14:paraId="6C386A37" w14:textId="0588EA29" w:rsidR="007365AE" w:rsidRPr="00CF2C4E" w:rsidRDefault="007365AE" w:rsidP="00CF2C4E">
            <w:pPr>
              <w:rPr>
                <w:rFonts w:asciiTheme="minorHAnsi" w:hAnsiTheme="minorHAnsi" w:cstheme="minorHAnsi"/>
                <w:sz w:val="20"/>
                <w:szCs w:val="20"/>
              </w:rPr>
            </w:pPr>
          </w:p>
        </w:tc>
        <w:tc>
          <w:tcPr>
            <w:tcW w:w="3780" w:type="dxa"/>
            <w:vMerge w:val="restart"/>
            <w:vAlign w:val="center"/>
          </w:tcPr>
          <w:p w14:paraId="4B4FB385" w14:textId="2BE7CFDF" w:rsidR="007365AE" w:rsidRPr="00CF2C4E" w:rsidRDefault="007365AE" w:rsidP="00CF2C4E">
            <w:pPr>
              <w:rPr>
                <w:rFonts w:asciiTheme="minorHAnsi" w:hAnsiTheme="minorHAnsi" w:cstheme="minorHAnsi"/>
                <w:sz w:val="20"/>
                <w:szCs w:val="20"/>
              </w:rPr>
            </w:pPr>
            <w:r w:rsidRPr="00CF2C4E">
              <w:rPr>
                <w:rFonts w:asciiTheme="minorHAnsi" w:hAnsiTheme="minorHAnsi" w:cstheme="minorHAnsi"/>
                <w:sz w:val="20"/>
                <w:szCs w:val="20"/>
              </w:rPr>
              <w:t>Cash deficit targets revised as per new projections as agreed with Government. These are different from the numbers requested in formal restructuring request due to changes in the exchange rates, expected inflation, and estimated revenues since the original request was submitted</w:t>
            </w:r>
          </w:p>
        </w:tc>
      </w:tr>
      <w:tr w:rsidR="007365AE" w:rsidRPr="00CF2C4E" w14:paraId="7754603D" w14:textId="77777777" w:rsidTr="0050746C">
        <w:trPr>
          <w:trHeight w:val="332"/>
        </w:trPr>
        <w:tc>
          <w:tcPr>
            <w:tcW w:w="3870" w:type="dxa"/>
          </w:tcPr>
          <w:p w14:paraId="034F54E1" w14:textId="511086C3" w:rsidR="007365AE" w:rsidRPr="00CF2C4E" w:rsidRDefault="007365AE" w:rsidP="00CF2C4E">
            <w:pPr>
              <w:ind w:left="-40"/>
              <w:rPr>
                <w:rFonts w:asciiTheme="minorHAnsi" w:hAnsiTheme="minorHAnsi" w:cstheme="minorHAnsi"/>
                <w:b/>
                <w:bCs/>
                <w:sz w:val="20"/>
                <w:szCs w:val="20"/>
              </w:rPr>
            </w:pPr>
            <w:r w:rsidRPr="00F05671">
              <w:rPr>
                <w:rFonts w:asciiTheme="minorHAnsi" w:hAnsiTheme="minorHAnsi" w:cstheme="minorHAnsi"/>
                <w:b/>
                <w:bCs/>
                <w:sz w:val="20"/>
                <w:szCs w:val="20"/>
              </w:rPr>
              <w:t>Revised DLR 3.1</w:t>
            </w:r>
            <w:r w:rsidRPr="00CF2C4E">
              <w:rPr>
                <w:rFonts w:asciiTheme="minorHAnsi" w:hAnsiTheme="minorHAnsi" w:cstheme="minorHAnsi"/>
                <w:sz w:val="20"/>
                <w:szCs w:val="20"/>
              </w:rPr>
              <w:t>: Electricity sector’s cash deficit does not exceed TJS 14</w:t>
            </w:r>
            <w:r>
              <w:rPr>
                <w:rFonts w:asciiTheme="minorHAnsi" w:hAnsiTheme="minorHAnsi" w:cstheme="minorHAnsi"/>
                <w:sz w:val="20"/>
                <w:szCs w:val="20"/>
              </w:rPr>
              <w:t xml:space="preserve"> billion</w:t>
            </w:r>
          </w:p>
        </w:tc>
        <w:tc>
          <w:tcPr>
            <w:tcW w:w="1440" w:type="dxa"/>
          </w:tcPr>
          <w:p w14:paraId="253BE33A" w14:textId="77777777" w:rsidR="007365AE" w:rsidRPr="00CF2C4E" w:rsidRDefault="007365AE" w:rsidP="00CF2C4E">
            <w:pPr>
              <w:rPr>
                <w:rFonts w:asciiTheme="minorHAnsi" w:hAnsiTheme="minorHAnsi" w:cstheme="minorHAnsi"/>
                <w:sz w:val="20"/>
                <w:szCs w:val="20"/>
              </w:rPr>
            </w:pPr>
          </w:p>
        </w:tc>
        <w:tc>
          <w:tcPr>
            <w:tcW w:w="1440" w:type="dxa"/>
          </w:tcPr>
          <w:p w14:paraId="1577DF55" w14:textId="57379F9E" w:rsidR="007365AE" w:rsidRPr="00CF2C4E" w:rsidRDefault="00DB3B95" w:rsidP="00CF2C4E">
            <w:pPr>
              <w:rPr>
                <w:rFonts w:asciiTheme="minorHAnsi" w:hAnsiTheme="minorHAnsi" w:cstheme="minorHAnsi"/>
                <w:sz w:val="20"/>
                <w:szCs w:val="20"/>
              </w:rPr>
            </w:pPr>
            <w:r>
              <w:rPr>
                <w:rFonts w:asciiTheme="minorHAnsi" w:hAnsiTheme="minorHAnsi" w:cstheme="minorHAnsi"/>
                <w:sz w:val="20"/>
                <w:szCs w:val="20"/>
              </w:rPr>
              <w:t>Dec. 31, 2022</w:t>
            </w:r>
          </w:p>
        </w:tc>
        <w:tc>
          <w:tcPr>
            <w:tcW w:w="3780" w:type="dxa"/>
            <w:vMerge/>
            <w:vAlign w:val="center"/>
          </w:tcPr>
          <w:p w14:paraId="32BF7E13" w14:textId="77777777" w:rsidR="007365AE" w:rsidRPr="00CF2C4E" w:rsidRDefault="007365AE" w:rsidP="00CF2C4E">
            <w:pPr>
              <w:rPr>
                <w:rFonts w:asciiTheme="minorHAnsi" w:hAnsiTheme="minorHAnsi" w:cstheme="minorHAnsi"/>
                <w:sz w:val="20"/>
                <w:szCs w:val="20"/>
              </w:rPr>
            </w:pPr>
          </w:p>
        </w:tc>
      </w:tr>
      <w:tr w:rsidR="007365AE" w:rsidRPr="00CF2C4E" w14:paraId="7804E810" w14:textId="77777777" w:rsidTr="001D6C17">
        <w:trPr>
          <w:trHeight w:val="333"/>
        </w:trPr>
        <w:tc>
          <w:tcPr>
            <w:tcW w:w="3870" w:type="dxa"/>
          </w:tcPr>
          <w:p w14:paraId="59EFFCFF" w14:textId="77777777" w:rsidR="007365AE" w:rsidRPr="00CF2C4E" w:rsidRDefault="007365AE" w:rsidP="00CF2C4E">
            <w:pPr>
              <w:ind w:left="-40"/>
              <w:rPr>
                <w:rFonts w:asciiTheme="minorHAnsi" w:hAnsiTheme="minorHAnsi" w:cstheme="minorHAnsi"/>
                <w:sz w:val="20"/>
                <w:szCs w:val="20"/>
              </w:rPr>
            </w:pPr>
            <w:r w:rsidRPr="00CF2C4E">
              <w:rPr>
                <w:rFonts w:asciiTheme="minorHAnsi" w:hAnsiTheme="minorHAnsi" w:cstheme="minorHAnsi"/>
                <w:b/>
                <w:bCs/>
                <w:sz w:val="20"/>
                <w:szCs w:val="20"/>
              </w:rPr>
              <w:t>DLR 3.2:</w:t>
            </w:r>
            <w:r w:rsidRPr="00CF2C4E">
              <w:rPr>
                <w:rFonts w:asciiTheme="minorHAnsi" w:hAnsiTheme="minorHAnsi" w:cstheme="minorHAnsi"/>
                <w:sz w:val="20"/>
                <w:szCs w:val="20"/>
              </w:rPr>
              <w:t xml:space="preserve"> At least 22 percent reduction from the level of preceding year </w:t>
            </w:r>
          </w:p>
        </w:tc>
        <w:tc>
          <w:tcPr>
            <w:tcW w:w="1440" w:type="dxa"/>
          </w:tcPr>
          <w:p w14:paraId="61BEC367" w14:textId="42E77646" w:rsidR="007365AE" w:rsidRPr="00CF2C4E" w:rsidRDefault="00DB3B95" w:rsidP="00CF2C4E">
            <w:pPr>
              <w:rPr>
                <w:rFonts w:asciiTheme="minorHAnsi" w:hAnsiTheme="minorHAnsi" w:cstheme="minorHAnsi"/>
                <w:sz w:val="20"/>
                <w:szCs w:val="20"/>
              </w:rPr>
            </w:pPr>
            <w:r>
              <w:rPr>
                <w:rFonts w:asciiTheme="minorHAnsi" w:hAnsiTheme="minorHAnsi" w:cstheme="minorHAnsi"/>
                <w:sz w:val="20"/>
                <w:szCs w:val="20"/>
              </w:rPr>
              <w:t>Dec. 31, 2021</w:t>
            </w:r>
          </w:p>
        </w:tc>
        <w:tc>
          <w:tcPr>
            <w:tcW w:w="1440" w:type="dxa"/>
          </w:tcPr>
          <w:p w14:paraId="66C99608" w14:textId="4CB1F2DC" w:rsidR="007365AE" w:rsidRPr="00CF2C4E" w:rsidRDefault="007365AE" w:rsidP="00CF2C4E">
            <w:pPr>
              <w:rPr>
                <w:rFonts w:asciiTheme="minorHAnsi" w:hAnsiTheme="minorHAnsi" w:cstheme="minorHAnsi"/>
                <w:sz w:val="20"/>
                <w:szCs w:val="20"/>
              </w:rPr>
            </w:pPr>
          </w:p>
        </w:tc>
        <w:tc>
          <w:tcPr>
            <w:tcW w:w="3780" w:type="dxa"/>
            <w:vMerge/>
          </w:tcPr>
          <w:p w14:paraId="5E8D911D" w14:textId="77777777" w:rsidR="007365AE" w:rsidRPr="00CF2C4E" w:rsidRDefault="007365AE" w:rsidP="00CF2C4E">
            <w:pPr>
              <w:rPr>
                <w:rFonts w:asciiTheme="minorHAnsi" w:hAnsiTheme="minorHAnsi" w:cstheme="minorHAnsi"/>
                <w:sz w:val="20"/>
                <w:szCs w:val="20"/>
              </w:rPr>
            </w:pPr>
          </w:p>
        </w:tc>
      </w:tr>
      <w:tr w:rsidR="007365AE" w:rsidRPr="00CF2C4E" w14:paraId="5EA4602F" w14:textId="77777777" w:rsidTr="001D6C17">
        <w:trPr>
          <w:trHeight w:val="332"/>
        </w:trPr>
        <w:tc>
          <w:tcPr>
            <w:tcW w:w="3870" w:type="dxa"/>
          </w:tcPr>
          <w:p w14:paraId="05481C40" w14:textId="77316BC2" w:rsidR="007365AE" w:rsidRPr="00CF2C4E" w:rsidRDefault="007365AE" w:rsidP="00CF2C4E">
            <w:pPr>
              <w:ind w:left="-40"/>
              <w:rPr>
                <w:rFonts w:asciiTheme="minorHAnsi" w:hAnsiTheme="minorHAnsi" w:cstheme="minorHAnsi"/>
                <w:b/>
                <w:bCs/>
                <w:sz w:val="20"/>
                <w:szCs w:val="20"/>
              </w:rPr>
            </w:pPr>
            <w:r w:rsidRPr="00F05671">
              <w:rPr>
                <w:rFonts w:asciiTheme="minorHAnsi" w:hAnsiTheme="minorHAnsi" w:cstheme="minorHAnsi"/>
                <w:b/>
                <w:bCs/>
                <w:sz w:val="20"/>
                <w:szCs w:val="20"/>
              </w:rPr>
              <w:t>Revised DLR 3.2</w:t>
            </w:r>
            <w:r w:rsidRPr="00CF2C4E">
              <w:rPr>
                <w:rFonts w:asciiTheme="minorHAnsi" w:hAnsiTheme="minorHAnsi" w:cstheme="minorHAnsi"/>
                <w:sz w:val="20"/>
                <w:szCs w:val="20"/>
              </w:rPr>
              <w:t>: Electricity sector’s cash deficit does not exceed TJS 16 billion</w:t>
            </w:r>
          </w:p>
        </w:tc>
        <w:tc>
          <w:tcPr>
            <w:tcW w:w="1440" w:type="dxa"/>
          </w:tcPr>
          <w:p w14:paraId="2190D7C2" w14:textId="77777777" w:rsidR="007365AE" w:rsidRPr="00CF2C4E" w:rsidRDefault="007365AE" w:rsidP="00CF2C4E">
            <w:pPr>
              <w:rPr>
                <w:rFonts w:asciiTheme="minorHAnsi" w:hAnsiTheme="minorHAnsi" w:cstheme="minorHAnsi"/>
                <w:sz w:val="20"/>
                <w:szCs w:val="20"/>
              </w:rPr>
            </w:pPr>
          </w:p>
        </w:tc>
        <w:tc>
          <w:tcPr>
            <w:tcW w:w="1440" w:type="dxa"/>
          </w:tcPr>
          <w:p w14:paraId="3A708231" w14:textId="0557D24A" w:rsidR="007365AE" w:rsidRPr="00CF2C4E" w:rsidRDefault="00DB3B95" w:rsidP="00CF2C4E">
            <w:pPr>
              <w:rPr>
                <w:rFonts w:asciiTheme="minorHAnsi" w:hAnsiTheme="minorHAnsi" w:cstheme="minorHAnsi"/>
                <w:sz w:val="20"/>
                <w:szCs w:val="20"/>
              </w:rPr>
            </w:pPr>
            <w:r>
              <w:rPr>
                <w:rFonts w:asciiTheme="minorHAnsi" w:hAnsiTheme="minorHAnsi" w:cstheme="minorHAnsi"/>
                <w:sz w:val="20"/>
                <w:szCs w:val="20"/>
              </w:rPr>
              <w:t>Dec. 31, 2023</w:t>
            </w:r>
          </w:p>
        </w:tc>
        <w:tc>
          <w:tcPr>
            <w:tcW w:w="3780" w:type="dxa"/>
            <w:vMerge/>
          </w:tcPr>
          <w:p w14:paraId="093F5B75" w14:textId="77777777" w:rsidR="007365AE" w:rsidRPr="00CF2C4E" w:rsidRDefault="007365AE" w:rsidP="00CF2C4E">
            <w:pPr>
              <w:rPr>
                <w:rFonts w:asciiTheme="minorHAnsi" w:hAnsiTheme="minorHAnsi" w:cstheme="minorHAnsi"/>
                <w:sz w:val="20"/>
                <w:szCs w:val="20"/>
              </w:rPr>
            </w:pPr>
          </w:p>
        </w:tc>
      </w:tr>
      <w:tr w:rsidR="007365AE" w:rsidRPr="00CF2C4E" w14:paraId="0B9F9688" w14:textId="77777777" w:rsidTr="00803233">
        <w:trPr>
          <w:trHeight w:val="333"/>
        </w:trPr>
        <w:tc>
          <w:tcPr>
            <w:tcW w:w="3870" w:type="dxa"/>
          </w:tcPr>
          <w:p w14:paraId="6F47A88B" w14:textId="77777777" w:rsidR="007365AE" w:rsidRPr="00CF2C4E" w:rsidRDefault="007365AE" w:rsidP="00CF2C4E">
            <w:pPr>
              <w:ind w:left="-40"/>
              <w:rPr>
                <w:rFonts w:asciiTheme="minorHAnsi" w:hAnsiTheme="minorHAnsi" w:cstheme="minorHAnsi"/>
                <w:sz w:val="20"/>
                <w:szCs w:val="20"/>
              </w:rPr>
            </w:pPr>
            <w:r w:rsidRPr="00CF2C4E">
              <w:rPr>
                <w:rFonts w:asciiTheme="minorHAnsi" w:hAnsiTheme="minorHAnsi" w:cstheme="minorHAnsi"/>
                <w:b/>
                <w:bCs/>
                <w:sz w:val="20"/>
                <w:szCs w:val="20"/>
              </w:rPr>
              <w:t>DLR 3.3:</w:t>
            </w:r>
            <w:r w:rsidRPr="00CF2C4E">
              <w:rPr>
                <w:rFonts w:asciiTheme="minorHAnsi" w:hAnsiTheme="minorHAnsi" w:cstheme="minorHAnsi"/>
                <w:sz w:val="20"/>
                <w:szCs w:val="20"/>
              </w:rPr>
              <w:t xml:space="preserve"> At least 35 percent reduction from the level of preceding year 2022</w:t>
            </w:r>
          </w:p>
        </w:tc>
        <w:tc>
          <w:tcPr>
            <w:tcW w:w="1440" w:type="dxa"/>
          </w:tcPr>
          <w:p w14:paraId="031AD11E" w14:textId="4E711022" w:rsidR="007365AE" w:rsidRPr="00CF2C4E" w:rsidRDefault="00DB3B95" w:rsidP="00CF2C4E">
            <w:pPr>
              <w:rPr>
                <w:rFonts w:asciiTheme="minorHAnsi" w:hAnsiTheme="minorHAnsi" w:cstheme="minorHAnsi"/>
                <w:sz w:val="20"/>
                <w:szCs w:val="20"/>
              </w:rPr>
            </w:pPr>
            <w:r>
              <w:rPr>
                <w:rFonts w:asciiTheme="minorHAnsi" w:hAnsiTheme="minorHAnsi" w:cstheme="minorHAnsi"/>
                <w:sz w:val="20"/>
                <w:szCs w:val="20"/>
              </w:rPr>
              <w:t>Dec. 31, 2022</w:t>
            </w:r>
          </w:p>
        </w:tc>
        <w:tc>
          <w:tcPr>
            <w:tcW w:w="1440" w:type="dxa"/>
          </w:tcPr>
          <w:p w14:paraId="2B19CAB8" w14:textId="59E6B782" w:rsidR="007365AE" w:rsidRPr="00CF2C4E" w:rsidRDefault="007365AE" w:rsidP="00CF2C4E">
            <w:pPr>
              <w:rPr>
                <w:rFonts w:asciiTheme="minorHAnsi" w:hAnsiTheme="minorHAnsi" w:cstheme="minorHAnsi"/>
                <w:sz w:val="20"/>
                <w:szCs w:val="20"/>
              </w:rPr>
            </w:pPr>
          </w:p>
        </w:tc>
        <w:tc>
          <w:tcPr>
            <w:tcW w:w="3780" w:type="dxa"/>
            <w:vMerge/>
          </w:tcPr>
          <w:p w14:paraId="1782AFD1" w14:textId="77777777" w:rsidR="007365AE" w:rsidRPr="00CF2C4E" w:rsidRDefault="007365AE" w:rsidP="00CF2C4E">
            <w:pPr>
              <w:rPr>
                <w:rFonts w:asciiTheme="minorHAnsi" w:hAnsiTheme="minorHAnsi" w:cstheme="minorHAnsi"/>
                <w:sz w:val="20"/>
                <w:szCs w:val="20"/>
              </w:rPr>
            </w:pPr>
          </w:p>
        </w:tc>
      </w:tr>
      <w:tr w:rsidR="007365AE" w:rsidRPr="00CF2C4E" w14:paraId="3995BA31" w14:textId="77777777" w:rsidTr="00803233">
        <w:trPr>
          <w:trHeight w:val="332"/>
        </w:trPr>
        <w:tc>
          <w:tcPr>
            <w:tcW w:w="3870" w:type="dxa"/>
          </w:tcPr>
          <w:p w14:paraId="5FC40E72" w14:textId="710D6B58" w:rsidR="007365AE" w:rsidRPr="00CF2C4E" w:rsidRDefault="007365AE" w:rsidP="00CF2C4E">
            <w:pPr>
              <w:ind w:left="-40"/>
              <w:rPr>
                <w:rFonts w:asciiTheme="minorHAnsi" w:hAnsiTheme="minorHAnsi" w:cstheme="minorHAnsi"/>
                <w:b/>
                <w:bCs/>
                <w:sz w:val="20"/>
                <w:szCs w:val="20"/>
              </w:rPr>
            </w:pPr>
            <w:r w:rsidRPr="00F05671">
              <w:rPr>
                <w:rFonts w:asciiTheme="minorHAnsi" w:hAnsiTheme="minorHAnsi" w:cstheme="minorHAnsi"/>
                <w:b/>
                <w:bCs/>
                <w:sz w:val="20"/>
                <w:szCs w:val="20"/>
              </w:rPr>
              <w:t>Revised DLR 3.3</w:t>
            </w:r>
            <w:r w:rsidRPr="00CF2C4E">
              <w:rPr>
                <w:rFonts w:asciiTheme="minorHAnsi" w:hAnsiTheme="minorHAnsi" w:cstheme="minorHAnsi"/>
                <w:sz w:val="20"/>
                <w:szCs w:val="20"/>
              </w:rPr>
              <w:t>: Electricity sector’s cash deficit does not exceed TJS 16 billion</w:t>
            </w:r>
          </w:p>
        </w:tc>
        <w:tc>
          <w:tcPr>
            <w:tcW w:w="1440" w:type="dxa"/>
          </w:tcPr>
          <w:p w14:paraId="644F8679" w14:textId="77777777" w:rsidR="007365AE" w:rsidRPr="00CF2C4E" w:rsidRDefault="007365AE" w:rsidP="00CF2C4E">
            <w:pPr>
              <w:rPr>
                <w:rFonts w:asciiTheme="minorHAnsi" w:hAnsiTheme="minorHAnsi" w:cstheme="minorHAnsi"/>
                <w:sz w:val="20"/>
                <w:szCs w:val="20"/>
              </w:rPr>
            </w:pPr>
          </w:p>
        </w:tc>
        <w:tc>
          <w:tcPr>
            <w:tcW w:w="1440" w:type="dxa"/>
          </w:tcPr>
          <w:p w14:paraId="7F6B07CC" w14:textId="781B5D61" w:rsidR="007365AE" w:rsidRPr="00CF2C4E" w:rsidRDefault="00DB3B95" w:rsidP="00CF2C4E">
            <w:pPr>
              <w:rPr>
                <w:rFonts w:asciiTheme="minorHAnsi" w:hAnsiTheme="minorHAnsi" w:cstheme="minorHAnsi"/>
                <w:sz w:val="20"/>
                <w:szCs w:val="20"/>
              </w:rPr>
            </w:pPr>
            <w:r>
              <w:rPr>
                <w:rFonts w:asciiTheme="minorHAnsi" w:hAnsiTheme="minorHAnsi" w:cstheme="minorHAnsi"/>
                <w:sz w:val="20"/>
                <w:szCs w:val="20"/>
              </w:rPr>
              <w:t>Dec. 31, 2024</w:t>
            </w:r>
          </w:p>
        </w:tc>
        <w:tc>
          <w:tcPr>
            <w:tcW w:w="3780" w:type="dxa"/>
            <w:vMerge/>
          </w:tcPr>
          <w:p w14:paraId="48171BE3" w14:textId="77777777" w:rsidR="007365AE" w:rsidRPr="00CF2C4E" w:rsidRDefault="007365AE" w:rsidP="00CF2C4E">
            <w:pPr>
              <w:rPr>
                <w:rFonts w:asciiTheme="minorHAnsi" w:hAnsiTheme="minorHAnsi" w:cstheme="minorHAnsi"/>
                <w:sz w:val="20"/>
                <w:szCs w:val="20"/>
              </w:rPr>
            </w:pPr>
          </w:p>
        </w:tc>
      </w:tr>
      <w:tr w:rsidR="007365AE" w:rsidRPr="00CF2C4E" w14:paraId="169C2391" w14:textId="77777777" w:rsidTr="005353B8">
        <w:trPr>
          <w:trHeight w:val="333"/>
        </w:trPr>
        <w:tc>
          <w:tcPr>
            <w:tcW w:w="3870" w:type="dxa"/>
          </w:tcPr>
          <w:p w14:paraId="045E9C54" w14:textId="77777777" w:rsidR="007365AE" w:rsidRPr="00CF2C4E" w:rsidRDefault="007365AE" w:rsidP="00CF2C4E">
            <w:pPr>
              <w:ind w:left="-40"/>
              <w:rPr>
                <w:rFonts w:asciiTheme="minorHAnsi" w:hAnsiTheme="minorHAnsi" w:cstheme="minorHAnsi"/>
                <w:sz w:val="20"/>
                <w:szCs w:val="20"/>
              </w:rPr>
            </w:pPr>
            <w:r w:rsidRPr="00CF2C4E">
              <w:rPr>
                <w:rFonts w:asciiTheme="minorHAnsi" w:hAnsiTheme="minorHAnsi" w:cstheme="minorHAnsi"/>
                <w:b/>
                <w:bCs/>
                <w:sz w:val="20"/>
                <w:szCs w:val="20"/>
              </w:rPr>
              <w:t>DLR 3.4:</w:t>
            </w:r>
            <w:r w:rsidRPr="00CF2C4E">
              <w:rPr>
                <w:rFonts w:asciiTheme="minorHAnsi" w:hAnsiTheme="minorHAnsi" w:cstheme="minorHAnsi"/>
                <w:sz w:val="20"/>
                <w:szCs w:val="20"/>
              </w:rPr>
              <w:t xml:space="preserve"> At least 50 percent reduction from the level of preceding year</w:t>
            </w:r>
          </w:p>
        </w:tc>
        <w:tc>
          <w:tcPr>
            <w:tcW w:w="1440" w:type="dxa"/>
          </w:tcPr>
          <w:p w14:paraId="5253DCE4" w14:textId="488C941A" w:rsidR="007365AE" w:rsidRPr="00CF2C4E" w:rsidRDefault="00DB3B95" w:rsidP="00CF2C4E">
            <w:pPr>
              <w:rPr>
                <w:rFonts w:asciiTheme="minorHAnsi" w:hAnsiTheme="minorHAnsi" w:cstheme="minorHAnsi"/>
                <w:sz w:val="20"/>
                <w:szCs w:val="20"/>
              </w:rPr>
            </w:pPr>
            <w:r>
              <w:rPr>
                <w:rFonts w:asciiTheme="minorHAnsi" w:hAnsiTheme="minorHAnsi" w:cstheme="minorHAnsi"/>
                <w:sz w:val="20"/>
                <w:szCs w:val="20"/>
              </w:rPr>
              <w:t>Dec. 31, 2023</w:t>
            </w:r>
          </w:p>
        </w:tc>
        <w:tc>
          <w:tcPr>
            <w:tcW w:w="1440" w:type="dxa"/>
          </w:tcPr>
          <w:p w14:paraId="3C9FE97B" w14:textId="761658A6" w:rsidR="007365AE" w:rsidRPr="00CF2C4E" w:rsidRDefault="007365AE" w:rsidP="00CF2C4E">
            <w:pPr>
              <w:rPr>
                <w:rFonts w:asciiTheme="minorHAnsi" w:hAnsiTheme="minorHAnsi" w:cstheme="minorHAnsi"/>
                <w:sz w:val="20"/>
                <w:szCs w:val="20"/>
              </w:rPr>
            </w:pPr>
          </w:p>
        </w:tc>
        <w:tc>
          <w:tcPr>
            <w:tcW w:w="3780" w:type="dxa"/>
            <w:vMerge/>
          </w:tcPr>
          <w:p w14:paraId="5DCCD88B" w14:textId="77777777" w:rsidR="007365AE" w:rsidRPr="00CF2C4E" w:rsidRDefault="007365AE" w:rsidP="00CF2C4E">
            <w:pPr>
              <w:rPr>
                <w:rFonts w:asciiTheme="minorHAnsi" w:hAnsiTheme="minorHAnsi" w:cstheme="minorHAnsi"/>
                <w:sz w:val="20"/>
                <w:szCs w:val="20"/>
              </w:rPr>
            </w:pPr>
          </w:p>
        </w:tc>
      </w:tr>
      <w:tr w:rsidR="007365AE" w:rsidRPr="00CF2C4E" w14:paraId="0C206792" w14:textId="77777777" w:rsidTr="005353B8">
        <w:trPr>
          <w:trHeight w:val="332"/>
        </w:trPr>
        <w:tc>
          <w:tcPr>
            <w:tcW w:w="3870" w:type="dxa"/>
          </w:tcPr>
          <w:p w14:paraId="6F60E5EC" w14:textId="32B2AD96" w:rsidR="007365AE" w:rsidRPr="00CF2C4E" w:rsidRDefault="007365AE" w:rsidP="00CF2C4E">
            <w:pPr>
              <w:ind w:left="-40"/>
              <w:rPr>
                <w:rFonts w:asciiTheme="minorHAnsi" w:hAnsiTheme="minorHAnsi" w:cstheme="minorHAnsi"/>
                <w:b/>
                <w:bCs/>
                <w:sz w:val="20"/>
                <w:szCs w:val="20"/>
              </w:rPr>
            </w:pPr>
            <w:r>
              <w:rPr>
                <w:rFonts w:asciiTheme="minorHAnsi" w:hAnsiTheme="minorHAnsi" w:cstheme="minorHAnsi"/>
                <w:b/>
                <w:bCs/>
                <w:sz w:val="20"/>
                <w:szCs w:val="20"/>
              </w:rPr>
              <w:t xml:space="preserve">Revised DLR 3.4: </w:t>
            </w:r>
            <w:r w:rsidRPr="00CF2C4E">
              <w:rPr>
                <w:rFonts w:asciiTheme="minorHAnsi" w:hAnsiTheme="minorHAnsi" w:cstheme="minorHAnsi"/>
                <w:sz w:val="20"/>
                <w:szCs w:val="20"/>
              </w:rPr>
              <w:t>Electricity sector’s cash deficit does not exceed TJS 16 billion</w:t>
            </w:r>
          </w:p>
        </w:tc>
        <w:tc>
          <w:tcPr>
            <w:tcW w:w="1440" w:type="dxa"/>
          </w:tcPr>
          <w:p w14:paraId="23AB1A22" w14:textId="77777777" w:rsidR="007365AE" w:rsidRPr="00CF2C4E" w:rsidRDefault="007365AE" w:rsidP="00CF2C4E">
            <w:pPr>
              <w:rPr>
                <w:rFonts w:asciiTheme="minorHAnsi" w:hAnsiTheme="minorHAnsi" w:cstheme="minorHAnsi"/>
                <w:sz w:val="20"/>
                <w:szCs w:val="20"/>
              </w:rPr>
            </w:pPr>
          </w:p>
        </w:tc>
        <w:tc>
          <w:tcPr>
            <w:tcW w:w="1440" w:type="dxa"/>
          </w:tcPr>
          <w:p w14:paraId="7361893D" w14:textId="61B0FAB8" w:rsidR="007365AE" w:rsidRPr="00CF2C4E" w:rsidRDefault="00DB3B95" w:rsidP="00CF2C4E">
            <w:pPr>
              <w:rPr>
                <w:rFonts w:asciiTheme="minorHAnsi" w:hAnsiTheme="minorHAnsi" w:cstheme="minorHAnsi"/>
                <w:sz w:val="20"/>
                <w:szCs w:val="20"/>
              </w:rPr>
            </w:pPr>
            <w:r>
              <w:rPr>
                <w:rFonts w:asciiTheme="minorHAnsi" w:hAnsiTheme="minorHAnsi" w:cstheme="minorHAnsi"/>
                <w:sz w:val="20"/>
                <w:szCs w:val="20"/>
              </w:rPr>
              <w:t>Dec. 31, 2025</w:t>
            </w:r>
          </w:p>
        </w:tc>
        <w:tc>
          <w:tcPr>
            <w:tcW w:w="3780" w:type="dxa"/>
            <w:vMerge/>
          </w:tcPr>
          <w:p w14:paraId="7FDAE8C2" w14:textId="77777777" w:rsidR="007365AE" w:rsidRPr="00CF2C4E" w:rsidRDefault="007365AE" w:rsidP="00CF2C4E">
            <w:pPr>
              <w:rPr>
                <w:rFonts w:asciiTheme="minorHAnsi" w:hAnsiTheme="minorHAnsi" w:cstheme="minorHAnsi"/>
                <w:sz w:val="20"/>
                <w:szCs w:val="20"/>
              </w:rPr>
            </w:pPr>
          </w:p>
        </w:tc>
      </w:tr>
      <w:tr w:rsidR="007365AE" w:rsidRPr="00CF2C4E" w14:paraId="79BD1441" w14:textId="77777777" w:rsidTr="00964D8B">
        <w:trPr>
          <w:trHeight w:val="333"/>
        </w:trPr>
        <w:tc>
          <w:tcPr>
            <w:tcW w:w="3870" w:type="dxa"/>
          </w:tcPr>
          <w:p w14:paraId="7F0D27B2" w14:textId="77777777" w:rsidR="007365AE" w:rsidRPr="00CF2C4E" w:rsidRDefault="007365AE" w:rsidP="00CF2C4E">
            <w:pPr>
              <w:ind w:left="-40"/>
              <w:rPr>
                <w:rFonts w:asciiTheme="minorHAnsi" w:hAnsiTheme="minorHAnsi" w:cstheme="minorHAnsi"/>
                <w:sz w:val="20"/>
                <w:szCs w:val="20"/>
              </w:rPr>
            </w:pPr>
            <w:r w:rsidRPr="00CF2C4E">
              <w:rPr>
                <w:rFonts w:asciiTheme="minorHAnsi" w:hAnsiTheme="minorHAnsi" w:cstheme="minorHAnsi"/>
                <w:b/>
                <w:bCs/>
                <w:sz w:val="20"/>
                <w:szCs w:val="20"/>
              </w:rPr>
              <w:t>DLR 3.5:</w:t>
            </w:r>
            <w:r w:rsidRPr="00CF2C4E">
              <w:rPr>
                <w:rFonts w:asciiTheme="minorHAnsi" w:hAnsiTheme="minorHAnsi" w:cstheme="minorHAnsi"/>
                <w:sz w:val="20"/>
                <w:szCs w:val="20"/>
              </w:rPr>
              <w:t xml:space="preserve"> At least 80 percent reduction from the level of preceding year Cash deficit 2024</w:t>
            </w:r>
          </w:p>
        </w:tc>
        <w:tc>
          <w:tcPr>
            <w:tcW w:w="1440" w:type="dxa"/>
          </w:tcPr>
          <w:p w14:paraId="42451E80" w14:textId="35CB9540" w:rsidR="007365AE" w:rsidRPr="00CF2C4E" w:rsidRDefault="00DB3B95" w:rsidP="00CF2C4E">
            <w:pPr>
              <w:rPr>
                <w:rFonts w:asciiTheme="minorHAnsi" w:hAnsiTheme="minorHAnsi" w:cstheme="minorHAnsi"/>
                <w:sz w:val="20"/>
                <w:szCs w:val="20"/>
              </w:rPr>
            </w:pPr>
            <w:r>
              <w:rPr>
                <w:rFonts w:asciiTheme="minorHAnsi" w:hAnsiTheme="minorHAnsi" w:cstheme="minorHAnsi"/>
                <w:sz w:val="20"/>
                <w:szCs w:val="20"/>
              </w:rPr>
              <w:t>Dec. 31, 2024</w:t>
            </w:r>
          </w:p>
        </w:tc>
        <w:tc>
          <w:tcPr>
            <w:tcW w:w="1440" w:type="dxa"/>
          </w:tcPr>
          <w:p w14:paraId="36B8D672" w14:textId="659FE5F0" w:rsidR="007365AE" w:rsidRPr="00CF2C4E" w:rsidRDefault="007365AE" w:rsidP="00CF2C4E">
            <w:pPr>
              <w:rPr>
                <w:rFonts w:asciiTheme="minorHAnsi" w:hAnsiTheme="minorHAnsi" w:cstheme="minorHAnsi"/>
                <w:sz w:val="20"/>
                <w:szCs w:val="20"/>
              </w:rPr>
            </w:pPr>
          </w:p>
        </w:tc>
        <w:tc>
          <w:tcPr>
            <w:tcW w:w="3780" w:type="dxa"/>
            <w:vMerge/>
          </w:tcPr>
          <w:p w14:paraId="6C0793C6" w14:textId="77777777" w:rsidR="007365AE" w:rsidRPr="00CF2C4E" w:rsidRDefault="007365AE" w:rsidP="00CF2C4E">
            <w:pPr>
              <w:rPr>
                <w:rFonts w:asciiTheme="minorHAnsi" w:hAnsiTheme="minorHAnsi" w:cstheme="minorHAnsi"/>
                <w:sz w:val="20"/>
                <w:szCs w:val="20"/>
              </w:rPr>
            </w:pPr>
          </w:p>
        </w:tc>
      </w:tr>
      <w:tr w:rsidR="007365AE" w:rsidRPr="00CF2C4E" w14:paraId="6AA2DD8D" w14:textId="77777777" w:rsidTr="00964D8B">
        <w:trPr>
          <w:trHeight w:val="224"/>
        </w:trPr>
        <w:tc>
          <w:tcPr>
            <w:tcW w:w="3870" w:type="dxa"/>
          </w:tcPr>
          <w:p w14:paraId="155A29CC" w14:textId="644727A7" w:rsidR="007365AE" w:rsidRPr="00CF2C4E" w:rsidRDefault="007365AE" w:rsidP="00CF2C4E">
            <w:pPr>
              <w:ind w:left="-40"/>
              <w:rPr>
                <w:rFonts w:asciiTheme="minorHAnsi" w:hAnsiTheme="minorHAnsi" w:cstheme="minorHAnsi"/>
                <w:b/>
                <w:bCs/>
                <w:sz w:val="20"/>
                <w:szCs w:val="20"/>
              </w:rPr>
            </w:pPr>
            <w:r w:rsidRPr="00F05671">
              <w:rPr>
                <w:rFonts w:asciiTheme="minorHAnsi" w:hAnsiTheme="minorHAnsi" w:cstheme="minorHAnsi"/>
                <w:b/>
                <w:bCs/>
                <w:sz w:val="20"/>
                <w:szCs w:val="20"/>
              </w:rPr>
              <w:t>Revised DLR 3.5</w:t>
            </w:r>
            <w:r>
              <w:rPr>
                <w:rFonts w:asciiTheme="minorHAnsi" w:hAnsiTheme="minorHAnsi" w:cstheme="minorHAnsi"/>
                <w:sz w:val="20"/>
                <w:szCs w:val="20"/>
              </w:rPr>
              <w:t xml:space="preserve">: </w:t>
            </w:r>
            <w:r w:rsidRPr="00CF2C4E">
              <w:rPr>
                <w:rFonts w:asciiTheme="minorHAnsi" w:hAnsiTheme="minorHAnsi" w:cstheme="minorHAnsi"/>
                <w:sz w:val="20"/>
                <w:szCs w:val="20"/>
              </w:rPr>
              <w:t>Electricity sector’s cash deficit does not exceed TJS 15 billion</w:t>
            </w:r>
          </w:p>
        </w:tc>
        <w:tc>
          <w:tcPr>
            <w:tcW w:w="1440" w:type="dxa"/>
          </w:tcPr>
          <w:p w14:paraId="71EE7F8B" w14:textId="77777777" w:rsidR="007365AE" w:rsidRPr="00CF2C4E" w:rsidRDefault="007365AE" w:rsidP="00CF2C4E">
            <w:pPr>
              <w:rPr>
                <w:rFonts w:asciiTheme="minorHAnsi" w:hAnsiTheme="minorHAnsi" w:cstheme="minorHAnsi"/>
                <w:sz w:val="20"/>
                <w:szCs w:val="20"/>
              </w:rPr>
            </w:pPr>
          </w:p>
        </w:tc>
        <w:tc>
          <w:tcPr>
            <w:tcW w:w="1440" w:type="dxa"/>
          </w:tcPr>
          <w:p w14:paraId="3F022B56" w14:textId="7473C5F0" w:rsidR="007365AE" w:rsidRPr="00CF2C4E" w:rsidRDefault="008677F6" w:rsidP="00CF2C4E">
            <w:pPr>
              <w:rPr>
                <w:rFonts w:asciiTheme="minorHAnsi" w:hAnsiTheme="minorHAnsi" w:cstheme="minorHAnsi"/>
                <w:sz w:val="20"/>
                <w:szCs w:val="20"/>
              </w:rPr>
            </w:pPr>
            <w:r>
              <w:rPr>
                <w:rFonts w:asciiTheme="minorHAnsi" w:hAnsiTheme="minorHAnsi" w:cstheme="minorHAnsi"/>
                <w:sz w:val="20"/>
                <w:szCs w:val="20"/>
              </w:rPr>
              <w:t>Dec. 31, 2026</w:t>
            </w:r>
          </w:p>
        </w:tc>
        <w:tc>
          <w:tcPr>
            <w:tcW w:w="3780" w:type="dxa"/>
            <w:vMerge/>
          </w:tcPr>
          <w:p w14:paraId="51454CDF" w14:textId="77777777" w:rsidR="007365AE" w:rsidRPr="00CF2C4E" w:rsidRDefault="007365AE" w:rsidP="00CF2C4E">
            <w:pPr>
              <w:rPr>
                <w:rFonts w:asciiTheme="minorHAnsi" w:hAnsiTheme="minorHAnsi" w:cstheme="minorHAnsi"/>
                <w:sz w:val="20"/>
                <w:szCs w:val="20"/>
              </w:rPr>
            </w:pPr>
          </w:p>
        </w:tc>
      </w:tr>
      <w:tr w:rsidR="007365AE" w:rsidRPr="00CF2C4E" w14:paraId="23A00304" w14:textId="77777777" w:rsidTr="00964D8B">
        <w:trPr>
          <w:trHeight w:val="223"/>
        </w:trPr>
        <w:tc>
          <w:tcPr>
            <w:tcW w:w="3870" w:type="dxa"/>
          </w:tcPr>
          <w:p w14:paraId="703FB56C" w14:textId="237A2DED" w:rsidR="007365AE" w:rsidRPr="00F05671" w:rsidRDefault="007365AE" w:rsidP="00CF2C4E">
            <w:pPr>
              <w:ind w:left="-40"/>
              <w:rPr>
                <w:rFonts w:asciiTheme="minorHAnsi" w:hAnsiTheme="minorHAnsi" w:cstheme="minorHAnsi"/>
                <w:b/>
                <w:bCs/>
                <w:sz w:val="20"/>
                <w:szCs w:val="20"/>
              </w:rPr>
            </w:pPr>
            <w:r w:rsidRPr="00CF2C4E">
              <w:rPr>
                <w:rFonts w:asciiTheme="minorHAnsi" w:hAnsiTheme="minorHAnsi" w:cstheme="minorHAnsi"/>
                <w:b/>
                <w:bCs/>
                <w:sz w:val="20"/>
                <w:szCs w:val="20"/>
              </w:rPr>
              <w:t>DLR 3.6:</w:t>
            </w:r>
            <w:r w:rsidRPr="00CF2C4E">
              <w:rPr>
                <w:rFonts w:asciiTheme="minorHAnsi" w:hAnsiTheme="minorHAnsi" w:cstheme="minorHAnsi"/>
                <w:sz w:val="20"/>
                <w:szCs w:val="20"/>
              </w:rPr>
              <w:t xml:space="preserve"> No cash deficit</w:t>
            </w:r>
          </w:p>
        </w:tc>
        <w:tc>
          <w:tcPr>
            <w:tcW w:w="1440" w:type="dxa"/>
          </w:tcPr>
          <w:p w14:paraId="773B118E" w14:textId="36748B17" w:rsidR="007365AE" w:rsidRPr="00CF2C4E" w:rsidRDefault="00DB3B95" w:rsidP="00CF2C4E">
            <w:pPr>
              <w:rPr>
                <w:rFonts w:asciiTheme="minorHAnsi" w:hAnsiTheme="minorHAnsi" w:cstheme="minorHAnsi"/>
                <w:sz w:val="20"/>
                <w:szCs w:val="20"/>
              </w:rPr>
            </w:pPr>
            <w:r>
              <w:rPr>
                <w:rFonts w:asciiTheme="minorHAnsi" w:hAnsiTheme="minorHAnsi" w:cstheme="minorHAnsi"/>
                <w:sz w:val="20"/>
                <w:szCs w:val="20"/>
              </w:rPr>
              <w:t>Dec. 31, 2025</w:t>
            </w:r>
          </w:p>
        </w:tc>
        <w:tc>
          <w:tcPr>
            <w:tcW w:w="1440" w:type="dxa"/>
          </w:tcPr>
          <w:p w14:paraId="571FD8E8" w14:textId="1EDF4A88" w:rsidR="007365AE" w:rsidRPr="00CF2C4E" w:rsidRDefault="007365AE" w:rsidP="00CF2C4E">
            <w:pPr>
              <w:rPr>
                <w:rFonts w:asciiTheme="minorHAnsi" w:hAnsiTheme="minorHAnsi" w:cstheme="minorHAnsi"/>
                <w:sz w:val="20"/>
                <w:szCs w:val="20"/>
              </w:rPr>
            </w:pPr>
          </w:p>
        </w:tc>
        <w:tc>
          <w:tcPr>
            <w:tcW w:w="3780" w:type="dxa"/>
            <w:vMerge/>
          </w:tcPr>
          <w:p w14:paraId="7BD1330A" w14:textId="77777777" w:rsidR="007365AE" w:rsidRPr="00CF2C4E" w:rsidRDefault="007365AE" w:rsidP="00CF2C4E">
            <w:pPr>
              <w:rPr>
                <w:rFonts w:asciiTheme="minorHAnsi" w:hAnsiTheme="minorHAnsi" w:cstheme="minorHAnsi"/>
                <w:sz w:val="20"/>
                <w:szCs w:val="20"/>
              </w:rPr>
            </w:pPr>
          </w:p>
        </w:tc>
      </w:tr>
      <w:tr w:rsidR="007365AE" w:rsidRPr="00CF2C4E" w14:paraId="13EF444A" w14:textId="77777777" w:rsidTr="00D458CF">
        <w:trPr>
          <w:trHeight w:val="498"/>
        </w:trPr>
        <w:tc>
          <w:tcPr>
            <w:tcW w:w="3870" w:type="dxa"/>
          </w:tcPr>
          <w:p w14:paraId="65BEEF3B" w14:textId="2A4B65F1" w:rsidR="007365AE" w:rsidRPr="00CF2C4E" w:rsidRDefault="007365AE" w:rsidP="00CF2C4E">
            <w:pPr>
              <w:ind w:left="-40"/>
              <w:rPr>
                <w:rFonts w:asciiTheme="minorHAnsi" w:hAnsiTheme="minorHAnsi" w:cstheme="minorHAnsi"/>
                <w:sz w:val="20"/>
                <w:szCs w:val="20"/>
              </w:rPr>
            </w:pPr>
            <w:r w:rsidRPr="00F05671">
              <w:rPr>
                <w:rFonts w:asciiTheme="minorHAnsi" w:hAnsiTheme="minorHAnsi" w:cstheme="minorHAnsi"/>
                <w:b/>
                <w:bCs/>
                <w:sz w:val="20"/>
                <w:szCs w:val="20"/>
              </w:rPr>
              <w:t>Revised DLR 3.6</w:t>
            </w:r>
            <w:r>
              <w:rPr>
                <w:rFonts w:asciiTheme="minorHAnsi" w:hAnsiTheme="minorHAnsi" w:cstheme="minorHAnsi"/>
                <w:sz w:val="20"/>
                <w:szCs w:val="20"/>
              </w:rPr>
              <w:t xml:space="preserve">: </w:t>
            </w:r>
            <w:r w:rsidRPr="00CF2C4E">
              <w:rPr>
                <w:rFonts w:asciiTheme="minorHAnsi" w:hAnsiTheme="minorHAnsi" w:cstheme="minorHAnsi"/>
                <w:sz w:val="20"/>
                <w:szCs w:val="20"/>
              </w:rPr>
              <w:t>Electricity sector’s cash deficit does not exceed TJS 13 billion</w:t>
            </w:r>
          </w:p>
        </w:tc>
        <w:tc>
          <w:tcPr>
            <w:tcW w:w="1440" w:type="dxa"/>
          </w:tcPr>
          <w:p w14:paraId="7293FF2F" w14:textId="77777777" w:rsidR="007365AE" w:rsidRPr="00CF2C4E" w:rsidRDefault="007365AE" w:rsidP="00CF2C4E">
            <w:pPr>
              <w:rPr>
                <w:rFonts w:asciiTheme="minorHAnsi" w:hAnsiTheme="minorHAnsi" w:cstheme="minorHAnsi"/>
                <w:sz w:val="20"/>
                <w:szCs w:val="20"/>
              </w:rPr>
            </w:pPr>
          </w:p>
        </w:tc>
        <w:tc>
          <w:tcPr>
            <w:tcW w:w="1440" w:type="dxa"/>
          </w:tcPr>
          <w:p w14:paraId="68ECA0BE" w14:textId="31F92325" w:rsidR="007365AE" w:rsidRPr="00CF2C4E" w:rsidRDefault="008677F6" w:rsidP="00CF2C4E">
            <w:pPr>
              <w:rPr>
                <w:rFonts w:asciiTheme="minorHAnsi" w:hAnsiTheme="minorHAnsi" w:cstheme="minorHAnsi"/>
                <w:sz w:val="20"/>
                <w:szCs w:val="20"/>
              </w:rPr>
            </w:pPr>
            <w:r>
              <w:rPr>
                <w:rFonts w:asciiTheme="minorHAnsi" w:hAnsiTheme="minorHAnsi" w:cstheme="minorHAnsi"/>
                <w:sz w:val="20"/>
                <w:szCs w:val="20"/>
              </w:rPr>
              <w:t>Dec. 31, 2027</w:t>
            </w:r>
          </w:p>
        </w:tc>
        <w:tc>
          <w:tcPr>
            <w:tcW w:w="3780" w:type="dxa"/>
            <w:vMerge/>
          </w:tcPr>
          <w:p w14:paraId="58DF91F5" w14:textId="77777777" w:rsidR="007365AE" w:rsidRPr="00CF2C4E" w:rsidRDefault="007365AE" w:rsidP="00CF2C4E">
            <w:pPr>
              <w:rPr>
                <w:rFonts w:asciiTheme="minorHAnsi" w:hAnsiTheme="minorHAnsi" w:cstheme="minorHAnsi"/>
                <w:sz w:val="20"/>
                <w:szCs w:val="20"/>
              </w:rPr>
            </w:pPr>
          </w:p>
        </w:tc>
      </w:tr>
      <w:tr w:rsidR="00530828" w:rsidRPr="00CF2C4E" w14:paraId="31DDB7F3" w14:textId="77777777" w:rsidTr="00530828">
        <w:tc>
          <w:tcPr>
            <w:tcW w:w="3870" w:type="dxa"/>
            <w:shd w:val="clear" w:color="auto" w:fill="D9E2F3" w:themeFill="accent5" w:themeFillTint="33"/>
          </w:tcPr>
          <w:p w14:paraId="4EDB9CAA" w14:textId="6A371E4E" w:rsidR="00530828" w:rsidRPr="00CF2C4E" w:rsidRDefault="009A43D1" w:rsidP="00CF2C4E">
            <w:pPr>
              <w:ind w:left="-40"/>
              <w:rPr>
                <w:rFonts w:asciiTheme="minorHAnsi" w:hAnsiTheme="minorHAnsi" w:cstheme="minorHAnsi"/>
                <w:b/>
                <w:bCs/>
                <w:sz w:val="20"/>
                <w:szCs w:val="20"/>
              </w:rPr>
            </w:pPr>
            <w:r>
              <w:rPr>
                <w:rFonts w:asciiTheme="minorHAnsi" w:hAnsiTheme="minorHAnsi" w:cstheme="minorHAnsi"/>
                <w:b/>
                <w:bCs/>
                <w:sz w:val="20"/>
                <w:szCs w:val="20"/>
              </w:rPr>
              <w:t xml:space="preserve"> </w:t>
            </w:r>
            <w:r w:rsidR="00530828">
              <w:rPr>
                <w:rFonts w:asciiTheme="minorHAnsi" w:hAnsiTheme="minorHAnsi" w:cstheme="minorHAnsi"/>
                <w:b/>
                <w:bCs/>
                <w:sz w:val="20"/>
                <w:szCs w:val="20"/>
              </w:rPr>
              <w:t>New DLRs</w:t>
            </w:r>
            <w:r>
              <w:rPr>
                <w:rFonts w:asciiTheme="minorHAnsi" w:hAnsiTheme="minorHAnsi" w:cstheme="minorHAnsi"/>
                <w:b/>
                <w:bCs/>
                <w:sz w:val="20"/>
                <w:szCs w:val="20"/>
              </w:rPr>
              <w:t xml:space="preserve"> under DLI 3</w:t>
            </w:r>
          </w:p>
        </w:tc>
        <w:tc>
          <w:tcPr>
            <w:tcW w:w="2880" w:type="dxa"/>
            <w:gridSpan w:val="2"/>
            <w:shd w:val="clear" w:color="auto" w:fill="D9E2F3" w:themeFill="accent5" w:themeFillTint="33"/>
          </w:tcPr>
          <w:p w14:paraId="5A160B49" w14:textId="77777777" w:rsidR="00530828" w:rsidRPr="00CF2C4E" w:rsidRDefault="00530828" w:rsidP="00CF2C4E">
            <w:pPr>
              <w:rPr>
                <w:rFonts w:asciiTheme="minorHAnsi" w:hAnsiTheme="minorHAnsi" w:cstheme="minorHAnsi"/>
                <w:sz w:val="20"/>
                <w:szCs w:val="20"/>
              </w:rPr>
            </w:pPr>
          </w:p>
        </w:tc>
        <w:tc>
          <w:tcPr>
            <w:tcW w:w="3780" w:type="dxa"/>
            <w:shd w:val="clear" w:color="auto" w:fill="D9E2F3" w:themeFill="accent5" w:themeFillTint="33"/>
            <w:vAlign w:val="center"/>
          </w:tcPr>
          <w:p w14:paraId="1ABBCE15" w14:textId="77777777" w:rsidR="00530828" w:rsidRPr="00CF2C4E" w:rsidRDefault="00530828" w:rsidP="00CF2C4E">
            <w:pPr>
              <w:rPr>
                <w:rFonts w:asciiTheme="minorHAnsi" w:hAnsiTheme="minorHAnsi" w:cstheme="minorHAnsi"/>
                <w:sz w:val="20"/>
                <w:szCs w:val="20"/>
              </w:rPr>
            </w:pPr>
          </w:p>
        </w:tc>
      </w:tr>
      <w:tr w:rsidR="009A43D1" w:rsidRPr="00CF2C4E" w14:paraId="49900DC6" w14:textId="77777777" w:rsidTr="00CA06EC">
        <w:tc>
          <w:tcPr>
            <w:tcW w:w="6750" w:type="dxa"/>
            <w:gridSpan w:val="3"/>
          </w:tcPr>
          <w:p w14:paraId="05242612" w14:textId="7C0871CF" w:rsidR="009A43D1" w:rsidRPr="00CF2C4E" w:rsidRDefault="009A43D1" w:rsidP="009A43D1">
            <w:pPr>
              <w:ind w:left="-14"/>
              <w:rPr>
                <w:rFonts w:asciiTheme="minorHAnsi" w:hAnsiTheme="minorHAnsi" w:cstheme="minorHAnsi"/>
                <w:sz w:val="20"/>
                <w:szCs w:val="20"/>
              </w:rPr>
            </w:pPr>
            <w:r w:rsidRPr="00CF2C4E">
              <w:rPr>
                <w:rFonts w:asciiTheme="minorHAnsi" w:hAnsiTheme="minorHAnsi" w:cstheme="minorHAnsi"/>
                <w:b/>
                <w:bCs/>
                <w:sz w:val="20"/>
                <w:szCs w:val="20"/>
              </w:rPr>
              <w:t>N</w:t>
            </w:r>
            <w:r>
              <w:rPr>
                <w:rFonts w:asciiTheme="minorHAnsi" w:hAnsiTheme="minorHAnsi" w:cstheme="minorHAnsi"/>
                <w:b/>
                <w:bCs/>
                <w:sz w:val="20"/>
                <w:szCs w:val="20"/>
              </w:rPr>
              <w:t>ew</w:t>
            </w:r>
            <w:r w:rsidRPr="00CF2C4E">
              <w:rPr>
                <w:rFonts w:asciiTheme="minorHAnsi" w:hAnsiTheme="minorHAnsi" w:cstheme="minorHAnsi"/>
                <w:b/>
                <w:bCs/>
                <w:sz w:val="20"/>
                <w:szCs w:val="20"/>
              </w:rPr>
              <w:t xml:space="preserve"> DLR 3.7:</w:t>
            </w:r>
            <w:r w:rsidRPr="00CF2C4E">
              <w:rPr>
                <w:rFonts w:asciiTheme="minorHAnsi" w:hAnsiTheme="minorHAnsi" w:cstheme="minorHAnsi"/>
                <w:sz w:val="20"/>
                <w:szCs w:val="20"/>
              </w:rPr>
              <w:t xml:space="preserve"> </w:t>
            </w:r>
            <w:r w:rsidR="00245FA2">
              <w:rPr>
                <w:rFonts w:asciiTheme="minorHAnsi" w:hAnsiTheme="minorHAnsi" w:cstheme="minorHAnsi"/>
                <w:sz w:val="20"/>
                <w:szCs w:val="20"/>
              </w:rPr>
              <w:t>By December 31, 2028, e</w:t>
            </w:r>
            <w:r w:rsidRPr="00CF2C4E">
              <w:rPr>
                <w:rFonts w:asciiTheme="minorHAnsi" w:hAnsiTheme="minorHAnsi" w:cstheme="minorHAnsi"/>
                <w:sz w:val="20"/>
                <w:szCs w:val="20"/>
              </w:rPr>
              <w:t>lectricity sector’s cash deficit does not exceed TJS 11 billion.</w:t>
            </w:r>
          </w:p>
        </w:tc>
        <w:tc>
          <w:tcPr>
            <w:tcW w:w="3780" w:type="dxa"/>
            <w:vMerge w:val="restart"/>
            <w:vAlign w:val="center"/>
          </w:tcPr>
          <w:p w14:paraId="56D52241" w14:textId="0065817C" w:rsidR="009A43D1" w:rsidRPr="00CF2C4E" w:rsidRDefault="009A43D1" w:rsidP="00CF2C4E">
            <w:pPr>
              <w:rPr>
                <w:rFonts w:asciiTheme="minorHAnsi" w:hAnsiTheme="minorHAnsi" w:cstheme="minorHAnsi"/>
                <w:sz w:val="20"/>
                <w:szCs w:val="20"/>
              </w:rPr>
            </w:pPr>
            <w:r>
              <w:rPr>
                <w:rFonts w:asciiTheme="minorHAnsi" w:hAnsiTheme="minorHAnsi" w:cstheme="minorHAnsi"/>
                <w:sz w:val="20"/>
                <w:szCs w:val="20"/>
              </w:rPr>
              <w:t>New DLRs are proposed to promote progress towards reduction of the sector cash deficit</w:t>
            </w:r>
            <w:r w:rsidRPr="00CF2C4E">
              <w:rPr>
                <w:rFonts w:asciiTheme="minorHAnsi" w:hAnsiTheme="minorHAnsi" w:cstheme="minorHAnsi"/>
                <w:sz w:val="20"/>
                <w:szCs w:val="20"/>
              </w:rPr>
              <w:t xml:space="preserve"> </w:t>
            </w:r>
            <w:r>
              <w:rPr>
                <w:rFonts w:asciiTheme="minorHAnsi" w:hAnsiTheme="minorHAnsi" w:cstheme="minorHAnsi"/>
                <w:sz w:val="20"/>
                <w:szCs w:val="20"/>
              </w:rPr>
              <w:t>under the revised timeline for implementation of the Program given the impacts of external shocks. This is also aligned with</w:t>
            </w:r>
            <w:r w:rsidRPr="00CF2C4E">
              <w:rPr>
                <w:rFonts w:asciiTheme="minorHAnsi" w:hAnsiTheme="minorHAnsi" w:cstheme="minorHAnsi"/>
                <w:sz w:val="20"/>
                <w:szCs w:val="20"/>
              </w:rPr>
              <w:t xml:space="preserve"> </w:t>
            </w:r>
            <w:r>
              <w:rPr>
                <w:rFonts w:asciiTheme="minorHAnsi" w:hAnsiTheme="minorHAnsi" w:cstheme="minorHAnsi"/>
                <w:sz w:val="20"/>
                <w:szCs w:val="20"/>
              </w:rPr>
              <w:t>new trajectory for tariff adjustments</w:t>
            </w:r>
            <w:r w:rsidRPr="00CF2C4E">
              <w:rPr>
                <w:rFonts w:asciiTheme="minorHAnsi" w:hAnsiTheme="minorHAnsi" w:cstheme="minorHAnsi"/>
                <w:sz w:val="20"/>
                <w:szCs w:val="20"/>
              </w:rPr>
              <w:t>, which was delayed due to major external shocks. It is proposed to replaced BT with “electricity sector” because after unbundling of BT there are three separate and legally independent new energy companies responsible for electricity generation, transmission, and distribution</w:t>
            </w:r>
          </w:p>
        </w:tc>
      </w:tr>
      <w:tr w:rsidR="009A43D1" w:rsidRPr="00CF2C4E" w14:paraId="2AFC1BE2" w14:textId="77777777" w:rsidTr="00D12B98">
        <w:tc>
          <w:tcPr>
            <w:tcW w:w="6750" w:type="dxa"/>
            <w:gridSpan w:val="3"/>
          </w:tcPr>
          <w:p w14:paraId="1AA01FA0" w14:textId="1BAB03C7" w:rsidR="009A43D1" w:rsidRPr="00CF2C4E" w:rsidRDefault="009A43D1" w:rsidP="009A43D1">
            <w:pPr>
              <w:ind w:left="-14"/>
              <w:rPr>
                <w:rFonts w:asciiTheme="minorHAnsi" w:hAnsiTheme="minorHAnsi" w:cstheme="minorHAnsi"/>
                <w:sz w:val="20"/>
                <w:szCs w:val="20"/>
              </w:rPr>
            </w:pPr>
            <w:r w:rsidRPr="00CF2C4E">
              <w:rPr>
                <w:rFonts w:asciiTheme="minorHAnsi" w:hAnsiTheme="minorHAnsi" w:cstheme="minorHAnsi"/>
                <w:b/>
                <w:bCs/>
                <w:sz w:val="20"/>
                <w:szCs w:val="20"/>
              </w:rPr>
              <w:t>N</w:t>
            </w:r>
            <w:r>
              <w:rPr>
                <w:rFonts w:asciiTheme="minorHAnsi" w:hAnsiTheme="minorHAnsi" w:cstheme="minorHAnsi"/>
                <w:b/>
                <w:bCs/>
                <w:sz w:val="20"/>
                <w:szCs w:val="20"/>
              </w:rPr>
              <w:t>ew</w:t>
            </w:r>
            <w:r w:rsidRPr="00CF2C4E">
              <w:rPr>
                <w:rFonts w:asciiTheme="minorHAnsi" w:hAnsiTheme="minorHAnsi" w:cstheme="minorHAnsi"/>
                <w:b/>
                <w:bCs/>
                <w:sz w:val="20"/>
                <w:szCs w:val="20"/>
              </w:rPr>
              <w:t xml:space="preserve"> DLR 3.8:</w:t>
            </w:r>
            <w:r w:rsidRPr="00CF2C4E">
              <w:rPr>
                <w:rFonts w:asciiTheme="minorHAnsi" w:hAnsiTheme="minorHAnsi" w:cstheme="minorHAnsi"/>
                <w:sz w:val="20"/>
                <w:szCs w:val="20"/>
              </w:rPr>
              <w:t xml:space="preserve"> </w:t>
            </w:r>
            <w:r w:rsidR="00245FA2">
              <w:rPr>
                <w:rFonts w:asciiTheme="minorHAnsi" w:hAnsiTheme="minorHAnsi" w:cstheme="minorHAnsi"/>
                <w:sz w:val="20"/>
                <w:szCs w:val="20"/>
              </w:rPr>
              <w:t>By December 31, 2029, e</w:t>
            </w:r>
            <w:r w:rsidRPr="00CF2C4E">
              <w:rPr>
                <w:rFonts w:asciiTheme="minorHAnsi" w:hAnsiTheme="minorHAnsi" w:cstheme="minorHAnsi"/>
                <w:sz w:val="20"/>
                <w:szCs w:val="20"/>
              </w:rPr>
              <w:t>lectricity sector’s cash deficit does not exceed TJS 7 billion.</w:t>
            </w:r>
          </w:p>
        </w:tc>
        <w:tc>
          <w:tcPr>
            <w:tcW w:w="3780" w:type="dxa"/>
            <w:vMerge/>
          </w:tcPr>
          <w:p w14:paraId="0BE9FF84" w14:textId="77777777" w:rsidR="009A43D1" w:rsidRPr="00CF2C4E" w:rsidRDefault="009A43D1" w:rsidP="00CF2C4E">
            <w:pPr>
              <w:rPr>
                <w:rFonts w:asciiTheme="minorHAnsi" w:hAnsiTheme="minorHAnsi" w:cstheme="minorHAnsi"/>
                <w:sz w:val="20"/>
                <w:szCs w:val="20"/>
              </w:rPr>
            </w:pPr>
          </w:p>
        </w:tc>
      </w:tr>
      <w:tr w:rsidR="009A43D1" w:rsidRPr="00CF2C4E" w14:paraId="1BCACE1C" w14:textId="77777777" w:rsidTr="00BB4A34">
        <w:tc>
          <w:tcPr>
            <w:tcW w:w="6750" w:type="dxa"/>
            <w:gridSpan w:val="3"/>
          </w:tcPr>
          <w:p w14:paraId="6CF796F5" w14:textId="132FE54F" w:rsidR="009A43D1" w:rsidRPr="00CF2C4E" w:rsidRDefault="009A43D1" w:rsidP="009A43D1">
            <w:pPr>
              <w:ind w:left="-14"/>
              <w:rPr>
                <w:rFonts w:asciiTheme="minorHAnsi" w:hAnsiTheme="minorHAnsi" w:cstheme="minorHAnsi"/>
                <w:sz w:val="20"/>
                <w:szCs w:val="20"/>
              </w:rPr>
            </w:pPr>
            <w:r w:rsidRPr="00CF2C4E">
              <w:rPr>
                <w:rFonts w:asciiTheme="minorHAnsi" w:hAnsiTheme="minorHAnsi" w:cstheme="minorHAnsi"/>
                <w:b/>
                <w:bCs/>
                <w:sz w:val="20"/>
                <w:szCs w:val="20"/>
              </w:rPr>
              <w:t>N</w:t>
            </w:r>
            <w:r>
              <w:rPr>
                <w:rFonts w:asciiTheme="minorHAnsi" w:hAnsiTheme="minorHAnsi" w:cstheme="minorHAnsi"/>
                <w:b/>
                <w:bCs/>
                <w:sz w:val="20"/>
                <w:szCs w:val="20"/>
              </w:rPr>
              <w:t>ew</w:t>
            </w:r>
            <w:r w:rsidRPr="00CF2C4E">
              <w:rPr>
                <w:rFonts w:asciiTheme="minorHAnsi" w:hAnsiTheme="minorHAnsi" w:cstheme="minorHAnsi"/>
                <w:b/>
                <w:bCs/>
                <w:sz w:val="20"/>
                <w:szCs w:val="20"/>
              </w:rPr>
              <w:t xml:space="preserve"> DLR 3.9:</w:t>
            </w:r>
            <w:r w:rsidRPr="00CF2C4E">
              <w:rPr>
                <w:rFonts w:asciiTheme="minorHAnsi" w:hAnsiTheme="minorHAnsi" w:cstheme="minorHAnsi"/>
                <w:sz w:val="20"/>
                <w:szCs w:val="20"/>
              </w:rPr>
              <w:t xml:space="preserve"> </w:t>
            </w:r>
            <w:r w:rsidR="00245FA2">
              <w:rPr>
                <w:rFonts w:asciiTheme="minorHAnsi" w:hAnsiTheme="minorHAnsi" w:cstheme="minorHAnsi"/>
                <w:sz w:val="20"/>
                <w:szCs w:val="20"/>
              </w:rPr>
              <w:t>By December 31, 2030, e</w:t>
            </w:r>
            <w:r w:rsidRPr="00CF2C4E">
              <w:rPr>
                <w:rFonts w:asciiTheme="minorHAnsi" w:hAnsiTheme="minorHAnsi" w:cstheme="minorHAnsi"/>
                <w:sz w:val="20"/>
                <w:szCs w:val="20"/>
              </w:rPr>
              <w:t>lectricity sector’s cash deficit does not exceed TJS 2 billion.</w:t>
            </w:r>
          </w:p>
        </w:tc>
        <w:tc>
          <w:tcPr>
            <w:tcW w:w="3780" w:type="dxa"/>
            <w:vMerge/>
          </w:tcPr>
          <w:p w14:paraId="71671CDA" w14:textId="77777777" w:rsidR="009A43D1" w:rsidRPr="00CF2C4E" w:rsidRDefault="009A43D1" w:rsidP="00CF2C4E">
            <w:pPr>
              <w:rPr>
                <w:rFonts w:asciiTheme="minorHAnsi" w:hAnsiTheme="minorHAnsi" w:cstheme="minorHAnsi"/>
                <w:sz w:val="20"/>
                <w:szCs w:val="20"/>
              </w:rPr>
            </w:pPr>
          </w:p>
        </w:tc>
      </w:tr>
      <w:tr w:rsidR="009A43D1" w:rsidRPr="00CF2C4E" w14:paraId="6ABC316B" w14:textId="77777777" w:rsidTr="004B6AC4">
        <w:tc>
          <w:tcPr>
            <w:tcW w:w="6750" w:type="dxa"/>
            <w:gridSpan w:val="3"/>
          </w:tcPr>
          <w:p w14:paraId="321F8F64" w14:textId="19F92B8E" w:rsidR="009A43D1" w:rsidRPr="00CF2C4E" w:rsidRDefault="009A43D1" w:rsidP="009A43D1">
            <w:pPr>
              <w:ind w:left="-14"/>
              <w:rPr>
                <w:rFonts w:asciiTheme="minorHAnsi" w:hAnsiTheme="minorHAnsi" w:cstheme="minorHAnsi"/>
                <w:sz w:val="20"/>
                <w:szCs w:val="20"/>
              </w:rPr>
            </w:pPr>
            <w:r w:rsidRPr="00CF2C4E">
              <w:rPr>
                <w:rFonts w:asciiTheme="minorHAnsi" w:hAnsiTheme="minorHAnsi" w:cstheme="minorHAnsi"/>
                <w:b/>
                <w:bCs/>
                <w:sz w:val="20"/>
                <w:szCs w:val="20"/>
              </w:rPr>
              <w:t>N</w:t>
            </w:r>
            <w:r>
              <w:rPr>
                <w:rFonts w:asciiTheme="minorHAnsi" w:hAnsiTheme="minorHAnsi" w:cstheme="minorHAnsi"/>
                <w:b/>
                <w:bCs/>
                <w:sz w:val="20"/>
                <w:szCs w:val="20"/>
              </w:rPr>
              <w:t>ew</w:t>
            </w:r>
            <w:r w:rsidRPr="00CF2C4E">
              <w:rPr>
                <w:rFonts w:asciiTheme="minorHAnsi" w:hAnsiTheme="minorHAnsi" w:cstheme="minorHAnsi"/>
                <w:b/>
                <w:bCs/>
                <w:sz w:val="20"/>
                <w:szCs w:val="20"/>
              </w:rPr>
              <w:t xml:space="preserve"> DLR 3.10:</w:t>
            </w:r>
            <w:r w:rsidRPr="00CF2C4E">
              <w:rPr>
                <w:rFonts w:asciiTheme="minorHAnsi" w:hAnsiTheme="minorHAnsi" w:cstheme="minorHAnsi"/>
                <w:sz w:val="20"/>
                <w:szCs w:val="20"/>
              </w:rPr>
              <w:t xml:space="preserve"> </w:t>
            </w:r>
            <w:r w:rsidR="00245FA2">
              <w:rPr>
                <w:rFonts w:asciiTheme="minorHAnsi" w:hAnsiTheme="minorHAnsi" w:cstheme="minorHAnsi"/>
                <w:sz w:val="20"/>
                <w:szCs w:val="20"/>
              </w:rPr>
              <w:t>By December 31, 2031, e</w:t>
            </w:r>
            <w:r w:rsidRPr="00CF2C4E">
              <w:rPr>
                <w:rFonts w:asciiTheme="minorHAnsi" w:hAnsiTheme="minorHAnsi" w:cstheme="minorHAnsi"/>
                <w:sz w:val="20"/>
                <w:szCs w:val="20"/>
              </w:rPr>
              <w:t>lectricity sector does not have a cash deficit</w:t>
            </w:r>
            <w:r>
              <w:rPr>
                <w:rFonts w:asciiTheme="minorHAnsi" w:hAnsiTheme="minorHAnsi" w:cstheme="minorHAnsi"/>
                <w:sz w:val="20"/>
                <w:szCs w:val="20"/>
              </w:rPr>
              <w:t>.</w:t>
            </w:r>
          </w:p>
        </w:tc>
        <w:tc>
          <w:tcPr>
            <w:tcW w:w="3780" w:type="dxa"/>
            <w:vMerge/>
          </w:tcPr>
          <w:p w14:paraId="7FCCB156" w14:textId="77777777" w:rsidR="009A43D1" w:rsidRPr="00CF2C4E" w:rsidRDefault="009A43D1" w:rsidP="00CF2C4E">
            <w:pPr>
              <w:rPr>
                <w:rFonts w:asciiTheme="minorHAnsi" w:hAnsiTheme="minorHAnsi" w:cstheme="minorHAnsi"/>
                <w:sz w:val="20"/>
                <w:szCs w:val="20"/>
              </w:rPr>
            </w:pPr>
          </w:p>
        </w:tc>
      </w:tr>
      <w:tr w:rsidR="009A43D1" w:rsidRPr="00CF2C4E" w14:paraId="2B96C72A" w14:textId="77777777" w:rsidTr="00245FA2">
        <w:tc>
          <w:tcPr>
            <w:tcW w:w="6750" w:type="dxa"/>
            <w:gridSpan w:val="3"/>
            <w:shd w:val="clear" w:color="auto" w:fill="D9E2F3" w:themeFill="accent5" w:themeFillTint="33"/>
          </w:tcPr>
          <w:p w14:paraId="559C9F0F" w14:textId="5C6C70D2" w:rsidR="009A43D1" w:rsidRPr="00CF2C4E" w:rsidRDefault="009A43D1" w:rsidP="009A43D1">
            <w:pPr>
              <w:ind w:left="-14"/>
              <w:rPr>
                <w:rFonts w:asciiTheme="minorHAnsi" w:hAnsiTheme="minorHAnsi" w:cstheme="minorHAnsi"/>
                <w:b/>
                <w:bCs/>
                <w:sz w:val="20"/>
                <w:szCs w:val="20"/>
              </w:rPr>
            </w:pPr>
            <w:r>
              <w:rPr>
                <w:rFonts w:asciiTheme="minorHAnsi" w:hAnsiTheme="minorHAnsi" w:cstheme="minorHAnsi"/>
                <w:b/>
                <w:bCs/>
                <w:sz w:val="20"/>
                <w:szCs w:val="20"/>
              </w:rPr>
              <w:t>DLI 7</w:t>
            </w:r>
            <w:r w:rsidR="00245FA2">
              <w:rPr>
                <w:rFonts w:asciiTheme="minorHAnsi" w:hAnsiTheme="minorHAnsi" w:cstheme="minorHAnsi"/>
                <w:b/>
                <w:bCs/>
                <w:sz w:val="20"/>
                <w:szCs w:val="20"/>
              </w:rPr>
              <w:t xml:space="preserve">: </w:t>
            </w:r>
            <w:r w:rsidR="00245FA2" w:rsidRPr="00245FA2">
              <w:rPr>
                <w:rFonts w:asciiTheme="minorHAnsi" w:hAnsiTheme="minorHAnsi" w:cstheme="minorHAnsi"/>
                <w:b/>
                <w:bCs/>
                <w:sz w:val="20"/>
                <w:szCs w:val="20"/>
              </w:rPr>
              <w:t>Use of technically, economically, and financially sound principles for the Recipient’s investment decision-making in electricity generation, transmission, and distribution</w:t>
            </w:r>
          </w:p>
        </w:tc>
        <w:tc>
          <w:tcPr>
            <w:tcW w:w="3780" w:type="dxa"/>
            <w:shd w:val="clear" w:color="auto" w:fill="D9E2F3" w:themeFill="accent5" w:themeFillTint="33"/>
          </w:tcPr>
          <w:p w14:paraId="748EF696" w14:textId="77777777" w:rsidR="009A43D1" w:rsidRPr="00CF2C4E" w:rsidRDefault="009A43D1" w:rsidP="00CF2C4E">
            <w:pPr>
              <w:rPr>
                <w:rFonts w:asciiTheme="minorHAnsi" w:hAnsiTheme="minorHAnsi" w:cstheme="minorHAnsi"/>
                <w:sz w:val="20"/>
                <w:szCs w:val="20"/>
              </w:rPr>
            </w:pPr>
          </w:p>
        </w:tc>
      </w:tr>
      <w:tr w:rsidR="00F75071" w:rsidRPr="00CF2C4E" w14:paraId="42D82563" w14:textId="77777777" w:rsidTr="00F75071">
        <w:tc>
          <w:tcPr>
            <w:tcW w:w="3870" w:type="dxa"/>
          </w:tcPr>
          <w:p w14:paraId="50C0B567" w14:textId="77777777" w:rsidR="00CF2C4E" w:rsidRPr="00CF2C4E" w:rsidRDefault="00CF2C4E" w:rsidP="00CF2C4E">
            <w:pPr>
              <w:ind w:left="-40"/>
              <w:rPr>
                <w:rFonts w:asciiTheme="minorHAnsi" w:eastAsia="Times New Roman" w:hAnsiTheme="minorHAnsi" w:cstheme="minorHAnsi"/>
                <w:sz w:val="20"/>
                <w:szCs w:val="20"/>
              </w:rPr>
            </w:pPr>
            <w:r w:rsidRPr="00CF2C4E">
              <w:rPr>
                <w:rFonts w:asciiTheme="minorHAnsi" w:eastAsia="Times New Roman" w:hAnsiTheme="minorHAnsi" w:cstheme="minorHAnsi"/>
                <w:b/>
                <w:bCs/>
                <w:sz w:val="20"/>
                <w:szCs w:val="20"/>
              </w:rPr>
              <w:t>DLR 7.1:</w:t>
            </w:r>
            <w:r w:rsidRPr="00CF2C4E">
              <w:rPr>
                <w:rFonts w:asciiTheme="minorHAnsi" w:eastAsia="Times New Roman" w:hAnsiTheme="minorHAnsi" w:cstheme="minorHAnsi"/>
                <w:sz w:val="20"/>
                <w:szCs w:val="20"/>
              </w:rPr>
              <w:t xml:space="preserve"> MEWR completes the update of </w:t>
            </w:r>
            <w:r w:rsidRPr="00CF2C4E">
              <w:rPr>
                <w:rFonts w:asciiTheme="minorHAnsi" w:eastAsia="Times New Roman" w:hAnsiTheme="minorHAnsi" w:cstheme="minorHAnsi"/>
                <w:sz w:val="20"/>
                <w:szCs w:val="20"/>
              </w:rPr>
              <w:lastRenderedPageBreak/>
              <w:t>GEP.</w:t>
            </w:r>
          </w:p>
          <w:p w14:paraId="0BFC20F7" w14:textId="77777777" w:rsidR="00CF2C4E" w:rsidRPr="00CF2C4E" w:rsidRDefault="00CF2C4E" w:rsidP="00CF2C4E">
            <w:pPr>
              <w:ind w:left="-40"/>
              <w:rPr>
                <w:rFonts w:asciiTheme="minorHAnsi" w:eastAsia="Times New Roman" w:hAnsiTheme="minorHAnsi" w:cstheme="minorHAnsi"/>
                <w:b/>
                <w:sz w:val="20"/>
                <w:szCs w:val="20"/>
              </w:rPr>
            </w:pPr>
          </w:p>
        </w:tc>
        <w:tc>
          <w:tcPr>
            <w:tcW w:w="1440" w:type="dxa"/>
          </w:tcPr>
          <w:p w14:paraId="62895076" w14:textId="77777777" w:rsidR="00CF2C4E" w:rsidRPr="00CF2C4E" w:rsidRDefault="00CF2C4E" w:rsidP="00CF2C4E">
            <w:pPr>
              <w:rPr>
                <w:rFonts w:asciiTheme="minorHAnsi" w:hAnsiTheme="minorHAnsi" w:cstheme="minorHAnsi"/>
                <w:sz w:val="20"/>
                <w:szCs w:val="20"/>
              </w:rPr>
            </w:pPr>
            <w:r w:rsidRPr="00CF2C4E">
              <w:rPr>
                <w:rFonts w:asciiTheme="minorHAnsi" w:hAnsiTheme="minorHAnsi" w:cstheme="minorHAnsi"/>
                <w:sz w:val="20"/>
                <w:szCs w:val="20"/>
              </w:rPr>
              <w:lastRenderedPageBreak/>
              <w:t>June 30, 2021</w:t>
            </w:r>
          </w:p>
        </w:tc>
        <w:tc>
          <w:tcPr>
            <w:tcW w:w="1440" w:type="dxa"/>
          </w:tcPr>
          <w:p w14:paraId="48E0A991" w14:textId="202F1C6A" w:rsidR="00CF2C4E" w:rsidRPr="00CF2C4E" w:rsidRDefault="00CF2C4E" w:rsidP="00CF2C4E">
            <w:pPr>
              <w:rPr>
                <w:rFonts w:asciiTheme="minorHAnsi" w:hAnsiTheme="minorHAnsi" w:cstheme="minorHAnsi"/>
                <w:sz w:val="20"/>
                <w:szCs w:val="20"/>
              </w:rPr>
            </w:pPr>
            <w:r w:rsidRPr="00CF2C4E">
              <w:rPr>
                <w:rFonts w:asciiTheme="minorHAnsi" w:hAnsiTheme="minorHAnsi" w:cstheme="minorHAnsi"/>
                <w:sz w:val="20"/>
                <w:szCs w:val="20"/>
              </w:rPr>
              <w:t>Oct</w:t>
            </w:r>
            <w:r w:rsidR="00245FA2">
              <w:rPr>
                <w:rFonts w:asciiTheme="minorHAnsi" w:hAnsiTheme="minorHAnsi" w:cstheme="minorHAnsi"/>
                <w:sz w:val="20"/>
                <w:szCs w:val="20"/>
              </w:rPr>
              <w:t>.</w:t>
            </w:r>
            <w:r w:rsidRPr="00CF2C4E">
              <w:rPr>
                <w:rFonts w:asciiTheme="minorHAnsi" w:hAnsiTheme="minorHAnsi" w:cstheme="minorHAnsi"/>
                <w:sz w:val="20"/>
                <w:szCs w:val="20"/>
              </w:rPr>
              <w:t xml:space="preserve"> 30, 2022</w:t>
            </w:r>
          </w:p>
        </w:tc>
        <w:tc>
          <w:tcPr>
            <w:tcW w:w="3780" w:type="dxa"/>
          </w:tcPr>
          <w:p w14:paraId="6DD5EC53" w14:textId="6111A781" w:rsidR="00CF2C4E" w:rsidRPr="00CF2C4E" w:rsidRDefault="00CF2C4E" w:rsidP="00CF2C4E">
            <w:pPr>
              <w:ind w:left="-10"/>
              <w:rPr>
                <w:rFonts w:asciiTheme="minorHAnsi" w:hAnsiTheme="minorHAnsi" w:cstheme="minorHAnsi"/>
                <w:sz w:val="20"/>
                <w:szCs w:val="20"/>
              </w:rPr>
            </w:pPr>
            <w:r w:rsidRPr="00CF2C4E">
              <w:rPr>
                <w:rFonts w:asciiTheme="minorHAnsi" w:hAnsiTheme="minorHAnsi" w:cstheme="minorHAnsi"/>
                <w:sz w:val="20"/>
                <w:szCs w:val="20"/>
              </w:rPr>
              <w:t xml:space="preserve">Additional time is required due to changes </w:t>
            </w:r>
            <w:r w:rsidRPr="00CF2C4E">
              <w:rPr>
                <w:rFonts w:asciiTheme="minorHAnsi" w:hAnsiTheme="minorHAnsi" w:cstheme="minorHAnsi"/>
                <w:sz w:val="20"/>
                <w:szCs w:val="20"/>
              </w:rPr>
              <w:lastRenderedPageBreak/>
              <w:t>in technical departments as well as the need for detailed modelling of hydropower generation and reservoir operations (based on multi-year hydrology data)</w:t>
            </w:r>
            <w:r w:rsidR="004E10B5">
              <w:rPr>
                <w:rFonts w:asciiTheme="minorHAnsi" w:hAnsiTheme="minorHAnsi" w:cstheme="minorHAnsi"/>
                <w:sz w:val="20"/>
                <w:szCs w:val="20"/>
              </w:rPr>
              <w:t xml:space="preserve">. </w:t>
            </w:r>
            <w:r w:rsidRPr="00CF2C4E">
              <w:rPr>
                <w:rFonts w:asciiTheme="minorHAnsi" w:hAnsiTheme="minorHAnsi" w:cstheme="minorHAnsi"/>
                <w:sz w:val="20"/>
                <w:szCs w:val="20"/>
              </w:rPr>
              <w:t>The modelling required detailed analysis of hydropower generation and therefore, with troubleshooting of results, became significantly more time intensive.</w:t>
            </w:r>
          </w:p>
        </w:tc>
      </w:tr>
      <w:tr w:rsidR="00F75071" w:rsidRPr="00CF2C4E" w14:paraId="471BA4FC" w14:textId="77777777" w:rsidTr="00F75071">
        <w:tc>
          <w:tcPr>
            <w:tcW w:w="3870" w:type="dxa"/>
          </w:tcPr>
          <w:p w14:paraId="791F1CE8" w14:textId="77777777" w:rsidR="00CF2C4E" w:rsidRPr="00CF2C4E" w:rsidRDefault="00CF2C4E" w:rsidP="00CF2C4E">
            <w:pPr>
              <w:ind w:left="-40"/>
              <w:rPr>
                <w:rFonts w:asciiTheme="minorHAnsi" w:eastAsia="Times New Roman" w:hAnsiTheme="minorHAnsi" w:cstheme="minorHAnsi"/>
                <w:sz w:val="20"/>
                <w:szCs w:val="20"/>
              </w:rPr>
            </w:pPr>
            <w:r w:rsidRPr="00CF2C4E">
              <w:rPr>
                <w:rFonts w:asciiTheme="minorHAnsi" w:eastAsia="Times New Roman" w:hAnsiTheme="minorHAnsi" w:cstheme="minorHAnsi"/>
                <w:b/>
                <w:bCs/>
                <w:sz w:val="20"/>
                <w:szCs w:val="20"/>
              </w:rPr>
              <w:lastRenderedPageBreak/>
              <w:t>DLR 7.2:</w:t>
            </w:r>
            <w:r w:rsidRPr="00CF2C4E">
              <w:rPr>
                <w:rFonts w:asciiTheme="minorHAnsi" w:eastAsia="Times New Roman" w:hAnsiTheme="minorHAnsi" w:cstheme="minorHAnsi"/>
                <w:sz w:val="20"/>
                <w:szCs w:val="20"/>
              </w:rPr>
              <w:t xml:space="preserve"> MEWR approves the updated GEP.</w:t>
            </w:r>
          </w:p>
          <w:p w14:paraId="39A4D73C" w14:textId="77777777" w:rsidR="00CF2C4E" w:rsidRPr="00CF2C4E" w:rsidRDefault="00CF2C4E" w:rsidP="00CF2C4E">
            <w:pPr>
              <w:ind w:left="-40"/>
              <w:rPr>
                <w:rFonts w:asciiTheme="minorHAnsi" w:eastAsia="Times New Roman" w:hAnsiTheme="minorHAnsi" w:cstheme="minorHAnsi"/>
                <w:sz w:val="20"/>
                <w:szCs w:val="20"/>
              </w:rPr>
            </w:pPr>
          </w:p>
        </w:tc>
        <w:tc>
          <w:tcPr>
            <w:tcW w:w="1440" w:type="dxa"/>
          </w:tcPr>
          <w:p w14:paraId="03E1E275" w14:textId="77777777" w:rsidR="00CF2C4E" w:rsidRPr="00CF2C4E" w:rsidRDefault="00CF2C4E" w:rsidP="00CF2C4E">
            <w:pPr>
              <w:rPr>
                <w:rFonts w:asciiTheme="minorHAnsi" w:hAnsiTheme="minorHAnsi" w:cstheme="minorHAnsi"/>
                <w:sz w:val="20"/>
                <w:szCs w:val="20"/>
              </w:rPr>
            </w:pPr>
            <w:r w:rsidRPr="00CF2C4E">
              <w:rPr>
                <w:rFonts w:asciiTheme="minorHAnsi" w:hAnsiTheme="minorHAnsi" w:cstheme="minorHAnsi"/>
                <w:sz w:val="20"/>
                <w:szCs w:val="20"/>
              </w:rPr>
              <w:t>June 30, 2021</w:t>
            </w:r>
          </w:p>
        </w:tc>
        <w:tc>
          <w:tcPr>
            <w:tcW w:w="1440" w:type="dxa"/>
          </w:tcPr>
          <w:p w14:paraId="0BB944D3" w14:textId="172688F6" w:rsidR="00CF2C4E" w:rsidRPr="00CF2C4E" w:rsidRDefault="00CF2C4E" w:rsidP="00CF2C4E">
            <w:pPr>
              <w:rPr>
                <w:rFonts w:asciiTheme="minorHAnsi" w:hAnsiTheme="minorHAnsi" w:cstheme="minorHAnsi"/>
                <w:sz w:val="20"/>
                <w:szCs w:val="20"/>
              </w:rPr>
            </w:pPr>
            <w:r w:rsidRPr="00CF2C4E">
              <w:rPr>
                <w:rFonts w:asciiTheme="minorHAnsi" w:hAnsiTheme="minorHAnsi" w:cstheme="minorHAnsi"/>
                <w:sz w:val="20"/>
                <w:szCs w:val="20"/>
              </w:rPr>
              <w:t>Feb</w:t>
            </w:r>
            <w:r w:rsidR="004E10B5">
              <w:rPr>
                <w:rFonts w:asciiTheme="minorHAnsi" w:hAnsiTheme="minorHAnsi" w:cstheme="minorHAnsi"/>
                <w:sz w:val="20"/>
                <w:szCs w:val="20"/>
              </w:rPr>
              <w:t>.</w:t>
            </w:r>
            <w:r w:rsidRPr="00CF2C4E">
              <w:rPr>
                <w:rFonts w:asciiTheme="minorHAnsi" w:hAnsiTheme="minorHAnsi" w:cstheme="minorHAnsi"/>
                <w:sz w:val="20"/>
                <w:szCs w:val="20"/>
              </w:rPr>
              <w:t xml:space="preserve"> 28, 2023</w:t>
            </w:r>
          </w:p>
        </w:tc>
        <w:tc>
          <w:tcPr>
            <w:tcW w:w="3780" w:type="dxa"/>
          </w:tcPr>
          <w:p w14:paraId="5D920D78" w14:textId="77777777" w:rsidR="00CF2C4E" w:rsidRPr="00CF2C4E" w:rsidRDefault="00CF2C4E" w:rsidP="00CF2C4E">
            <w:pPr>
              <w:rPr>
                <w:rFonts w:asciiTheme="minorHAnsi" w:hAnsiTheme="minorHAnsi" w:cstheme="minorHAnsi"/>
                <w:sz w:val="20"/>
                <w:szCs w:val="20"/>
              </w:rPr>
            </w:pPr>
            <w:r w:rsidRPr="00CF2C4E">
              <w:rPr>
                <w:rFonts w:asciiTheme="minorHAnsi" w:hAnsiTheme="minorHAnsi" w:cstheme="minorHAnsi"/>
                <w:sz w:val="20"/>
                <w:szCs w:val="20"/>
              </w:rPr>
              <w:t>Given that the preparation of GEP is extended following the request from the MOF, additional time will need to be provided to the MEWR to adopt it after finalization given the time required for internal review and consultation with key stakeholders.</w:t>
            </w:r>
          </w:p>
        </w:tc>
      </w:tr>
      <w:tr w:rsidR="00F75071" w:rsidRPr="00CF2C4E" w14:paraId="0D27009C" w14:textId="77777777" w:rsidTr="00F75071">
        <w:tc>
          <w:tcPr>
            <w:tcW w:w="3870" w:type="dxa"/>
          </w:tcPr>
          <w:p w14:paraId="0A954313" w14:textId="044D70C5" w:rsidR="00CF2C4E" w:rsidRPr="00CF2C4E" w:rsidRDefault="00CF2C4E" w:rsidP="00CF2C4E">
            <w:pPr>
              <w:ind w:left="-40"/>
              <w:rPr>
                <w:rFonts w:asciiTheme="minorHAnsi" w:eastAsia="Times New Roman" w:hAnsiTheme="minorHAnsi" w:cstheme="minorHAnsi"/>
                <w:sz w:val="20"/>
                <w:szCs w:val="20"/>
              </w:rPr>
            </w:pPr>
            <w:r w:rsidRPr="00CF2C4E">
              <w:rPr>
                <w:rFonts w:asciiTheme="minorHAnsi" w:eastAsia="Times New Roman" w:hAnsiTheme="minorHAnsi" w:cstheme="minorHAnsi"/>
                <w:b/>
                <w:bCs/>
                <w:sz w:val="20"/>
                <w:szCs w:val="20"/>
              </w:rPr>
              <w:t>DLR 7.3:</w:t>
            </w:r>
            <w:r w:rsidRPr="00CF2C4E">
              <w:rPr>
                <w:rFonts w:asciiTheme="minorHAnsi" w:eastAsia="Times New Roman" w:hAnsiTheme="minorHAnsi" w:cstheme="minorHAnsi"/>
                <w:sz w:val="20"/>
                <w:szCs w:val="20"/>
              </w:rPr>
              <w:t xml:space="preserve"> New generation investment decisions are made by the Recipient in accordance with the updated GEP; T&amp;D network development plans, based on GEP, are prepared by </w:t>
            </w:r>
            <w:r w:rsidR="00014F32">
              <w:rPr>
                <w:rFonts w:asciiTheme="minorHAnsi" w:eastAsia="Times New Roman" w:hAnsiTheme="minorHAnsi" w:cstheme="minorHAnsi"/>
                <w:sz w:val="20"/>
                <w:szCs w:val="20"/>
              </w:rPr>
              <w:t>SIB and STB respectively,</w:t>
            </w:r>
            <w:r w:rsidRPr="00CF2C4E">
              <w:rPr>
                <w:rFonts w:asciiTheme="minorHAnsi" w:eastAsia="Times New Roman" w:hAnsiTheme="minorHAnsi" w:cstheme="minorHAnsi"/>
                <w:sz w:val="20"/>
                <w:szCs w:val="20"/>
              </w:rPr>
              <w:t xml:space="preserve"> and approved by MEWR.</w:t>
            </w:r>
          </w:p>
        </w:tc>
        <w:tc>
          <w:tcPr>
            <w:tcW w:w="1440" w:type="dxa"/>
          </w:tcPr>
          <w:p w14:paraId="1B3AD61E" w14:textId="77777777" w:rsidR="00CF2C4E" w:rsidRPr="00CF2C4E" w:rsidRDefault="00CF2C4E" w:rsidP="00CF2C4E">
            <w:pPr>
              <w:rPr>
                <w:rFonts w:asciiTheme="minorHAnsi" w:hAnsiTheme="minorHAnsi" w:cstheme="minorHAnsi"/>
                <w:sz w:val="20"/>
                <w:szCs w:val="20"/>
              </w:rPr>
            </w:pPr>
          </w:p>
        </w:tc>
        <w:tc>
          <w:tcPr>
            <w:tcW w:w="1440" w:type="dxa"/>
          </w:tcPr>
          <w:p w14:paraId="3B3508CD" w14:textId="77777777" w:rsidR="00CF2C4E" w:rsidRPr="00CF2C4E" w:rsidRDefault="00CF2C4E" w:rsidP="00CF2C4E">
            <w:pPr>
              <w:rPr>
                <w:rFonts w:asciiTheme="minorHAnsi" w:hAnsiTheme="minorHAnsi" w:cstheme="minorHAnsi"/>
                <w:sz w:val="20"/>
                <w:szCs w:val="20"/>
              </w:rPr>
            </w:pPr>
            <w:r w:rsidRPr="00CF2C4E">
              <w:rPr>
                <w:rFonts w:asciiTheme="minorHAnsi" w:hAnsiTheme="minorHAnsi" w:cstheme="minorHAnsi"/>
                <w:sz w:val="20"/>
                <w:szCs w:val="20"/>
              </w:rPr>
              <w:t>Shifted by a year</w:t>
            </w:r>
          </w:p>
        </w:tc>
        <w:tc>
          <w:tcPr>
            <w:tcW w:w="3780" w:type="dxa"/>
          </w:tcPr>
          <w:p w14:paraId="7C9F7A62" w14:textId="613A129D" w:rsidR="00CF2C4E" w:rsidRPr="00CF2C4E" w:rsidRDefault="00CF2C4E" w:rsidP="00CF2C4E">
            <w:pPr>
              <w:rPr>
                <w:rFonts w:asciiTheme="minorHAnsi" w:hAnsiTheme="minorHAnsi" w:cstheme="minorHAnsi"/>
                <w:sz w:val="20"/>
                <w:szCs w:val="20"/>
              </w:rPr>
            </w:pPr>
            <w:r w:rsidRPr="00CF2C4E">
              <w:rPr>
                <w:rFonts w:asciiTheme="minorHAnsi" w:hAnsiTheme="minorHAnsi" w:cstheme="minorHAnsi"/>
                <w:sz w:val="20"/>
                <w:szCs w:val="20"/>
              </w:rPr>
              <w:t>This is necessitated by the changes in the deadlines of DLRs 7.1-7.2</w:t>
            </w:r>
            <w:r w:rsidR="003B218C">
              <w:rPr>
                <w:rFonts w:asciiTheme="minorHAnsi" w:hAnsiTheme="minorHAnsi" w:cstheme="minorHAnsi"/>
                <w:sz w:val="20"/>
                <w:szCs w:val="20"/>
              </w:rPr>
              <w:t>.</w:t>
            </w:r>
          </w:p>
        </w:tc>
      </w:tr>
      <w:tr w:rsidR="00F75071" w:rsidRPr="00CF2C4E" w14:paraId="43831F8F" w14:textId="77777777" w:rsidTr="00F75071">
        <w:tc>
          <w:tcPr>
            <w:tcW w:w="3870" w:type="dxa"/>
          </w:tcPr>
          <w:p w14:paraId="70184F3C" w14:textId="1F93DA1A" w:rsidR="00CF2C4E" w:rsidRPr="00CF2C4E" w:rsidRDefault="00CF2C4E" w:rsidP="00A646E8">
            <w:pPr>
              <w:ind w:left="-40"/>
              <w:rPr>
                <w:rFonts w:asciiTheme="minorHAnsi" w:eastAsia="Times New Roman" w:hAnsiTheme="minorHAnsi" w:cstheme="minorHAnsi"/>
                <w:sz w:val="20"/>
                <w:szCs w:val="20"/>
              </w:rPr>
            </w:pPr>
            <w:r w:rsidRPr="004E10B5">
              <w:rPr>
                <w:rFonts w:asciiTheme="minorHAnsi" w:eastAsia="Times New Roman" w:hAnsiTheme="minorHAnsi" w:cstheme="minorHAnsi"/>
                <w:b/>
                <w:bCs/>
                <w:sz w:val="20"/>
                <w:szCs w:val="20"/>
              </w:rPr>
              <w:t>DLR 7.4-7.6:</w:t>
            </w:r>
            <w:r w:rsidRPr="00CF2C4E">
              <w:rPr>
                <w:rFonts w:asciiTheme="minorHAnsi" w:eastAsia="Times New Roman" w:hAnsiTheme="minorHAnsi" w:cstheme="minorHAnsi"/>
                <w:sz w:val="20"/>
                <w:szCs w:val="20"/>
              </w:rPr>
              <w:t xml:space="preserve"> New generation as well as T&amp;D projects initiated by BT or the Recipient’s government are consistent with the approved plans.</w:t>
            </w:r>
          </w:p>
        </w:tc>
        <w:tc>
          <w:tcPr>
            <w:tcW w:w="1440" w:type="dxa"/>
          </w:tcPr>
          <w:p w14:paraId="6FA49B44" w14:textId="77777777" w:rsidR="00CF2C4E" w:rsidRPr="00CF2C4E" w:rsidRDefault="00CF2C4E" w:rsidP="00CF2C4E">
            <w:pPr>
              <w:rPr>
                <w:rFonts w:asciiTheme="minorHAnsi" w:hAnsiTheme="minorHAnsi" w:cstheme="minorHAnsi"/>
                <w:sz w:val="20"/>
                <w:szCs w:val="20"/>
              </w:rPr>
            </w:pPr>
          </w:p>
        </w:tc>
        <w:tc>
          <w:tcPr>
            <w:tcW w:w="1440" w:type="dxa"/>
          </w:tcPr>
          <w:p w14:paraId="18E58441" w14:textId="77777777" w:rsidR="00CF2C4E" w:rsidRPr="00CF2C4E" w:rsidRDefault="00CF2C4E" w:rsidP="00CF2C4E">
            <w:pPr>
              <w:rPr>
                <w:rFonts w:asciiTheme="minorHAnsi" w:hAnsiTheme="minorHAnsi" w:cstheme="minorHAnsi"/>
                <w:sz w:val="20"/>
                <w:szCs w:val="20"/>
              </w:rPr>
            </w:pPr>
            <w:r w:rsidRPr="00CF2C4E">
              <w:rPr>
                <w:rFonts w:asciiTheme="minorHAnsi" w:hAnsiTheme="minorHAnsi" w:cstheme="minorHAnsi"/>
                <w:sz w:val="20"/>
                <w:szCs w:val="20"/>
              </w:rPr>
              <w:t>Shifted by a year</w:t>
            </w:r>
          </w:p>
        </w:tc>
        <w:tc>
          <w:tcPr>
            <w:tcW w:w="3780" w:type="dxa"/>
          </w:tcPr>
          <w:p w14:paraId="380F7187" w14:textId="19575871" w:rsidR="00CF2C4E" w:rsidRPr="00CF2C4E" w:rsidRDefault="00CF2C4E" w:rsidP="00CF2C4E">
            <w:pPr>
              <w:rPr>
                <w:rFonts w:asciiTheme="minorHAnsi" w:hAnsiTheme="minorHAnsi" w:cstheme="minorHAnsi"/>
                <w:sz w:val="20"/>
                <w:szCs w:val="20"/>
              </w:rPr>
            </w:pPr>
            <w:r w:rsidRPr="00CF2C4E">
              <w:rPr>
                <w:rFonts w:asciiTheme="minorHAnsi" w:hAnsiTheme="minorHAnsi" w:cstheme="minorHAnsi"/>
                <w:sz w:val="20"/>
                <w:szCs w:val="20"/>
              </w:rPr>
              <w:t>This is necessitated by the changes in the deadlines of DLRs 7.1-7.3</w:t>
            </w:r>
            <w:r w:rsidR="003B218C">
              <w:rPr>
                <w:rFonts w:asciiTheme="minorHAnsi" w:hAnsiTheme="minorHAnsi" w:cstheme="minorHAnsi"/>
                <w:sz w:val="20"/>
                <w:szCs w:val="20"/>
              </w:rPr>
              <w:t>.</w:t>
            </w:r>
          </w:p>
        </w:tc>
      </w:tr>
      <w:tr w:rsidR="003B218C" w:rsidRPr="00CF2C4E" w14:paraId="6072345D" w14:textId="77777777" w:rsidTr="0074385B">
        <w:tc>
          <w:tcPr>
            <w:tcW w:w="3870" w:type="dxa"/>
            <w:shd w:val="clear" w:color="auto" w:fill="D9E2F3" w:themeFill="accent5" w:themeFillTint="33"/>
          </w:tcPr>
          <w:p w14:paraId="6D5C8D43" w14:textId="7300BF5D" w:rsidR="003B218C" w:rsidRPr="004E10B5" w:rsidRDefault="003B218C" w:rsidP="00CF2C4E">
            <w:pPr>
              <w:ind w:left="-40"/>
              <w:rPr>
                <w:rFonts w:asciiTheme="minorHAnsi" w:eastAsia="Times New Roman" w:hAnsiTheme="minorHAnsi" w:cstheme="minorHAnsi"/>
                <w:b/>
                <w:bCs/>
                <w:sz w:val="20"/>
                <w:szCs w:val="20"/>
              </w:rPr>
            </w:pPr>
            <w:r>
              <w:rPr>
                <w:rFonts w:asciiTheme="minorHAnsi" w:eastAsia="Times New Roman" w:hAnsiTheme="minorHAnsi" w:cstheme="minorHAnsi"/>
                <w:b/>
                <w:bCs/>
                <w:sz w:val="20"/>
                <w:szCs w:val="20"/>
              </w:rPr>
              <w:t>New DLRs under DLI 7</w:t>
            </w:r>
          </w:p>
        </w:tc>
        <w:tc>
          <w:tcPr>
            <w:tcW w:w="1440" w:type="dxa"/>
            <w:shd w:val="clear" w:color="auto" w:fill="D9E2F3" w:themeFill="accent5" w:themeFillTint="33"/>
          </w:tcPr>
          <w:p w14:paraId="12A421FA" w14:textId="77777777" w:rsidR="003B218C" w:rsidRPr="00CF2C4E" w:rsidRDefault="003B218C" w:rsidP="00CF2C4E">
            <w:pPr>
              <w:rPr>
                <w:rFonts w:asciiTheme="minorHAnsi" w:hAnsiTheme="minorHAnsi" w:cstheme="minorHAnsi"/>
                <w:sz w:val="20"/>
                <w:szCs w:val="20"/>
              </w:rPr>
            </w:pPr>
          </w:p>
        </w:tc>
        <w:tc>
          <w:tcPr>
            <w:tcW w:w="1440" w:type="dxa"/>
            <w:shd w:val="clear" w:color="auto" w:fill="D9E2F3" w:themeFill="accent5" w:themeFillTint="33"/>
          </w:tcPr>
          <w:p w14:paraId="3DB8372E" w14:textId="77777777" w:rsidR="003B218C" w:rsidRPr="00CF2C4E" w:rsidRDefault="003B218C" w:rsidP="00CF2C4E">
            <w:pPr>
              <w:rPr>
                <w:rFonts w:asciiTheme="minorHAnsi" w:hAnsiTheme="minorHAnsi" w:cstheme="minorHAnsi"/>
                <w:sz w:val="20"/>
                <w:szCs w:val="20"/>
              </w:rPr>
            </w:pPr>
          </w:p>
        </w:tc>
        <w:tc>
          <w:tcPr>
            <w:tcW w:w="3780" w:type="dxa"/>
            <w:shd w:val="clear" w:color="auto" w:fill="D9E2F3" w:themeFill="accent5" w:themeFillTint="33"/>
          </w:tcPr>
          <w:p w14:paraId="5F29C4DD" w14:textId="77777777" w:rsidR="003B218C" w:rsidRPr="00CF2C4E" w:rsidRDefault="003B218C" w:rsidP="00CF2C4E">
            <w:pPr>
              <w:rPr>
                <w:rFonts w:asciiTheme="minorHAnsi" w:hAnsiTheme="minorHAnsi" w:cstheme="minorHAnsi"/>
                <w:sz w:val="20"/>
                <w:szCs w:val="20"/>
              </w:rPr>
            </w:pPr>
          </w:p>
        </w:tc>
      </w:tr>
      <w:tr w:rsidR="0074385B" w:rsidRPr="00CF2C4E" w14:paraId="390FB803" w14:textId="77777777" w:rsidTr="0034482C">
        <w:tc>
          <w:tcPr>
            <w:tcW w:w="6750" w:type="dxa"/>
            <w:gridSpan w:val="3"/>
          </w:tcPr>
          <w:p w14:paraId="66C8E116" w14:textId="482219FF" w:rsidR="0074385B" w:rsidRPr="00CF2C4E" w:rsidRDefault="0074385B" w:rsidP="0074385B">
            <w:pPr>
              <w:ind w:left="-14"/>
              <w:rPr>
                <w:rFonts w:asciiTheme="minorHAnsi" w:hAnsiTheme="minorHAnsi" w:cstheme="minorHAnsi"/>
                <w:sz w:val="20"/>
                <w:szCs w:val="20"/>
              </w:rPr>
            </w:pPr>
            <w:r>
              <w:rPr>
                <w:rFonts w:asciiTheme="minorHAnsi" w:eastAsia="Times New Roman" w:hAnsiTheme="minorHAnsi" w:cstheme="minorHAnsi"/>
                <w:b/>
                <w:bCs/>
                <w:sz w:val="20"/>
                <w:szCs w:val="20"/>
              </w:rPr>
              <w:t xml:space="preserve">New </w:t>
            </w:r>
            <w:r w:rsidRPr="0074385B">
              <w:rPr>
                <w:rFonts w:asciiTheme="minorHAnsi" w:eastAsia="Times New Roman" w:hAnsiTheme="minorHAnsi" w:cstheme="minorHAnsi"/>
                <w:b/>
                <w:bCs/>
                <w:sz w:val="20"/>
                <w:szCs w:val="20"/>
              </w:rPr>
              <w:t>DLR 7.7</w:t>
            </w:r>
            <w:r w:rsidRPr="0074385B">
              <w:rPr>
                <w:rFonts w:asciiTheme="minorHAnsi" w:eastAsia="Times New Roman" w:hAnsiTheme="minorHAnsi" w:cstheme="minorHAnsi"/>
                <w:sz w:val="20"/>
                <w:szCs w:val="20"/>
              </w:rPr>
              <w:t>: By December 31, 2027, new generation, transmission, and distribution projects initiated by BT, SIB, STB respectively or the Recipient’s government are consistent with the approved plans</w:t>
            </w:r>
          </w:p>
        </w:tc>
        <w:tc>
          <w:tcPr>
            <w:tcW w:w="3780" w:type="dxa"/>
            <w:vMerge w:val="restart"/>
            <w:vAlign w:val="center"/>
          </w:tcPr>
          <w:p w14:paraId="436FF4D0" w14:textId="603CEA68" w:rsidR="0074385B" w:rsidRPr="00CF2C4E" w:rsidRDefault="0034482C" w:rsidP="0034482C">
            <w:pPr>
              <w:rPr>
                <w:rFonts w:asciiTheme="minorHAnsi" w:hAnsiTheme="minorHAnsi" w:cstheme="minorHAnsi"/>
                <w:sz w:val="20"/>
                <w:szCs w:val="20"/>
              </w:rPr>
            </w:pPr>
            <w:r>
              <w:rPr>
                <w:rFonts w:asciiTheme="minorHAnsi" w:hAnsiTheme="minorHAnsi" w:cstheme="minorHAnsi"/>
                <w:sz w:val="20"/>
                <w:szCs w:val="20"/>
              </w:rPr>
              <w:t xml:space="preserve">New </w:t>
            </w:r>
            <w:r w:rsidRPr="0034482C">
              <w:rPr>
                <w:rFonts w:asciiTheme="minorHAnsi" w:hAnsiTheme="minorHAnsi" w:cstheme="minorHAnsi"/>
                <w:sz w:val="20"/>
                <w:szCs w:val="20"/>
              </w:rPr>
              <w:t>DLRs are proposed to promote technically, economically, and financially sound principles for the Recipient’s investment decision-making during the extended life of the Program.</w:t>
            </w:r>
            <w:r>
              <w:rPr>
                <w:rFonts w:asciiTheme="minorHAnsi" w:hAnsiTheme="minorHAnsi" w:cstheme="minorHAnsi"/>
                <w:sz w:val="20"/>
                <w:szCs w:val="20"/>
              </w:rPr>
              <w:t xml:space="preserve"> </w:t>
            </w:r>
          </w:p>
        </w:tc>
      </w:tr>
      <w:tr w:rsidR="0074385B" w:rsidRPr="00CF2C4E" w14:paraId="062EDBCB" w14:textId="77777777" w:rsidTr="00145F90">
        <w:tc>
          <w:tcPr>
            <w:tcW w:w="6750" w:type="dxa"/>
            <w:gridSpan w:val="3"/>
          </w:tcPr>
          <w:p w14:paraId="2D07216D" w14:textId="5AF3B209" w:rsidR="0074385B" w:rsidRPr="00CF2C4E" w:rsidRDefault="0074385B" w:rsidP="0074385B">
            <w:pPr>
              <w:ind w:left="-14"/>
              <w:rPr>
                <w:rFonts w:asciiTheme="minorHAnsi" w:hAnsiTheme="minorHAnsi" w:cstheme="minorHAnsi"/>
                <w:sz w:val="20"/>
                <w:szCs w:val="20"/>
              </w:rPr>
            </w:pPr>
            <w:r>
              <w:rPr>
                <w:rFonts w:asciiTheme="minorHAnsi" w:eastAsia="Times New Roman" w:hAnsiTheme="minorHAnsi" w:cstheme="minorHAnsi"/>
                <w:b/>
                <w:bCs/>
                <w:sz w:val="20"/>
                <w:szCs w:val="20"/>
              </w:rPr>
              <w:t xml:space="preserve">New </w:t>
            </w:r>
            <w:r w:rsidRPr="0074385B">
              <w:rPr>
                <w:rFonts w:asciiTheme="minorHAnsi" w:eastAsia="Times New Roman" w:hAnsiTheme="minorHAnsi" w:cstheme="minorHAnsi"/>
                <w:b/>
                <w:bCs/>
                <w:sz w:val="20"/>
                <w:szCs w:val="20"/>
              </w:rPr>
              <w:t>DLR 7.8</w:t>
            </w:r>
            <w:r w:rsidRPr="0074385B">
              <w:rPr>
                <w:rFonts w:asciiTheme="minorHAnsi" w:eastAsia="Times New Roman" w:hAnsiTheme="minorHAnsi" w:cstheme="minorHAnsi"/>
                <w:sz w:val="20"/>
                <w:szCs w:val="20"/>
              </w:rPr>
              <w:t>: By December 31, 2028, new generation, transmission, and distribution projects initiated by BT, SIB, STB respectively or the Recipient’s government are consistent with the approved plans</w:t>
            </w:r>
          </w:p>
        </w:tc>
        <w:tc>
          <w:tcPr>
            <w:tcW w:w="3780" w:type="dxa"/>
            <w:vMerge/>
          </w:tcPr>
          <w:p w14:paraId="059A294B" w14:textId="77777777" w:rsidR="0074385B" w:rsidRPr="00CF2C4E" w:rsidRDefault="0074385B" w:rsidP="00CF2C4E">
            <w:pPr>
              <w:rPr>
                <w:rFonts w:asciiTheme="minorHAnsi" w:hAnsiTheme="minorHAnsi" w:cstheme="minorHAnsi"/>
                <w:sz w:val="20"/>
                <w:szCs w:val="20"/>
              </w:rPr>
            </w:pPr>
          </w:p>
        </w:tc>
      </w:tr>
      <w:tr w:rsidR="0074385B" w:rsidRPr="00CF2C4E" w14:paraId="47808F74" w14:textId="77777777" w:rsidTr="003F5CD7">
        <w:tc>
          <w:tcPr>
            <w:tcW w:w="6750" w:type="dxa"/>
            <w:gridSpan w:val="3"/>
          </w:tcPr>
          <w:p w14:paraId="6E6E7E06" w14:textId="75AAB822" w:rsidR="0074385B" w:rsidRPr="00CF2C4E" w:rsidRDefault="0074385B" w:rsidP="0074385B">
            <w:pPr>
              <w:ind w:left="-14"/>
              <w:rPr>
                <w:rFonts w:asciiTheme="minorHAnsi" w:hAnsiTheme="minorHAnsi" w:cstheme="minorHAnsi"/>
                <w:sz w:val="20"/>
                <w:szCs w:val="20"/>
              </w:rPr>
            </w:pPr>
            <w:r>
              <w:rPr>
                <w:rFonts w:asciiTheme="minorHAnsi" w:eastAsia="Times New Roman" w:hAnsiTheme="minorHAnsi" w:cstheme="minorHAnsi"/>
                <w:b/>
                <w:bCs/>
                <w:sz w:val="20"/>
                <w:szCs w:val="20"/>
              </w:rPr>
              <w:t xml:space="preserve">New </w:t>
            </w:r>
            <w:r w:rsidRPr="0074385B">
              <w:rPr>
                <w:rFonts w:asciiTheme="minorHAnsi" w:eastAsia="Times New Roman" w:hAnsiTheme="minorHAnsi" w:cstheme="minorHAnsi"/>
                <w:b/>
                <w:bCs/>
                <w:sz w:val="20"/>
                <w:szCs w:val="20"/>
              </w:rPr>
              <w:t>DLR 7.9</w:t>
            </w:r>
            <w:r w:rsidRPr="0074385B">
              <w:rPr>
                <w:rFonts w:asciiTheme="minorHAnsi" w:eastAsia="Times New Roman" w:hAnsiTheme="minorHAnsi" w:cstheme="minorHAnsi"/>
                <w:sz w:val="20"/>
                <w:szCs w:val="20"/>
              </w:rPr>
              <w:t>: By December 31, 2029, new generation, transmission, and distribution projects initiated by BT, SIB, STB respectively or the Recipient’s government are consistent with the approved plans</w:t>
            </w:r>
          </w:p>
        </w:tc>
        <w:tc>
          <w:tcPr>
            <w:tcW w:w="3780" w:type="dxa"/>
            <w:vMerge/>
          </w:tcPr>
          <w:p w14:paraId="1FE5A1E5" w14:textId="77777777" w:rsidR="0074385B" w:rsidRPr="00CF2C4E" w:rsidRDefault="0074385B" w:rsidP="00CF2C4E">
            <w:pPr>
              <w:rPr>
                <w:rFonts w:asciiTheme="minorHAnsi" w:hAnsiTheme="minorHAnsi" w:cstheme="minorHAnsi"/>
                <w:sz w:val="20"/>
                <w:szCs w:val="20"/>
              </w:rPr>
            </w:pPr>
          </w:p>
        </w:tc>
      </w:tr>
      <w:tr w:rsidR="0074385B" w:rsidRPr="00CF2C4E" w14:paraId="49E04D5C" w14:textId="77777777" w:rsidTr="000A0EC2">
        <w:tc>
          <w:tcPr>
            <w:tcW w:w="6750" w:type="dxa"/>
            <w:gridSpan w:val="3"/>
          </w:tcPr>
          <w:p w14:paraId="15FAE1B7" w14:textId="54BB5E3E" w:rsidR="0074385B" w:rsidRPr="00CF2C4E" w:rsidRDefault="0074385B" w:rsidP="0074385B">
            <w:pPr>
              <w:ind w:left="-14"/>
              <w:rPr>
                <w:rFonts w:asciiTheme="minorHAnsi" w:hAnsiTheme="minorHAnsi" w:cstheme="minorHAnsi"/>
                <w:sz w:val="20"/>
                <w:szCs w:val="20"/>
              </w:rPr>
            </w:pPr>
            <w:r>
              <w:rPr>
                <w:rFonts w:asciiTheme="minorHAnsi" w:eastAsia="Times New Roman" w:hAnsiTheme="minorHAnsi" w:cstheme="minorHAnsi"/>
                <w:b/>
                <w:bCs/>
                <w:sz w:val="20"/>
                <w:szCs w:val="20"/>
              </w:rPr>
              <w:t xml:space="preserve">New </w:t>
            </w:r>
            <w:r w:rsidRPr="0074385B">
              <w:rPr>
                <w:rFonts w:asciiTheme="minorHAnsi" w:eastAsia="Times New Roman" w:hAnsiTheme="minorHAnsi" w:cstheme="minorHAnsi"/>
                <w:b/>
                <w:bCs/>
                <w:sz w:val="20"/>
                <w:szCs w:val="20"/>
              </w:rPr>
              <w:t>DLR 7.10</w:t>
            </w:r>
            <w:r w:rsidRPr="0074385B">
              <w:rPr>
                <w:rFonts w:asciiTheme="minorHAnsi" w:eastAsia="Times New Roman" w:hAnsiTheme="minorHAnsi" w:cstheme="minorHAnsi"/>
                <w:sz w:val="20"/>
                <w:szCs w:val="20"/>
              </w:rPr>
              <w:t>: By December 31, 2030, new generation, transmission, and distribution projects initiated by BT, SIB, STB respectively or the Recipient’s government are consistent with the approved plans</w:t>
            </w:r>
          </w:p>
        </w:tc>
        <w:tc>
          <w:tcPr>
            <w:tcW w:w="3780" w:type="dxa"/>
            <w:vMerge/>
          </w:tcPr>
          <w:p w14:paraId="54B1F3BC" w14:textId="77777777" w:rsidR="0074385B" w:rsidRPr="00CF2C4E" w:rsidRDefault="0074385B" w:rsidP="00CF2C4E">
            <w:pPr>
              <w:rPr>
                <w:rFonts w:asciiTheme="minorHAnsi" w:hAnsiTheme="minorHAnsi" w:cstheme="minorHAnsi"/>
                <w:sz w:val="20"/>
                <w:szCs w:val="20"/>
              </w:rPr>
            </w:pPr>
          </w:p>
        </w:tc>
      </w:tr>
      <w:tr w:rsidR="00CF2C4E" w:rsidRPr="00CF2C4E" w14:paraId="7EE52EB4" w14:textId="77777777" w:rsidTr="004E10B5">
        <w:tc>
          <w:tcPr>
            <w:tcW w:w="10530" w:type="dxa"/>
            <w:gridSpan w:val="4"/>
            <w:shd w:val="clear" w:color="auto" w:fill="D9E2F3" w:themeFill="accent5" w:themeFillTint="33"/>
            <w:vAlign w:val="center"/>
          </w:tcPr>
          <w:p w14:paraId="185E90C9" w14:textId="4E8A6631" w:rsidR="00CF2C4E" w:rsidRPr="00CF2C4E" w:rsidRDefault="00E30742" w:rsidP="00E30742">
            <w:pPr>
              <w:ind w:left="-14"/>
              <w:rPr>
                <w:rFonts w:asciiTheme="minorHAnsi" w:hAnsiTheme="minorHAnsi" w:cstheme="minorHAnsi"/>
                <w:sz w:val="20"/>
                <w:szCs w:val="20"/>
              </w:rPr>
            </w:pPr>
            <w:r>
              <w:rPr>
                <w:rFonts w:asciiTheme="minorHAnsi" w:eastAsia="Times New Roman" w:hAnsiTheme="minorHAnsi" w:cstheme="minorHAnsi"/>
                <w:b/>
                <w:sz w:val="20"/>
                <w:szCs w:val="20"/>
              </w:rPr>
              <w:t xml:space="preserve">DLI 8: </w:t>
            </w:r>
            <w:r w:rsidR="00CF2C4E" w:rsidRPr="00CF2C4E">
              <w:rPr>
                <w:rFonts w:asciiTheme="minorHAnsi" w:eastAsia="Times New Roman" w:hAnsiTheme="minorHAnsi" w:cstheme="minorHAnsi"/>
                <w:b/>
                <w:sz w:val="20"/>
                <w:szCs w:val="20"/>
              </w:rPr>
              <w:t>Implementation of good-practice corporate governance at BT</w:t>
            </w:r>
          </w:p>
        </w:tc>
      </w:tr>
      <w:tr w:rsidR="00F75071" w:rsidRPr="00CF2C4E" w14:paraId="6A8D1287" w14:textId="77777777" w:rsidTr="00F75071">
        <w:tc>
          <w:tcPr>
            <w:tcW w:w="3870" w:type="dxa"/>
          </w:tcPr>
          <w:p w14:paraId="393DBEBB" w14:textId="77777777" w:rsidR="00CF2C4E" w:rsidRPr="00CF2C4E" w:rsidRDefault="00CF2C4E" w:rsidP="00CF2C4E">
            <w:pPr>
              <w:ind w:left="-40"/>
              <w:rPr>
                <w:rFonts w:asciiTheme="minorHAnsi" w:eastAsia="Times New Roman" w:hAnsiTheme="minorHAnsi" w:cstheme="minorHAnsi"/>
                <w:b/>
                <w:sz w:val="20"/>
                <w:szCs w:val="20"/>
              </w:rPr>
            </w:pPr>
            <w:r w:rsidRPr="00CF2C4E">
              <w:rPr>
                <w:rFonts w:asciiTheme="minorHAnsi" w:eastAsia="Times New Roman" w:hAnsiTheme="minorHAnsi" w:cstheme="minorHAnsi"/>
                <w:b/>
                <w:bCs/>
                <w:sz w:val="20"/>
                <w:szCs w:val="20"/>
              </w:rPr>
              <w:t>DLR 8.1:</w:t>
            </w:r>
            <w:r w:rsidRPr="00CF2C4E">
              <w:rPr>
                <w:rFonts w:asciiTheme="minorHAnsi" w:eastAsia="Times New Roman" w:hAnsiTheme="minorHAnsi" w:cstheme="minorHAnsi"/>
                <w:sz w:val="20"/>
                <w:szCs w:val="20"/>
              </w:rPr>
              <w:t xml:space="preserve"> SBs are functional and formed the specialized committees (audit and compensation committees) at generation, transmission, and distribution companies, comprising of SB members.</w:t>
            </w:r>
          </w:p>
        </w:tc>
        <w:tc>
          <w:tcPr>
            <w:tcW w:w="1440" w:type="dxa"/>
          </w:tcPr>
          <w:p w14:paraId="10CAD1D8" w14:textId="7D076B51" w:rsidR="00CF2C4E" w:rsidRPr="00CF2C4E" w:rsidRDefault="00CF2C4E" w:rsidP="00CF2C4E">
            <w:pPr>
              <w:rPr>
                <w:rFonts w:asciiTheme="minorHAnsi" w:hAnsiTheme="minorHAnsi" w:cstheme="minorHAnsi"/>
                <w:sz w:val="20"/>
                <w:szCs w:val="20"/>
              </w:rPr>
            </w:pPr>
            <w:r w:rsidRPr="00CF2C4E">
              <w:rPr>
                <w:rFonts w:asciiTheme="minorHAnsi" w:hAnsiTheme="minorHAnsi" w:cstheme="minorHAnsi"/>
                <w:sz w:val="20"/>
                <w:szCs w:val="20"/>
              </w:rPr>
              <w:t>Dec</w:t>
            </w:r>
            <w:r w:rsidR="006E5ED3">
              <w:rPr>
                <w:rFonts w:asciiTheme="minorHAnsi" w:hAnsiTheme="minorHAnsi" w:cstheme="minorHAnsi"/>
                <w:sz w:val="20"/>
                <w:szCs w:val="20"/>
              </w:rPr>
              <w:t>.</w:t>
            </w:r>
            <w:r w:rsidRPr="00CF2C4E">
              <w:rPr>
                <w:rFonts w:asciiTheme="minorHAnsi" w:hAnsiTheme="minorHAnsi" w:cstheme="minorHAnsi"/>
                <w:sz w:val="20"/>
                <w:szCs w:val="20"/>
              </w:rPr>
              <w:t xml:space="preserve"> 31, 2020</w:t>
            </w:r>
          </w:p>
        </w:tc>
        <w:tc>
          <w:tcPr>
            <w:tcW w:w="1440" w:type="dxa"/>
          </w:tcPr>
          <w:p w14:paraId="4FE11100" w14:textId="77777777" w:rsidR="00CF2C4E" w:rsidRPr="00CF2C4E" w:rsidRDefault="00CF2C4E" w:rsidP="00CF2C4E">
            <w:pPr>
              <w:rPr>
                <w:rFonts w:asciiTheme="minorHAnsi" w:hAnsiTheme="minorHAnsi" w:cstheme="minorHAnsi"/>
                <w:sz w:val="20"/>
                <w:szCs w:val="20"/>
              </w:rPr>
            </w:pPr>
            <w:r w:rsidRPr="00CF2C4E">
              <w:rPr>
                <w:rFonts w:asciiTheme="minorHAnsi" w:hAnsiTheme="minorHAnsi" w:cstheme="minorHAnsi"/>
                <w:sz w:val="20"/>
                <w:szCs w:val="20"/>
              </w:rPr>
              <w:t>May 31, 2022</w:t>
            </w:r>
          </w:p>
        </w:tc>
        <w:tc>
          <w:tcPr>
            <w:tcW w:w="3780" w:type="dxa"/>
          </w:tcPr>
          <w:p w14:paraId="08561C6C" w14:textId="77777777" w:rsidR="00CF2C4E" w:rsidRPr="00CF2C4E" w:rsidRDefault="00CF2C4E" w:rsidP="00CF2C4E">
            <w:pPr>
              <w:rPr>
                <w:rFonts w:asciiTheme="minorHAnsi" w:hAnsiTheme="minorHAnsi" w:cstheme="minorHAnsi"/>
                <w:sz w:val="20"/>
                <w:szCs w:val="20"/>
              </w:rPr>
            </w:pPr>
            <w:r w:rsidRPr="00CF2C4E">
              <w:rPr>
                <w:rFonts w:asciiTheme="minorHAnsi" w:hAnsiTheme="minorHAnsi" w:cstheme="minorHAnsi"/>
                <w:sz w:val="20"/>
                <w:szCs w:val="20"/>
              </w:rPr>
              <w:t xml:space="preserve">The Government has made good progress after COVID-19 situation has settled and completed the establishment of the corporate governance elements. Hiring of some key people still need to be finalized. </w:t>
            </w:r>
          </w:p>
        </w:tc>
      </w:tr>
      <w:tr w:rsidR="00F75071" w:rsidRPr="00CF2C4E" w14:paraId="3AD38FE0" w14:textId="77777777" w:rsidTr="00F75071">
        <w:tc>
          <w:tcPr>
            <w:tcW w:w="3870" w:type="dxa"/>
          </w:tcPr>
          <w:p w14:paraId="410CC732" w14:textId="77777777" w:rsidR="00CF2C4E" w:rsidRPr="00CF2C4E" w:rsidRDefault="00CF2C4E" w:rsidP="00CF2C4E">
            <w:pPr>
              <w:ind w:left="-40"/>
              <w:rPr>
                <w:rFonts w:asciiTheme="minorHAnsi" w:eastAsia="Times New Roman" w:hAnsiTheme="minorHAnsi" w:cstheme="minorHAnsi"/>
                <w:sz w:val="20"/>
                <w:szCs w:val="20"/>
              </w:rPr>
            </w:pPr>
            <w:r w:rsidRPr="00CF2C4E">
              <w:rPr>
                <w:rFonts w:asciiTheme="minorHAnsi" w:eastAsia="Times New Roman" w:hAnsiTheme="minorHAnsi" w:cstheme="minorHAnsi"/>
                <w:b/>
                <w:bCs/>
                <w:sz w:val="20"/>
                <w:szCs w:val="20"/>
              </w:rPr>
              <w:t>DLR 8.2:</w:t>
            </w:r>
            <w:r w:rsidRPr="00CF2C4E">
              <w:rPr>
                <w:rFonts w:asciiTheme="minorHAnsi" w:eastAsia="Times New Roman" w:hAnsiTheme="minorHAnsi" w:cstheme="minorHAnsi"/>
                <w:sz w:val="20"/>
                <w:szCs w:val="20"/>
              </w:rPr>
              <w:t xml:space="preserve"> SBs and specialized committees are functional.</w:t>
            </w:r>
          </w:p>
        </w:tc>
        <w:tc>
          <w:tcPr>
            <w:tcW w:w="1440" w:type="dxa"/>
          </w:tcPr>
          <w:p w14:paraId="22429033" w14:textId="77777777" w:rsidR="00CF2C4E" w:rsidRPr="00CF2C4E" w:rsidRDefault="00CF2C4E" w:rsidP="00CF2C4E">
            <w:pPr>
              <w:rPr>
                <w:rFonts w:asciiTheme="minorHAnsi" w:hAnsiTheme="minorHAnsi" w:cstheme="minorHAnsi"/>
                <w:sz w:val="20"/>
                <w:szCs w:val="20"/>
              </w:rPr>
            </w:pPr>
            <w:r w:rsidRPr="00CF2C4E">
              <w:rPr>
                <w:rFonts w:asciiTheme="minorHAnsi" w:hAnsiTheme="minorHAnsi" w:cstheme="minorHAnsi"/>
                <w:sz w:val="20"/>
                <w:szCs w:val="20"/>
              </w:rPr>
              <w:t>June 30, 2021</w:t>
            </w:r>
          </w:p>
        </w:tc>
        <w:tc>
          <w:tcPr>
            <w:tcW w:w="1440" w:type="dxa"/>
          </w:tcPr>
          <w:p w14:paraId="6EA2AF7E" w14:textId="0D91CAD5" w:rsidR="00CF2C4E" w:rsidRPr="00CF2C4E" w:rsidRDefault="006E5ED3" w:rsidP="00CF2C4E">
            <w:pPr>
              <w:rPr>
                <w:rFonts w:asciiTheme="minorHAnsi" w:hAnsiTheme="minorHAnsi" w:cstheme="minorHAnsi"/>
                <w:sz w:val="20"/>
                <w:szCs w:val="20"/>
              </w:rPr>
            </w:pPr>
            <w:r>
              <w:rPr>
                <w:rFonts w:asciiTheme="minorHAnsi" w:hAnsiTheme="minorHAnsi" w:cstheme="minorHAnsi"/>
                <w:sz w:val="20"/>
                <w:szCs w:val="20"/>
              </w:rPr>
              <w:t>June</w:t>
            </w:r>
            <w:r w:rsidR="00CF2C4E" w:rsidRPr="00CF2C4E">
              <w:rPr>
                <w:rFonts w:asciiTheme="minorHAnsi" w:hAnsiTheme="minorHAnsi" w:cstheme="minorHAnsi"/>
                <w:sz w:val="20"/>
                <w:szCs w:val="20"/>
              </w:rPr>
              <w:t xml:space="preserve"> 3</w:t>
            </w:r>
            <w:r>
              <w:rPr>
                <w:rFonts w:asciiTheme="minorHAnsi" w:hAnsiTheme="minorHAnsi" w:cstheme="minorHAnsi"/>
                <w:sz w:val="20"/>
                <w:szCs w:val="20"/>
              </w:rPr>
              <w:t>0</w:t>
            </w:r>
            <w:r w:rsidR="00CF2C4E" w:rsidRPr="00CF2C4E">
              <w:rPr>
                <w:rFonts w:asciiTheme="minorHAnsi" w:hAnsiTheme="minorHAnsi" w:cstheme="minorHAnsi"/>
                <w:sz w:val="20"/>
                <w:szCs w:val="20"/>
              </w:rPr>
              <w:t>, 2022</w:t>
            </w:r>
          </w:p>
        </w:tc>
        <w:tc>
          <w:tcPr>
            <w:tcW w:w="3780" w:type="dxa"/>
          </w:tcPr>
          <w:p w14:paraId="7233731A" w14:textId="77777777" w:rsidR="00CF2C4E" w:rsidRPr="00CF2C4E" w:rsidRDefault="00CF2C4E" w:rsidP="00CF2C4E">
            <w:pPr>
              <w:rPr>
                <w:rFonts w:asciiTheme="minorHAnsi" w:hAnsiTheme="minorHAnsi" w:cstheme="minorHAnsi"/>
                <w:sz w:val="20"/>
                <w:szCs w:val="20"/>
              </w:rPr>
            </w:pPr>
            <w:r w:rsidRPr="00CF2C4E">
              <w:rPr>
                <w:rFonts w:asciiTheme="minorHAnsi" w:hAnsiTheme="minorHAnsi" w:cstheme="minorHAnsi"/>
                <w:sz w:val="20"/>
                <w:szCs w:val="20"/>
              </w:rPr>
              <w:t xml:space="preserve">The Government has made good progress with introduction of elements of good corporate governance in BT, SIB, and STB with Supervisory Boards in place and specialized committees established. The </w:t>
            </w:r>
            <w:r w:rsidRPr="00CF2C4E">
              <w:rPr>
                <w:rFonts w:asciiTheme="minorHAnsi" w:hAnsiTheme="minorHAnsi" w:cstheme="minorHAnsi"/>
                <w:sz w:val="20"/>
                <w:szCs w:val="20"/>
              </w:rPr>
              <w:lastRenderedPageBreak/>
              <w:t xml:space="preserve">Government needs to finalize some legal arrangements to complete the process. </w:t>
            </w:r>
          </w:p>
        </w:tc>
      </w:tr>
      <w:tr w:rsidR="00F75071" w:rsidRPr="00CF2C4E" w14:paraId="32300DED" w14:textId="77777777" w:rsidTr="00F75071">
        <w:tc>
          <w:tcPr>
            <w:tcW w:w="3870" w:type="dxa"/>
          </w:tcPr>
          <w:p w14:paraId="61435FB6" w14:textId="77777777" w:rsidR="00CF2C4E" w:rsidRPr="00CF2C4E" w:rsidRDefault="00CF2C4E" w:rsidP="00CF2C4E">
            <w:pPr>
              <w:ind w:left="-40"/>
              <w:rPr>
                <w:rFonts w:asciiTheme="minorHAnsi" w:eastAsia="Times New Roman" w:hAnsiTheme="minorHAnsi" w:cstheme="minorHAnsi"/>
                <w:sz w:val="20"/>
                <w:szCs w:val="20"/>
              </w:rPr>
            </w:pPr>
            <w:r w:rsidRPr="00CF2C4E">
              <w:rPr>
                <w:rFonts w:asciiTheme="minorHAnsi" w:eastAsia="Times New Roman" w:hAnsiTheme="minorHAnsi" w:cstheme="minorHAnsi"/>
                <w:b/>
                <w:bCs/>
                <w:sz w:val="20"/>
                <w:szCs w:val="20"/>
              </w:rPr>
              <w:lastRenderedPageBreak/>
              <w:t>DLR 8.3 to 8.7:</w:t>
            </w:r>
            <w:r w:rsidRPr="00CF2C4E">
              <w:rPr>
                <w:rFonts w:asciiTheme="minorHAnsi" w:eastAsia="Times New Roman" w:hAnsiTheme="minorHAnsi" w:cstheme="minorHAnsi"/>
                <w:sz w:val="20"/>
                <w:szCs w:val="20"/>
              </w:rPr>
              <w:t xml:space="preserve"> SBs and specialized committees are functional.</w:t>
            </w:r>
          </w:p>
        </w:tc>
        <w:tc>
          <w:tcPr>
            <w:tcW w:w="1440" w:type="dxa"/>
          </w:tcPr>
          <w:p w14:paraId="70BBB310" w14:textId="77777777" w:rsidR="00CF2C4E" w:rsidRPr="00CF2C4E" w:rsidRDefault="00CF2C4E" w:rsidP="00CF2C4E">
            <w:pPr>
              <w:rPr>
                <w:rFonts w:asciiTheme="minorHAnsi" w:hAnsiTheme="minorHAnsi" w:cstheme="minorHAnsi"/>
                <w:sz w:val="20"/>
                <w:szCs w:val="20"/>
              </w:rPr>
            </w:pPr>
          </w:p>
        </w:tc>
        <w:tc>
          <w:tcPr>
            <w:tcW w:w="1440" w:type="dxa"/>
          </w:tcPr>
          <w:p w14:paraId="6BD166DE" w14:textId="77777777" w:rsidR="00CF2C4E" w:rsidRPr="00CF2C4E" w:rsidRDefault="00CF2C4E" w:rsidP="00CF2C4E">
            <w:pPr>
              <w:rPr>
                <w:rFonts w:asciiTheme="minorHAnsi" w:hAnsiTheme="minorHAnsi" w:cstheme="minorHAnsi"/>
                <w:sz w:val="20"/>
                <w:szCs w:val="20"/>
              </w:rPr>
            </w:pPr>
            <w:r w:rsidRPr="00CF2C4E">
              <w:rPr>
                <w:rFonts w:asciiTheme="minorHAnsi" w:hAnsiTheme="minorHAnsi" w:cstheme="minorHAnsi"/>
                <w:sz w:val="20"/>
                <w:szCs w:val="20"/>
              </w:rPr>
              <w:t>Shifted by one year</w:t>
            </w:r>
          </w:p>
        </w:tc>
        <w:tc>
          <w:tcPr>
            <w:tcW w:w="3780" w:type="dxa"/>
          </w:tcPr>
          <w:p w14:paraId="5B644ECE" w14:textId="77777777" w:rsidR="00CF2C4E" w:rsidRPr="00CF2C4E" w:rsidRDefault="00CF2C4E" w:rsidP="00CF2C4E">
            <w:pPr>
              <w:rPr>
                <w:rFonts w:asciiTheme="minorHAnsi" w:hAnsiTheme="minorHAnsi" w:cstheme="minorHAnsi"/>
                <w:sz w:val="20"/>
                <w:szCs w:val="20"/>
              </w:rPr>
            </w:pPr>
            <w:r w:rsidRPr="00CF2C4E">
              <w:rPr>
                <w:rFonts w:asciiTheme="minorHAnsi" w:hAnsiTheme="minorHAnsi" w:cstheme="minorHAnsi"/>
                <w:sz w:val="20"/>
                <w:szCs w:val="20"/>
              </w:rPr>
              <w:t>This is necessitated by the restructuring requested for DLR 8.2.</w:t>
            </w:r>
          </w:p>
        </w:tc>
      </w:tr>
      <w:tr w:rsidR="00E30742" w:rsidRPr="00CF2C4E" w14:paraId="7BDC66BE" w14:textId="77777777" w:rsidTr="005D67EF">
        <w:tc>
          <w:tcPr>
            <w:tcW w:w="3870" w:type="dxa"/>
            <w:shd w:val="clear" w:color="auto" w:fill="D9E2F3" w:themeFill="accent5" w:themeFillTint="33"/>
          </w:tcPr>
          <w:p w14:paraId="79F78C00" w14:textId="1F5EF00C" w:rsidR="00E30742" w:rsidRPr="00CF2C4E" w:rsidRDefault="00E30742" w:rsidP="00CF2C4E">
            <w:pPr>
              <w:ind w:left="-40"/>
              <w:rPr>
                <w:rFonts w:asciiTheme="minorHAnsi" w:eastAsia="Times New Roman" w:hAnsiTheme="minorHAnsi" w:cstheme="minorHAnsi"/>
                <w:b/>
                <w:bCs/>
                <w:sz w:val="20"/>
                <w:szCs w:val="20"/>
              </w:rPr>
            </w:pPr>
            <w:r>
              <w:rPr>
                <w:rFonts w:asciiTheme="minorHAnsi" w:eastAsia="Times New Roman" w:hAnsiTheme="minorHAnsi" w:cstheme="minorHAnsi"/>
                <w:b/>
                <w:bCs/>
                <w:sz w:val="20"/>
                <w:szCs w:val="20"/>
              </w:rPr>
              <w:t>New DL</w:t>
            </w:r>
            <w:r w:rsidR="005D67EF">
              <w:rPr>
                <w:rFonts w:asciiTheme="minorHAnsi" w:eastAsia="Times New Roman" w:hAnsiTheme="minorHAnsi" w:cstheme="minorHAnsi"/>
                <w:b/>
                <w:bCs/>
                <w:sz w:val="20"/>
                <w:szCs w:val="20"/>
              </w:rPr>
              <w:t>Rs under DLI 8</w:t>
            </w:r>
          </w:p>
        </w:tc>
        <w:tc>
          <w:tcPr>
            <w:tcW w:w="1440" w:type="dxa"/>
            <w:shd w:val="clear" w:color="auto" w:fill="D9E2F3" w:themeFill="accent5" w:themeFillTint="33"/>
          </w:tcPr>
          <w:p w14:paraId="28C2D7DC" w14:textId="77777777" w:rsidR="00E30742" w:rsidRPr="00CF2C4E" w:rsidRDefault="00E30742" w:rsidP="00CF2C4E">
            <w:pPr>
              <w:rPr>
                <w:rFonts w:asciiTheme="minorHAnsi" w:hAnsiTheme="minorHAnsi" w:cstheme="minorHAnsi"/>
                <w:sz w:val="20"/>
                <w:szCs w:val="20"/>
              </w:rPr>
            </w:pPr>
          </w:p>
        </w:tc>
        <w:tc>
          <w:tcPr>
            <w:tcW w:w="1440" w:type="dxa"/>
            <w:shd w:val="clear" w:color="auto" w:fill="D9E2F3" w:themeFill="accent5" w:themeFillTint="33"/>
          </w:tcPr>
          <w:p w14:paraId="55DFD023" w14:textId="77777777" w:rsidR="00E30742" w:rsidRPr="00CF2C4E" w:rsidRDefault="00E30742" w:rsidP="00CF2C4E">
            <w:pPr>
              <w:rPr>
                <w:rFonts w:asciiTheme="minorHAnsi" w:hAnsiTheme="minorHAnsi" w:cstheme="minorHAnsi"/>
                <w:sz w:val="20"/>
                <w:szCs w:val="20"/>
              </w:rPr>
            </w:pPr>
          </w:p>
        </w:tc>
        <w:tc>
          <w:tcPr>
            <w:tcW w:w="3780" w:type="dxa"/>
            <w:shd w:val="clear" w:color="auto" w:fill="D9E2F3" w:themeFill="accent5" w:themeFillTint="33"/>
          </w:tcPr>
          <w:p w14:paraId="0640B7EB" w14:textId="77777777" w:rsidR="00E30742" w:rsidRPr="00CF2C4E" w:rsidRDefault="00E30742" w:rsidP="00CF2C4E">
            <w:pPr>
              <w:rPr>
                <w:rFonts w:asciiTheme="minorHAnsi" w:hAnsiTheme="minorHAnsi" w:cstheme="minorHAnsi"/>
                <w:sz w:val="20"/>
                <w:szCs w:val="20"/>
              </w:rPr>
            </w:pPr>
          </w:p>
        </w:tc>
      </w:tr>
      <w:tr w:rsidR="005F293A" w:rsidRPr="00CF2C4E" w14:paraId="77F7AE56" w14:textId="77777777" w:rsidTr="005F293A">
        <w:tc>
          <w:tcPr>
            <w:tcW w:w="6750" w:type="dxa"/>
            <w:gridSpan w:val="3"/>
          </w:tcPr>
          <w:p w14:paraId="470ADE35" w14:textId="3A701239" w:rsidR="005F293A" w:rsidRPr="00CF2C4E" w:rsidRDefault="005F293A" w:rsidP="009A0E65">
            <w:pPr>
              <w:ind w:left="-14"/>
              <w:rPr>
                <w:rFonts w:asciiTheme="minorHAnsi" w:hAnsiTheme="minorHAnsi" w:cstheme="minorHAnsi"/>
                <w:sz w:val="20"/>
                <w:szCs w:val="20"/>
              </w:rPr>
            </w:pPr>
            <w:r w:rsidRPr="009A0E65">
              <w:rPr>
                <w:rFonts w:asciiTheme="minorHAnsi" w:eastAsia="Times New Roman" w:hAnsiTheme="minorHAnsi" w:cstheme="minorHAnsi"/>
                <w:b/>
                <w:bCs/>
                <w:sz w:val="20"/>
                <w:szCs w:val="20"/>
              </w:rPr>
              <w:t>New DLR 8.8</w:t>
            </w:r>
            <w:r w:rsidRPr="009A0E65">
              <w:rPr>
                <w:rFonts w:asciiTheme="minorHAnsi" w:eastAsia="Times New Roman" w:hAnsiTheme="minorHAnsi" w:cstheme="minorHAnsi"/>
                <w:sz w:val="20"/>
                <w:szCs w:val="20"/>
              </w:rPr>
              <w:t>: By December 31, 2027, supervisory boards and specialized committees are functional</w:t>
            </w:r>
          </w:p>
        </w:tc>
        <w:tc>
          <w:tcPr>
            <w:tcW w:w="3780" w:type="dxa"/>
            <w:vMerge w:val="restart"/>
            <w:vAlign w:val="center"/>
          </w:tcPr>
          <w:p w14:paraId="06FB7657" w14:textId="0A6E3907" w:rsidR="005F293A" w:rsidRPr="00CF2C4E" w:rsidRDefault="005F293A" w:rsidP="005F293A">
            <w:pPr>
              <w:rPr>
                <w:rFonts w:asciiTheme="minorHAnsi" w:hAnsiTheme="minorHAnsi" w:cstheme="minorHAnsi"/>
                <w:sz w:val="20"/>
                <w:szCs w:val="20"/>
              </w:rPr>
            </w:pPr>
            <w:r>
              <w:rPr>
                <w:rFonts w:asciiTheme="minorHAnsi" w:hAnsiTheme="minorHAnsi" w:cstheme="minorHAnsi"/>
                <w:sz w:val="20"/>
                <w:szCs w:val="20"/>
              </w:rPr>
              <w:t>New DLRs are proposed to promote continued implementation of good-practice corporate governance during extended life of the Program.</w:t>
            </w:r>
          </w:p>
        </w:tc>
      </w:tr>
      <w:tr w:rsidR="005F293A" w:rsidRPr="00CF2C4E" w14:paraId="0CC946FB" w14:textId="77777777" w:rsidTr="003F259B">
        <w:tc>
          <w:tcPr>
            <w:tcW w:w="6750" w:type="dxa"/>
            <w:gridSpan w:val="3"/>
          </w:tcPr>
          <w:p w14:paraId="46B44F8C" w14:textId="7565945F" w:rsidR="005F293A" w:rsidRPr="00CF2C4E" w:rsidRDefault="005F293A" w:rsidP="009A0E65">
            <w:pPr>
              <w:ind w:left="-14"/>
              <w:rPr>
                <w:rFonts w:asciiTheme="minorHAnsi" w:hAnsiTheme="minorHAnsi" w:cstheme="minorHAnsi"/>
                <w:sz w:val="20"/>
                <w:szCs w:val="20"/>
              </w:rPr>
            </w:pPr>
            <w:r w:rsidRPr="009A0E65">
              <w:rPr>
                <w:rFonts w:asciiTheme="minorHAnsi" w:eastAsia="Times New Roman" w:hAnsiTheme="minorHAnsi" w:cstheme="minorHAnsi"/>
                <w:b/>
                <w:bCs/>
                <w:sz w:val="20"/>
                <w:szCs w:val="20"/>
              </w:rPr>
              <w:t>New DLR 8.9</w:t>
            </w:r>
            <w:r w:rsidRPr="009A0E65">
              <w:rPr>
                <w:rFonts w:asciiTheme="minorHAnsi" w:eastAsia="Times New Roman" w:hAnsiTheme="minorHAnsi" w:cstheme="minorHAnsi"/>
                <w:sz w:val="20"/>
                <w:szCs w:val="20"/>
              </w:rPr>
              <w:t>: By December 31, 2028, supervisory boards and specialized committees are functional</w:t>
            </w:r>
          </w:p>
        </w:tc>
        <w:tc>
          <w:tcPr>
            <w:tcW w:w="3780" w:type="dxa"/>
            <w:vMerge/>
          </w:tcPr>
          <w:p w14:paraId="0E5C7A37" w14:textId="77777777" w:rsidR="005F293A" w:rsidRPr="00CF2C4E" w:rsidRDefault="005F293A" w:rsidP="00CF2C4E">
            <w:pPr>
              <w:rPr>
                <w:rFonts w:asciiTheme="minorHAnsi" w:hAnsiTheme="minorHAnsi" w:cstheme="minorHAnsi"/>
                <w:sz w:val="20"/>
                <w:szCs w:val="20"/>
              </w:rPr>
            </w:pPr>
          </w:p>
        </w:tc>
      </w:tr>
      <w:tr w:rsidR="005F293A" w:rsidRPr="00CF2C4E" w14:paraId="500EF798" w14:textId="77777777" w:rsidTr="001A3217">
        <w:tc>
          <w:tcPr>
            <w:tcW w:w="6750" w:type="dxa"/>
            <w:gridSpan w:val="3"/>
          </w:tcPr>
          <w:p w14:paraId="74677D97" w14:textId="7A2D913D" w:rsidR="005F293A" w:rsidRPr="00CF2C4E" w:rsidRDefault="005F293A" w:rsidP="009A0E65">
            <w:pPr>
              <w:ind w:left="-14"/>
              <w:rPr>
                <w:rFonts w:asciiTheme="minorHAnsi" w:hAnsiTheme="minorHAnsi" w:cstheme="minorHAnsi"/>
                <w:sz w:val="20"/>
                <w:szCs w:val="20"/>
              </w:rPr>
            </w:pPr>
            <w:r w:rsidRPr="008677F6">
              <w:rPr>
                <w:rFonts w:asciiTheme="minorHAnsi" w:eastAsia="Times New Roman" w:hAnsiTheme="minorHAnsi" w:cstheme="minorHAnsi"/>
                <w:b/>
                <w:bCs/>
                <w:sz w:val="20"/>
                <w:szCs w:val="20"/>
              </w:rPr>
              <w:t>New DLR 8.10</w:t>
            </w:r>
            <w:r w:rsidRPr="009A0E65">
              <w:rPr>
                <w:rFonts w:asciiTheme="minorHAnsi" w:eastAsia="Times New Roman" w:hAnsiTheme="minorHAnsi" w:cstheme="minorHAnsi"/>
                <w:sz w:val="20"/>
                <w:szCs w:val="20"/>
              </w:rPr>
              <w:t>: By December 31, 2029, supervisory boards and specialized committees are functional</w:t>
            </w:r>
          </w:p>
        </w:tc>
        <w:tc>
          <w:tcPr>
            <w:tcW w:w="3780" w:type="dxa"/>
            <w:vMerge/>
          </w:tcPr>
          <w:p w14:paraId="414A0783" w14:textId="77777777" w:rsidR="005F293A" w:rsidRPr="00CF2C4E" w:rsidRDefault="005F293A" w:rsidP="00CF2C4E">
            <w:pPr>
              <w:rPr>
                <w:rFonts w:asciiTheme="minorHAnsi" w:hAnsiTheme="minorHAnsi" w:cstheme="minorHAnsi"/>
                <w:sz w:val="20"/>
                <w:szCs w:val="20"/>
              </w:rPr>
            </w:pPr>
          </w:p>
        </w:tc>
      </w:tr>
      <w:tr w:rsidR="005F293A" w:rsidRPr="00CF2C4E" w14:paraId="7BAD9EDD" w14:textId="77777777" w:rsidTr="00974EA2">
        <w:tc>
          <w:tcPr>
            <w:tcW w:w="6750" w:type="dxa"/>
            <w:gridSpan w:val="3"/>
          </w:tcPr>
          <w:p w14:paraId="275F4434" w14:textId="155F9AD7" w:rsidR="005F293A" w:rsidRPr="00CF2C4E" w:rsidRDefault="005F293A" w:rsidP="009A0E65">
            <w:pPr>
              <w:ind w:left="-14"/>
              <w:rPr>
                <w:rFonts w:asciiTheme="minorHAnsi" w:hAnsiTheme="minorHAnsi" w:cstheme="minorHAnsi"/>
                <w:sz w:val="20"/>
                <w:szCs w:val="20"/>
              </w:rPr>
            </w:pPr>
            <w:r w:rsidRPr="008677F6">
              <w:rPr>
                <w:rFonts w:asciiTheme="minorHAnsi" w:eastAsia="Times New Roman" w:hAnsiTheme="minorHAnsi" w:cstheme="minorHAnsi"/>
                <w:b/>
                <w:bCs/>
                <w:sz w:val="20"/>
                <w:szCs w:val="20"/>
              </w:rPr>
              <w:t>New DLR 8.11</w:t>
            </w:r>
            <w:r w:rsidRPr="009A0E65">
              <w:rPr>
                <w:rFonts w:asciiTheme="minorHAnsi" w:eastAsia="Times New Roman" w:hAnsiTheme="minorHAnsi" w:cstheme="minorHAnsi"/>
                <w:sz w:val="20"/>
                <w:szCs w:val="20"/>
              </w:rPr>
              <w:t>: By December 31, 2030, supervisory boards and specialized committees are functional</w:t>
            </w:r>
          </w:p>
        </w:tc>
        <w:tc>
          <w:tcPr>
            <w:tcW w:w="3780" w:type="dxa"/>
            <w:vMerge/>
          </w:tcPr>
          <w:p w14:paraId="0CC84FE4" w14:textId="77777777" w:rsidR="005F293A" w:rsidRPr="00CF2C4E" w:rsidRDefault="005F293A" w:rsidP="00CF2C4E">
            <w:pPr>
              <w:rPr>
                <w:rFonts w:asciiTheme="minorHAnsi" w:hAnsiTheme="minorHAnsi" w:cstheme="minorHAnsi"/>
                <w:sz w:val="20"/>
                <w:szCs w:val="20"/>
              </w:rPr>
            </w:pPr>
          </w:p>
        </w:tc>
      </w:tr>
    </w:tbl>
    <w:p w14:paraId="3704595C" w14:textId="6BE246A0" w:rsidR="00AB4AFF" w:rsidRPr="009638BF" w:rsidRDefault="00AB4AFF" w:rsidP="00AB4AFF">
      <w:pPr>
        <w:pStyle w:val="ListParagraph"/>
        <w:widowControl/>
        <w:numPr>
          <w:ilvl w:val="0"/>
          <w:numId w:val="3"/>
        </w:numPr>
        <w:tabs>
          <w:tab w:val="left" w:pos="0"/>
        </w:tabs>
        <w:autoSpaceDE/>
        <w:autoSpaceDN/>
        <w:adjustRightInd/>
        <w:spacing w:before="120" w:after="120"/>
        <w:ind w:left="-360" w:firstLine="0"/>
        <w:contextualSpacing w:val="0"/>
        <w:jc w:val="both"/>
        <w:rPr>
          <w:rFonts w:cstheme="minorHAnsi"/>
        </w:rPr>
      </w:pPr>
      <w:r>
        <w:rPr>
          <w:rFonts w:asciiTheme="minorHAnsi" w:hAnsiTheme="minorHAnsi" w:cstheme="minorHAnsi"/>
          <w:b/>
          <w:bCs/>
          <w:sz w:val="22"/>
          <w:szCs w:val="22"/>
        </w:rPr>
        <w:t>New DLIs</w:t>
      </w:r>
      <w:r w:rsidRPr="009638BF">
        <w:rPr>
          <w:rFonts w:asciiTheme="minorHAnsi" w:hAnsiTheme="minorHAnsi" w:cstheme="minorHAnsi"/>
          <w:sz w:val="22"/>
          <w:szCs w:val="22"/>
        </w:rPr>
        <w:t xml:space="preserve">. </w:t>
      </w:r>
      <w:r>
        <w:rPr>
          <w:rFonts w:asciiTheme="minorHAnsi" w:hAnsiTheme="minorHAnsi" w:cstheme="minorHAnsi"/>
          <w:sz w:val="22"/>
          <w:szCs w:val="22"/>
        </w:rPr>
        <w:t xml:space="preserve">Two new DLIs are added that are important for returning the sector to the path of financial viability. DLI 10 targets the reduction of </w:t>
      </w:r>
      <w:r w:rsidRPr="0053710A">
        <w:rPr>
          <w:rFonts w:asciiTheme="minorHAnsi" w:hAnsiTheme="minorHAnsi" w:cstheme="minorHAnsi"/>
          <w:sz w:val="22"/>
          <w:szCs w:val="22"/>
        </w:rPr>
        <w:t xml:space="preserve">costs, which is important in this macroeconomically challenging context. DLI 11 would </w:t>
      </w:r>
      <w:r w:rsidR="00F76FB4">
        <w:rPr>
          <w:rFonts w:asciiTheme="minorHAnsi" w:hAnsiTheme="minorHAnsi" w:cstheme="minorHAnsi"/>
          <w:sz w:val="22"/>
          <w:szCs w:val="22"/>
        </w:rPr>
        <w:t>ensure consistent implementation of</w:t>
      </w:r>
      <w:r w:rsidR="00330F5B">
        <w:rPr>
          <w:rFonts w:asciiTheme="minorHAnsi" w:hAnsiTheme="minorHAnsi" w:cstheme="minorHAnsi"/>
          <w:sz w:val="22"/>
          <w:szCs w:val="22"/>
        </w:rPr>
        <w:t xml:space="preserve"> the escrow account mechanism </w:t>
      </w:r>
      <w:r w:rsidR="00F76FB4">
        <w:rPr>
          <w:rFonts w:asciiTheme="minorHAnsi" w:hAnsiTheme="minorHAnsi" w:cstheme="minorHAnsi"/>
          <w:sz w:val="22"/>
          <w:szCs w:val="22"/>
        </w:rPr>
        <w:t>to prioritize</w:t>
      </w:r>
      <w:r w:rsidR="00330F5B">
        <w:rPr>
          <w:rFonts w:asciiTheme="minorHAnsi" w:hAnsiTheme="minorHAnsi" w:cstheme="minorHAnsi"/>
          <w:sz w:val="22"/>
          <w:szCs w:val="22"/>
        </w:rPr>
        <w:t xml:space="preserve"> </w:t>
      </w:r>
      <w:r w:rsidR="002F22A8">
        <w:rPr>
          <w:rFonts w:asciiTheme="minorHAnsi" w:hAnsiTheme="minorHAnsi" w:cstheme="minorHAnsi"/>
          <w:sz w:val="22"/>
          <w:szCs w:val="22"/>
        </w:rPr>
        <w:t xml:space="preserve">payments to cover </w:t>
      </w:r>
      <w:r w:rsidR="00330F5B">
        <w:rPr>
          <w:rFonts w:asciiTheme="minorHAnsi" w:hAnsiTheme="minorHAnsi" w:cstheme="minorHAnsi"/>
          <w:sz w:val="22"/>
          <w:szCs w:val="22"/>
        </w:rPr>
        <w:t xml:space="preserve">liabilities that have </w:t>
      </w:r>
      <w:r w:rsidR="002F22A8">
        <w:rPr>
          <w:rFonts w:asciiTheme="minorHAnsi" w:hAnsiTheme="minorHAnsi" w:cstheme="minorHAnsi"/>
          <w:sz w:val="22"/>
          <w:szCs w:val="22"/>
        </w:rPr>
        <w:t xml:space="preserve">the </w:t>
      </w:r>
      <w:r w:rsidR="00330F5B">
        <w:rPr>
          <w:rFonts w:asciiTheme="minorHAnsi" w:hAnsiTheme="minorHAnsi" w:cstheme="minorHAnsi"/>
          <w:sz w:val="22"/>
          <w:szCs w:val="22"/>
        </w:rPr>
        <w:t>largest impact on the financial standing of the sector.</w:t>
      </w:r>
    </w:p>
    <w:p w14:paraId="3CE4E288" w14:textId="6410A03A" w:rsidR="00AB4AFF" w:rsidRDefault="00AB4AFF" w:rsidP="00AB4AFF">
      <w:pPr>
        <w:pStyle w:val="ListParagraph"/>
        <w:widowControl/>
        <w:numPr>
          <w:ilvl w:val="0"/>
          <w:numId w:val="3"/>
        </w:numPr>
        <w:tabs>
          <w:tab w:val="left" w:pos="0"/>
        </w:tabs>
        <w:autoSpaceDE/>
        <w:autoSpaceDN/>
        <w:adjustRightInd/>
        <w:spacing w:before="120" w:after="120"/>
        <w:ind w:left="-360" w:firstLine="0"/>
        <w:contextualSpacing w:val="0"/>
        <w:jc w:val="both"/>
        <w:rPr>
          <w:rFonts w:asciiTheme="minorHAnsi" w:hAnsiTheme="minorHAnsi" w:cstheme="minorHAnsi"/>
          <w:sz w:val="22"/>
          <w:szCs w:val="22"/>
        </w:rPr>
      </w:pPr>
      <w:r>
        <w:rPr>
          <w:rFonts w:asciiTheme="minorHAnsi" w:hAnsiTheme="minorHAnsi" w:cstheme="minorHAnsi"/>
          <w:b/>
          <w:bCs/>
          <w:sz w:val="22"/>
          <w:szCs w:val="22"/>
        </w:rPr>
        <w:t xml:space="preserve">Changes to allocations to </w:t>
      </w:r>
      <w:r w:rsidRPr="009638BF">
        <w:rPr>
          <w:rFonts w:asciiTheme="minorHAnsi" w:hAnsiTheme="minorHAnsi" w:cstheme="minorHAnsi"/>
          <w:b/>
          <w:bCs/>
          <w:sz w:val="22"/>
          <w:szCs w:val="22"/>
        </w:rPr>
        <w:t>DLIs</w:t>
      </w:r>
      <w:r w:rsidRPr="009638BF">
        <w:rPr>
          <w:rFonts w:asciiTheme="minorHAnsi" w:hAnsiTheme="minorHAnsi" w:cstheme="minorHAnsi"/>
          <w:sz w:val="22"/>
          <w:szCs w:val="22"/>
        </w:rPr>
        <w:t xml:space="preserve">. </w:t>
      </w:r>
      <w:r>
        <w:rPr>
          <w:rFonts w:asciiTheme="minorHAnsi" w:hAnsiTheme="minorHAnsi" w:cstheme="minorHAnsi"/>
          <w:sz w:val="22"/>
          <w:szCs w:val="22"/>
        </w:rPr>
        <w:t>The allocation of financing among the DLIs has been updated based on the following considerations.</w:t>
      </w:r>
    </w:p>
    <w:p w14:paraId="33D35984" w14:textId="1531CDDE" w:rsidR="00AB4AFF" w:rsidRPr="008677F6" w:rsidRDefault="00AB4AFF" w:rsidP="00CB0465">
      <w:pPr>
        <w:pStyle w:val="ListParagraph"/>
        <w:widowControl/>
        <w:numPr>
          <w:ilvl w:val="0"/>
          <w:numId w:val="8"/>
        </w:numPr>
        <w:tabs>
          <w:tab w:val="left" w:pos="270"/>
        </w:tabs>
        <w:autoSpaceDE/>
        <w:autoSpaceDN/>
        <w:adjustRightInd/>
        <w:spacing w:before="120" w:after="120"/>
        <w:ind w:left="270" w:hanging="270"/>
        <w:contextualSpacing w:val="0"/>
        <w:jc w:val="both"/>
        <w:rPr>
          <w:rFonts w:asciiTheme="minorHAnsi" w:hAnsiTheme="minorHAnsi" w:cstheme="minorHAnsi"/>
          <w:sz w:val="22"/>
          <w:szCs w:val="22"/>
        </w:rPr>
      </w:pPr>
      <w:r>
        <w:rPr>
          <w:rFonts w:asciiTheme="minorHAnsi" w:hAnsiTheme="minorHAnsi" w:cstheme="minorHAnsi"/>
          <w:b/>
          <w:bCs/>
          <w:i/>
          <w:iCs/>
          <w:sz w:val="22"/>
          <w:szCs w:val="22"/>
        </w:rPr>
        <w:t xml:space="preserve">A large share of new </w:t>
      </w:r>
      <w:r w:rsidRPr="008677F6">
        <w:rPr>
          <w:rFonts w:asciiTheme="minorHAnsi" w:hAnsiTheme="minorHAnsi" w:cstheme="minorHAnsi"/>
          <w:b/>
          <w:bCs/>
          <w:i/>
          <w:iCs/>
          <w:sz w:val="22"/>
          <w:szCs w:val="22"/>
        </w:rPr>
        <w:t>financing (US$4</w:t>
      </w:r>
      <w:r w:rsidR="008677F6" w:rsidRPr="008677F6">
        <w:rPr>
          <w:rFonts w:asciiTheme="minorHAnsi" w:hAnsiTheme="minorHAnsi" w:cstheme="minorHAnsi"/>
          <w:b/>
          <w:bCs/>
          <w:i/>
          <w:iCs/>
          <w:sz w:val="22"/>
          <w:szCs w:val="22"/>
        </w:rPr>
        <w:t>6</w:t>
      </w:r>
      <w:r w:rsidRPr="008677F6">
        <w:rPr>
          <w:rFonts w:asciiTheme="minorHAnsi" w:hAnsiTheme="minorHAnsi" w:cstheme="minorHAnsi"/>
          <w:b/>
          <w:bCs/>
          <w:i/>
          <w:iCs/>
          <w:sz w:val="22"/>
          <w:szCs w:val="22"/>
        </w:rPr>
        <w:t xml:space="preserve"> million) is allocated to new DLIs and the existing DLI 3</w:t>
      </w:r>
      <w:r w:rsidRPr="008677F6">
        <w:rPr>
          <w:rFonts w:asciiTheme="minorHAnsi" w:hAnsiTheme="minorHAnsi" w:cstheme="minorHAnsi"/>
          <w:sz w:val="22"/>
          <w:szCs w:val="22"/>
        </w:rPr>
        <w:t>. The new DLIs are important for returning the sector to path of financial recovery, helping to reduce the overall sector and company-level risks to financial viability, and making progress towards elimination of the cash deficit.</w:t>
      </w:r>
    </w:p>
    <w:p w14:paraId="4E1DFC30" w14:textId="301E31B5" w:rsidR="00AB4AFF" w:rsidRDefault="00AB4AFF" w:rsidP="00CB0465">
      <w:pPr>
        <w:pStyle w:val="ListParagraph"/>
        <w:widowControl/>
        <w:numPr>
          <w:ilvl w:val="0"/>
          <w:numId w:val="8"/>
        </w:numPr>
        <w:tabs>
          <w:tab w:val="left" w:pos="270"/>
        </w:tabs>
        <w:autoSpaceDE/>
        <w:autoSpaceDN/>
        <w:adjustRightInd/>
        <w:spacing w:before="120" w:after="120"/>
        <w:ind w:left="270" w:hanging="270"/>
        <w:contextualSpacing w:val="0"/>
        <w:jc w:val="both"/>
        <w:rPr>
          <w:rFonts w:asciiTheme="minorHAnsi" w:hAnsiTheme="minorHAnsi" w:cstheme="minorHAnsi"/>
          <w:sz w:val="22"/>
          <w:szCs w:val="22"/>
        </w:rPr>
      </w:pPr>
      <w:r w:rsidRPr="008677F6">
        <w:rPr>
          <w:rFonts w:asciiTheme="minorHAnsi" w:hAnsiTheme="minorHAnsi" w:cstheme="minorHAnsi"/>
          <w:b/>
          <w:bCs/>
          <w:i/>
          <w:iCs/>
          <w:sz w:val="22"/>
          <w:szCs w:val="22"/>
        </w:rPr>
        <w:t>The remaining US$3</w:t>
      </w:r>
      <w:r w:rsidR="008677F6" w:rsidRPr="008677F6">
        <w:rPr>
          <w:rFonts w:asciiTheme="minorHAnsi" w:hAnsiTheme="minorHAnsi" w:cstheme="minorHAnsi"/>
          <w:b/>
          <w:bCs/>
          <w:i/>
          <w:iCs/>
          <w:sz w:val="22"/>
          <w:szCs w:val="22"/>
        </w:rPr>
        <w:t>4</w:t>
      </w:r>
      <w:r w:rsidRPr="008677F6">
        <w:rPr>
          <w:rFonts w:asciiTheme="minorHAnsi" w:hAnsiTheme="minorHAnsi" w:cstheme="minorHAnsi"/>
          <w:b/>
          <w:bCs/>
          <w:i/>
          <w:iCs/>
          <w:sz w:val="22"/>
          <w:szCs w:val="22"/>
        </w:rPr>
        <w:t xml:space="preserve"> million is allocated to existing DLIs. </w:t>
      </w:r>
      <w:r w:rsidRPr="008677F6">
        <w:rPr>
          <w:rFonts w:asciiTheme="minorHAnsi" w:hAnsiTheme="minorHAnsi" w:cstheme="minorHAnsi"/>
          <w:sz w:val="22"/>
          <w:szCs w:val="22"/>
        </w:rPr>
        <w:t>This would contribute to continued implementation of the policy actions</w:t>
      </w:r>
      <w:r w:rsidRPr="00DE57A2">
        <w:rPr>
          <w:rFonts w:asciiTheme="minorHAnsi" w:hAnsiTheme="minorHAnsi" w:cstheme="minorHAnsi"/>
          <w:sz w:val="22"/>
          <w:szCs w:val="22"/>
        </w:rPr>
        <w:t xml:space="preserve"> and other measures during the extended life of the Program</w:t>
      </w:r>
      <w:r>
        <w:rPr>
          <w:rFonts w:asciiTheme="minorHAnsi" w:hAnsiTheme="minorHAnsi" w:cstheme="minorHAnsi"/>
          <w:sz w:val="22"/>
          <w:szCs w:val="22"/>
        </w:rPr>
        <w:t xml:space="preserve"> to ensure there is no reversal in achievements that may disrupt the trajectory to financial viability. </w:t>
      </w:r>
    </w:p>
    <w:p w14:paraId="6F60921B" w14:textId="4E429851" w:rsidR="00AB4AFF" w:rsidRDefault="00AB4AFF" w:rsidP="00CB0465">
      <w:pPr>
        <w:pStyle w:val="ListParagraph"/>
        <w:widowControl/>
        <w:numPr>
          <w:ilvl w:val="0"/>
          <w:numId w:val="31"/>
        </w:numPr>
        <w:tabs>
          <w:tab w:val="left" w:pos="540"/>
        </w:tabs>
        <w:autoSpaceDE/>
        <w:autoSpaceDN/>
        <w:adjustRightInd/>
        <w:spacing w:before="120" w:after="120"/>
        <w:ind w:left="540" w:hanging="270"/>
        <w:contextualSpacing w:val="0"/>
        <w:jc w:val="both"/>
        <w:rPr>
          <w:rFonts w:asciiTheme="minorHAnsi" w:hAnsiTheme="minorHAnsi" w:cstheme="minorHAnsi"/>
          <w:sz w:val="22"/>
          <w:szCs w:val="22"/>
        </w:rPr>
      </w:pPr>
      <w:r>
        <w:rPr>
          <w:rFonts w:asciiTheme="minorHAnsi" w:hAnsiTheme="minorHAnsi" w:cstheme="minorHAnsi"/>
          <w:sz w:val="22"/>
          <w:szCs w:val="22"/>
        </w:rPr>
        <w:t>US$1</w:t>
      </w:r>
      <w:r w:rsidR="008677F6">
        <w:rPr>
          <w:rFonts w:asciiTheme="minorHAnsi" w:hAnsiTheme="minorHAnsi" w:cstheme="minorHAnsi"/>
          <w:sz w:val="22"/>
          <w:szCs w:val="22"/>
        </w:rPr>
        <w:t>5</w:t>
      </w:r>
      <w:r>
        <w:rPr>
          <w:rFonts w:asciiTheme="minorHAnsi" w:hAnsiTheme="minorHAnsi" w:cstheme="minorHAnsi"/>
          <w:sz w:val="22"/>
          <w:szCs w:val="22"/>
        </w:rPr>
        <w:t xml:space="preserve"> million is allocated to DLI 3 to ensure adequate incentives remain in place for the Government to implement the entire Program in a way that the cash deficit of the sector reduces according to the trajectory. Without achievement of targets under DLI 3, financial recovery of the sector would not be possible. </w:t>
      </w:r>
    </w:p>
    <w:p w14:paraId="66D1F963" w14:textId="05E2576B" w:rsidR="00AB4AFF" w:rsidRDefault="00AB4AFF" w:rsidP="00CB0465">
      <w:pPr>
        <w:pStyle w:val="ListParagraph"/>
        <w:widowControl/>
        <w:numPr>
          <w:ilvl w:val="0"/>
          <w:numId w:val="31"/>
        </w:numPr>
        <w:tabs>
          <w:tab w:val="left" w:pos="540"/>
        </w:tabs>
        <w:autoSpaceDE/>
        <w:autoSpaceDN/>
        <w:adjustRightInd/>
        <w:spacing w:before="120" w:after="120"/>
        <w:ind w:left="540" w:hanging="270"/>
        <w:contextualSpacing w:val="0"/>
        <w:jc w:val="both"/>
        <w:rPr>
          <w:rFonts w:asciiTheme="minorHAnsi" w:hAnsiTheme="minorHAnsi" w:cstheme="minorHAnsi"/>
          <w:sz w:val="22"/>
          <w:szCs w:val="22"/>
        </w:rPr>
      </w:pPr>
      <w:r>
        <w:rPr>
          <w:rFonts w:asciiTheme="minorHAnsi" w:hAnsiTheme="minorHAnsi" w:cstheme="minorHAnsi"/>
          <w:sz w:val="22"/>
          <w:szCs w:val="22"/>
        </w:rPr>
        <w:t>US$</w:t>
      </w:r>
      <w:r w:rsidR="008677F6">
        <w:rPr>
          <w:rFonts w:asciiTheme="minorHAnsi" w:hAnsiTheme="minorHAnsi" w:cstheme="minorHAnsi"/>
          <w:sz w:val="22"/>
          <w:szCs w:val="22"/>
        </w:rPr>
        <w:t>7</w:t>
      </w:r>
      <w:r>
        <w:rPr>
          <w:rFonts w:asciiTheme="minorHAnsi" w:hAnsiTheme="minorHAnsi" w:cstheme="minorHAnsi"/>
          <w:sz w:val="22"/>
          <w:szCs w:val="22"/>
        </w:rPr>
        <w:t xml:space="preserve"> million is allocated to DLI 1 related to consistent annual adjustment of electricity tariffs. This is a crucial DLI for generating additional revenues for the sector. </w:t>
      </w:r>
    </w:p>
    <w:p w14:paraId="2059343E" w14:textId="4D64B718" w:rsidR="00AB4AFF" w:rsidRDefault="00AB4AFF" w:rsidP="00CB0465">
      <w:pPr>
        <w:pStyle w:val="ListParagraph"/>
        <w:widowControl/>
        <w:numPr>
          <w:ilvl w:val="0"/>
          <w:numId w:val="31"/>
        </w:numPr>
        <w:tabs>
          <w:tab w:val="left" w:pos="540"/>
        </w:tabs>
        <w:autoSpaceDE/>
        <w:autoSpaceDN/>
        <w:adjustRightInd/>
        <w:spacing w:before="120" w:after="120"/>
        <w:ind w:left="540" w:hanging="270"/>
        <w:contextualSpacing w:val="0"/>
        <w:jc w:val="both"/>
        <w:rPr>
          <w:rFonts w:asciiTheme="minorHAnsi" w:hAnsiTheme="minorHAnsi" w:cstheme="minorHAnsi"/>
          <w:sz w:val="22"/>
          <w:szCs w:val="22"/>
        </w:rPr>
      </w:pPr>
      <w:r>
        <w:rPr>
          <w:rFonts w:asciiTheme="minorHAnsi" w:hAnsiTheme="minorHAnsi" w:cstheme="minorHAnsi"/>
          <w:sz w:val="22"/>
          <w:szCs w:val="22"/>
        </w:rPr>
        <w:t xml:space="preserve">US$12 million is allocated to DLIs 2, 5, 7, 8, and 9 to maintain implementation progress under the Program with a focus on electricity supply reliability, governance of the sector, and transparency. </w:t>
      </w:r>
    </w:p>
    <w:p w14:paraId="23B4EDCA" w14:textId="676D58C0" w:rsidR="00D73760" w:rsidRPr="00C86408" w:rsidRDefault="00330F5B" w:rsidP="008677F6">
      <w:pPr>
        <w:pStyle w:val="ListParagraph"/>
        <w:widowControl/>
        <w:numPr>
          <w:ilvl w:val="0"/>
          <w:numId w:val="3"/>
        </w:numPr>
        <w:tabs>
          <w:tab w:val="left" w:pos="0"/>
        </w:tabs>
        <w:autoSpaceDE/>
        <w:autoSpaceDN/>
        <w:adjustRightInd/>
        <w:spacing w:before="120" w:after="120"/>
        <w:ind w:left="-360" w:firstLine="0"/>
        <w:contextualSpacing w:val="0"/>
        <w:jc w:val="both"/>
        <w:rPr>
          <w:rFonts w:asciiTheme="minorHAnsi" w:hAnsiTheme="minorHAnsi" w:cstheme="minorHAnsi"/>
          <w:sz w:val="22"/>
          <w:szCs w:val="22"/>
        </w:rPr>
      </w:pPr>
      <w:r w:rsidRPr="00330F5B">
        <w:rPr>
          <w:rFonts w:asciiTheme="minorHAnsi" w:hAnsiTheme="minorHAnsi" w:cstheme="minorHAnsi"/>
          <w:b/>
          <w:bCs/>
          <w:sz w:val="22"/>
          <w:szCs w:val="22"/>
        </w:rPr>
        <w:t>New disbursement conditions</w:t>
      </w:r>
      <w:r>
        <w:rPr>
          <w:rFonts w:asciiTheme="minorHAnsi" w:hAnsiTheme="minorHAnsi" w:cstheme="minorHAnsi"/>
          <w:sz w:val="22"/>
          <w:szCs w:val="22"/>
        </w:rPr>
        <w:t xml:space="preserve">. </w:t>
      </w:r>
      <w:r w:rsidRPr="00C86408">
        <w:rPr>
          <w:rFonts w:asciiTheme="minorHAnsi" w:hAnsiTheme="minorHAnsi" w:cstheme="minorHAnsi"/>
          <w:sz w:val="22"/>
          <w:szCs w:val="22"/>
        </w:rPr>
        <w:t>Considering the importance of DLRs 11.1 and 11.2 for long-term financial viability, predictability of cash flows, improved prioritization of expenditures</w:t>
      </w:r>
      <w:r w:rsidR="00C20DFF" w:rsidRPr="00C86408">
        <w:rPr>
          <w:rFonts w:asciiTheme="minorHAnsi" w:hAnsiTheme="minorHAnsi" w:cstheme="minorHAnsi"/>
          <w:sz w:val="22"/>
          <w:szCs w:val="22"/>
        </w:rPr>
        <w:t xml:space="preserve"> – namely payments against financial liabilities</w:t>
      </w:r>
      <w:r w:rsidRPr="00C86408">
        <w:rPr>
          <w:rFonts w:asciiTheme="minorHAnsi" w:hAnsiTheme="minorHAnsi" w:cstheme="minorHAnsi"/>
          <w:sz w:val="22"/>
          <w:szCs w:val="22"/>
        </w:rPr>
        <w:t>, those are proposed to be made as disbursement conditions. Specifically, no disbursements can be made under the Program until the targets specified for those two DLRs are achieved</w:t>
      </w:r>
      <w:r w:rsidR="00F76FB4" w:rsidRPr="00C86408">
        <w:rPr>
          <w:rFonts w:asciiTheme="minorHAnsi" w:hAnsiTheme="minorHAnsi" w:cstheme="minorHAnsi"/>
          <w:sz w:val="22"/>
          <w:szCs w:val="22"/>
        </w:rPr>
        <w:t xml:space="preserve"> with exception of DLRs </w:t>
      </w:r>
      <w:r w:rsidR="00C86408" w:rsidRPr="00C86408">
        <w:rPr>
          <w:rFonts w:asciiTheme="minorHAnsi" w:hAnsiTheme="minorHAnsi" w:cstheme="minorHAnsi"/>
          <w:sz w:val="22"/>
          <w:szCs w:val="22"/>
        </w:rPr>
        <w:t xml:space="preserve">2.4, 2.5, 2.9, 5.1, 5.2, 5.3, 5.4, 9.1, 9.2 that have a deadline prior to </w:t>
      </w:r>
      <w:r w:rsidR="00944889">
        <w:rPr>
          <w:rFonts w:asciiTheme="minorHAnsi" w:hAnsiTheme="minorHAnsi" w:cstheme="minorHAnsi"/>
          <w:sz w:val="22"/>
          <w:szCs w:val="22"/>
        </w:rPr>
        <w:t xml:space="preserve">cash </w:t>
      </w:r>
      <w:proofErr w:type="spellStart"/>
      <w:r w:rsidR="00944889">
        <w:rPr>
          <w:rFonts w:asciiTheme="minorHAnsi" w:hAnsiTheme="minorHAnsi" w:cstheme="minorHAnsi"/>
          <w:sz w:val="22"/>
          <w:szCs w:val="22"/>
        </w:rPr>
        <w:t>defici</w:t>
      </w:r>
      <w:proofErr w:type="spellEnd"/>
      <w:r w:rsidR="00C86408" w:rsidRPr="00C86408">
        <w:rPr>
          <w:rFonts w:asciiTheme="minorHAnsi" w:hAnsiTheme="minorHAnsi" w:cstheme="minorHAnsi"/>
          <w:sz w:val="22"/>
          <w:szCs w:val="22"/>
        </w:rPr>
        <w:t xml:space="preserve"> 30, 2022 – the deadline for DLR 11.1.</w:t>
      </w:r>
    </w:p>
    <w:p w14:paraId="7AA79B61" w14:textId="77777777" w:rsidR="00C86408" w:rsidRDefault="00C86408" w:rsidP="00106A51">
      <w:pPr>
        <w:pStyle w:val="Caption"/>
        <w:spacing w:after="0"/>
        <w:ind w:left="-360"/>
        <w:rPr>
          <w:b/>
          <w:bCs/>
          <w:i w:val="0"/>
          <w:iCs w:val="0"/>
          <w:color w:val="auto"/>
          <w:sz w:val="22"/>
          <w:szCs w:val="22"/>
        </w:rPr>
      </w:pPr>
    </w:p>
    <w:p w14:paraId="6ACD6ADA" w14:textId="77777777" w:rsidR="00C86408" w:rsidRDefault="00C86408" w:rsidP="00106A51">
      <w:pPr>
        <w:pStyle w:val="Caption"/>
        <w:spacing w:after="0"/>
        <w:ind w:left="-360"/>
        <w:rPr>
          <w:b/>
          <w:bCs/>
          <w:i w:val="0"/>
          <w:iCs w:val="0"/>
          <w:color w:val="auto"/>
          <w:sz w:val="22"/>
          <w:szCs w:val="22"/>
        </w:rPr>
      </w:pPr>
    </w:p>
    <w:p w14:paraId="0036D077" w14:textId="03E45CEC" w:rsidR="00106A51" w:rsidRDefault="00106A51" w:rsidP="00106A51">
      <w:pPr>
        <w:pStyle w:val="Caption"/>
        <w:spacing w:after="0"/>
        <w:ind w:left="-360"/>
        <w:rPr>
          <w:b/>
          <w:bCs/>
          <w:i w:val="0"/>
          <w:iCs w:val="0"/>
          <w:color w:val="auto"/>
          <w:sz w:val="22"/>
          <w:szCs w:val="22"/>
        </w:rPr>
      </w:pPr>
      <w:r w:rsidRPr="00106A51">
        <w:rPr>
          <w:b/>
          <w:bCs/>
          <w:i w:val="0"/>
          <w:iCs w:val="0"/>
          <w:color w:val="auto"/>
          <w:sz w:val="22"/>
          <w:szCs w:val="22"/>
        </w:rPr>
        <w:lastRenderedPageBreak/>
        <w:t xml:space="preserve">Table </w:t>
      </w:r>
      <w:r w:rsidRPr="00106A51">
        <w:rPr>
          <w:b/>
          <w:bCs/>
          <w:i w:val="0"/>
          <w:iCs w:val="0"/>
          <w:color w:val="auto"/>
          <w:sz w:val="22"/>
          <w:szCs w:val="22"/>
        </w:rPr>
        <w:fldChar w:fldCharType="begin"/>
      </w:r>
      <w:r w:rsidRPr="00106A51">
        <w:rPr>
          <w:b/>
          <w:bCs/>
          <w:i w:val="0"/>
          <w:iCs w:val="0"/>
          <w:color w:val="auto"/>
          <w:sz w:val="22"/>
          <w:szCs w:val="22"/>
        </w:rPr>
        <w:instrText xml:space="preserve"> SEQ Table \* ARABIC </w:instrText>
      </w:r>
      <w:r w:rsidRPr="00106A51">
        <w:rPr>
          <w:b/>
          <w:bCs/>
          <w:i w:val="0"/>
          <w:iCs w:val="0"/>
          <w:color w:val="auto"/>
          <w:sz w:val="22"/>
          <w:szCs w:val="22"/>
        </w:rPr>
        <w:fldChar w:fldCharType="separate"/>
      </w:r>
      <w:r w:rsidR="00875DBA">
        <w:rPr>
          <w:b/>
          <w:bCs/>
          <w:i w:val="0"/>
          <w:iCs w:val="0"/>
          <w:noProof/>
          <w:color w:val="auto"/>
          <w:sz w:val="22"/>
          <w:szCs w:val="22"/>
        </w:rPr>
        <w:t>3</w:t>
      </w:r>
      <w:r w:rsidRPr="00106A51">
        <w:rPr>
          <w:b/>
          <w:bCs/>
          <w:i w:val="0"/>
          <w:iCs w:val="0"/>
          <w:color w:val="auto"/>
          <w:sz w:val="22"/>
          <w:szCs w:val="22"/>
        </w:rPr>
        <w:fldChar w:fldCharType="end"/>
      </w:r>
      <w:r w:rsidRPr="00106A51">
        <w:rPr>
          <w:b/>
          <w:bCs/>
          <w:i w:val="0"/>
          <w:iCs w:val="0"/>
          <w:color w:val="auto"/>
          <w:sz w:val="22"/>
          <w:szCs w:val="22"/>
        </w:rPr>
        <w:t xml:space="preserve">: </w:t>
      </w:r>
      <w:r>
        <w:rPr>
          <w:b/>
          <w:bCs/>
          <w:i w:val="0"/>
          <w:iCs w:val="0"/>
          <w:color w:val="auto"/>
          <w:sz w:val="22"/>
          <w:szCs w:val="22"/>
        </w:rPr>
        <w:t xml:space="preserve">Revised Allocations to </w:t>
      </w:r>
      <w:r w:rsidRPr="00E33333">
        <w:rPr>
          <w:b/>
          <w:bCs/>
          <w:i w:val="0"/>
          <w:iCs w:val="0"/>
          <w:color w:val="auto"/>
          <w:sz w:val="22"/>
          <w:szCs w:val="22"/>
        </w:rPr>
        <w:t>Disbursement Linked Indicators</w:t>
      </w:r>
    </w:p>
    <w:tbl>
      <w:tblPr>
        <w:tblStyle w:val="TableGrid"/>
        <w:tblW w:w="9715" w:type="dxa"/>
        <w:tblInd w:w="-365" w:type="dxa"/>
        <w:tblLook w:val="04A0" w:firstRow="1" w:lastRow="0" w:firstColumn="1" w:lastColumn="0" w:noHBand="0" w:noVBand="1"/>
      </w:tblPr>
      <w:tblGrid>
        <w:gridCol w:w="3600"/>
        <w:gridCol w:w="2880"/>
        <w:gridCol w:w="1620"/>
        <w:gridCol w:w="1615"/>
      </w:tblGrid>
      <w:tr w:rsidR="00106A51" w:rsidRPr="00106A51" w14:paraId="4076F42C" w14:textId="77777777" w:rsidTr="007B44F6">
        <w:trPr>
          <w:tblHeader/>
        </w:trPr>
        <w:tc>
          <w:tcPr>
            <w:tcW w:w="3600" w:type="dxa"/>
            <w:shd w:val="clear" w:color="auto" w:fill="D9D9D9" w:themeFill="background1" w:themeFillShade="D9"/>
          </w:tcPr>
          <w:p w14:paraId="172D5863" w14:textId="77777777" w:rsidR="00106A51" w:rsidRPr="00106A51" w:rsidRDefault="00106A51" w:rsidP="007B44F6">
            <w:pPr>
              <w:pStyle w:val="ListParagraph"/>
              <w:ind w:left="0"/>
              <w:contextualSpacing w:val="0"/>
              <w:rPr>
                <w:rFonts w:asciiTheme="minorHAnsi" w:hAnsiTheme="minorHAnsi" w:cstheme="minorHAnsi"/>
                <w:b/>
                <w:sz w:val="20"/>
                <w:szCs w:val="20"/>
              </w:rPr>
            </w:pPr>
            <w:r w:rsidRPr="00106A51">
              <w:rPr>
                <w:rFonts w:asciiTheme="minorHAnsi" w:hAnsiTheme="minorHAnsi" w:cstheme="minorHAnsi"/>
                <w:b/>
                <w:sz w:val="20"/>
                <w:szCs w:val="20"/>
              </w:rPr>
              <w:t>Current DLIs</w:t>
            </w:r>
          </w:p>
        </w:tc>
        <w:tc>
          <w:tcPr>
            <w:tcW w:w="2880" w:type="dxa"/>
            <w:shd w:val="clear" w:color="auto" w:fill="D9D9D9" w:themeFill="background1" w:themeFillShade="D9"/>
          </w:tcPr>
          <w:p w14:paraId="41A490BA" w14:textId="6AB3C86B" w:rsidR="00106A51" w:rsidRPr="00106A51" w:rsidRDefault="00106A51" w:rsidP="007B44F6">
            <w:pPr>
              <w:pStyle w:val="ListParagraph"/>
              <w:ind w:left="0"/>
              <w:contextualSpacing w:val="0"/>
              <w:rPr>
                <w:rFonts w:asciiTheme="minorHAnsi" w:hAnsiTheme="minorHAnsi" w:cstheme="minorHAnsi"/>
                <w:b/>
                <w:sz w:val="20"/>
                <w:szCs w:val="20"/>
              </w:rPr>
            </w:pPr>
            <w:r w:rsidRPr="00106A51">
              <w:rPr>
                <w:rFonts w:asciiTheme="minorHAnsi" w:hAnsiTheme="minorHAnsi" w:cstheme="minorHAnsi"/>
                <w:b/>
                <w:sz w:val="20"/>
                <w:szCs w:val="20"/>
              </w:rPr>
              <w:t>Revised DLIs</w:t>
            </w:r>
          </w:p>
        </w:tc>
        <w:tc>
          <w:tcPr>
            <w:tcW w:w="1620" w:type="dxa"/>
            <w:shd w:val="clear" w:color="auto" w:fill="D9D9D9" w:themeFill="background1" w:themeFillShade="D9"/>
          </w:tcPr>
          <w:p w14:paraId="61510357" w14:textId="77777777" w:rsidR="00106A51" w:rsidRPr="00106A51" w:rsidRDefault="00106A51" w:rsidP="007B44F6">
            <w:pPr>
              <w:pStyle w:val="ListParagraph"/>
              <w:ind w:left="0"/>
              <w:contextualSpacing w:val="0"/>
              <w:rPr>
                <w:rFonts w:asciiTheme="minorHAnsi" w:hAnsiTheme="minorHAnsi" w:cstheme="minorHAnsi"/>
                <w:b/>
                <w:sz w:val="20"/>
                <w:szCs w:val="20"/>
              </w:rPr>
            </w:pPr>
            <w:r w:rsidRPr="00106A51">
              <w:rPr>
                <w:rFonts w:asciiTheme="minorHAnsi" w:hAnsiTheme="minorHAnsi" w:cstheme="minorHAnsi"/>
                <w:b/>
                <w:sz w:val="20"/>
                <w:szCs w:val="20"/>
              </w:rPr>
              <w:t>Current Allocation (US$)</w:t>
            </w:r>
          </w:p>
        </w:tc>
        <w:tc>
          <w:tcPr>
            <w:tcW w:w="1615" w:type="dxa"/>
            <w:shd w:val="clear" w:color="auto" w:fill="D9D9D9" w:themeFill="background1" w:themeFillShade="D9"/>
          </w:tcPr>
          <w:p w14:paraId="7BF9FD4A" w14:textId="77777777" w:rsidR="00106A51" w:rsidRPr="00106A51" w:rsidRDefault="00106A51" w:rsidP="007B44F6">
            <w:pPr>
              <w:pStyle w:val="ListParagraph"/>
              <w:ind w:left="0"/>
              <w:contextualSpacing w:val="0"/>
              <w:rPr>
                <w:rFonts w:asciiTheme="minorHAnsi" w:hAnsiTheme="minorHAnsi" w:cstheme="minorHAnsi"/>
                <w:b/>
                <w:sz w:val="20"/>
                <w:szCs w:val="20"/>
              </w:rPr>
            </w:pPr>
            <w:r w:rsidRPr="00106A51">
              <w:rPr>
                <w:rFonts w:asciiTheme="minorHAnsi" w:hAnsiTheme="minorHAnsi" w:cstheme="minorHAnsi"/>
                <w:b/>
                <w:sz w:val="20"/>
                <w:szCs w:val="20"/>
              </w:rPr>
              <w:t>Revised Allocation (US$)</w:t>
            </w:r>
          </w:p>
        </w:tc>
      </w:tr>
      <w:tr w:rsidR="00106A51" w:rsidRPr="00106A51" w14:paraId="1D07A340" w14:textId="77777777" w:rsidTr="007B44F6">
        <w:tc>
          <w:tcPr>
            <w:tcW w:w="3600" w:type="dxa"/>
          </w:tcPr>
          <w:p w14:paraId="2E82123A" w14:textId="77777777" w:rsidR="00106A51" w:rsidRPr="00106A51" w:rsidRDefault="00106A51" w:rsidP="007B44F6">
            <w:pPr>
              <w:tabs>
                <w:tab w:val="left" w:pos="90"/>
              </w:tabs>
              <w:rPr>
                <w:rFonts w:asciiTheme="minorHAnsi" w:hAnsiTheme="minorHAnsi" w:cstheme="minorHAnsi"/>
                <w:sz w:val="20"/>
                <w:szCs w:val="20"/>
              </w:rPr>
            </w:pPr>
            <w:r w:rsidRPr="00106A51">
              <w:rPr>
                <w:rFonts w:asciiTheme="minorHAnsi" w:hAnsiTheme="minorHAnsi" w:cstheme="minorHAnsi"/>
                <w:sz w:val="20"/>
                <w:szCs w:val="20"/>
              </w:rPr>
              <w:t>DLI 1: Achievement of cost-recovery end-user tariffs</w:t>
            </w:r>
          </w:p>
        </w:tc>
        <w:tc>
          <w:tcPr>
            <w:tcW w:w="2880" w:type="dxa"/>
          </w:tcPr>
          <w:p w14:paraId="4F021788" w14:textId="77777777" w:rsidR="00106A51" w:rsidRPr="00106A51" w:rsidRDefault="00106A51" w:rsidP="007B44F6">
            <w:pPr>
              <w:pStyle w:val="ListParagraph"/>
              <w:ind w:left="0"/>
              <w:contextualSpacing w:val="0"/>
              <w:rPr>
                <w:rFonts w:asciiTheme="minorHAnsi" w:hAnsiTheme="minorHAnsi" w:cstheme="minorHAnsi"/>
                <w:sz w:val="20"/>
                <w:szCs w:val="20"/>
              </w:rPr>
            </w:pPr>
            <w:r w:rsidRPr="00106A51">
              <w:rPr>
                <w:rFonts w:asciiTheme="minorHAnsi" w:hAnsiTheme="minorHAnsi" w:cstheme="minorHAnsi"/>
                <w:sz w:val="20"/>
                <w:szCs w:val="20"/>
              </w:rPr>
              <w:t>No change</w:t>
            </w:r>
          </w:p>
        </w:tc>
        <w:tc>
          <w:tcPr>
            <w:tcW w:w="1620" w:type="dxa"/>
          </w:tcPr>
          <w:p w14:paraId="1E4D9BCB" w14:textId="77777777" w:rsidR="00106A51" w:rsidRPr="00106A51" w:rsidRDefault="00106A51" w:rsidP="007B44F6">
            <w:pPr>
              <w:pStyle w:val="ListParagraph"/>
              <w:ind w:left="0"/>
              <w:contextualSpacing w:val="0"/>
              <w:rPr>
                <w:rFonts w:asciiTheme="minorHAnsi" w:hAnsiTheme="minorHAnsi" w:cstheme="minorHAnsi"/>
                <w:sz w:val="20"/>
                <w:szCs w:val="20"/>
              </w:rPr>
            </w:pPr>
            <w:r w:rsidRPr="00106A51">
              <w:rPr>
                <w:rFonts w:asciiTheme="minorHAnsi" w:hAnsiTheme="minorHAnsi" w:cstheme="minorHAnsi"/>
                <w:sz w:val="20"/>
                <w:szCs w:val="20"/>
              </w:rPr>
              <w:t>19,000,000</w:t>
            </w:r>
          </w:p>
        </w:tc>
        <w:tc>
          <w:tcPr>
            <w:tcW w:w="1615" w:type="dxa"/>
          </w:tcPr>
          <w:p w14:paraId="225E76FE" w14:textId="70B61A24" w:rsidR="00106A51" w:rsidRPr="00106A51" w:rsidRDefault="008677F6" w:rsidP="007B44F6">
            <w:pPr>
              <w:pStyle w:val="ListParagraph"/>
              <w:ind w:left="0"/>
              <w:contextualSpacing w:val="0"/>
              <w:rPr>
                <w:rFonts w:asciiTheme="minorHAnsi" w:hAnsiTheme="minorHAnsi" w:cstheme="minorHAnsi"/>
                <w:sz w:val="20"/>
                <w:szCs w:val="20"/>
              </w:rPr>
            </w:pPr>
            <w:r>
              <w:rPr>
                <w:rFonts w:asciiTheme="minorHAnsi" w:hAnsiTheme="minorHAnsi" w:cstheme="minorHAnsi"/>
                <w:sz w:val="20"/>
                <w:szCs w:val="20"/>
              </w:rPr>
              <w:t>26</w:t>
            </w:r>
            <w:r w:rsidR="00106A51" w:rsidRPr="00106A51">
              <w:rPr>
                <w:rFonts w:asciiTheme="minorHAnsi" w:hAnsiTheme="minorHAnsi" w:cstheme="minorHAnsi"/>
                <w:sz w:val="20"/>
                <w:szCs w:val="20"/>
              </w:rPr>
              <w:t>,000,000</w:t>
            </w:r>
          </w:p>
        </w:tc>
      </w:tr>
      <w:tr w:rsidR="00106A51" w:rsidRPr="00106A51" w14:paraId="30B2EDF6" w14:textId="77777777" w:rsidTr="007B44F6">
        <w:tc>
          <w:tcPr>
            <w:tcW w:w="3600" w:type="dxa"/>
          </w:tcPr>
          <w:p w14:paraId="490E91D6" w14:textId="77777777" w:rsidR="00106A51" w:rsidRPr="00106A51" w:rsidRDefault="00106A51" w:rsidP="007B44F6">
            <w:pPr>
              <w:pStyle w:val="BodyText"/>
              <w:ind w:left="0"/>
              <w:rPr>
                <w:rFonts w:asciiTheme="minorHAnsi" w:hAnsiTheme="minorHAnsi" w:cstheme="minorHAnsi"/>
                <w:b w:val="0"/>
                <w:bCs w:val="0"/>
                <w:sz w:val="20"/>
                <w:szCs w:val="20"/>
              </w:rPr>
            </w:pPr>
            <w:r w:rsidRPr="00106A51">
              <w:rPr>
                <w:rFonts w:asciiTheme="minorHAnsi" w:hAnsiTheme="minorHAnsi" w:cstheme="minorHAnsi"/>
                <w:b w:val="0"/>
                <w:bCs w:val="0"/>
                <w:sz w:val="20"/>
                <w:szCs w:val="20"/>
              </w:rPr>
              <w:t>DLI 2: Revision of Subsidiary Agreements between the MOF and BT</w:t>
            </w:r>
            <w:r w:rsidRPr="00106A51">
              <w:rPr>
                <w:rStyle w:val="FootnoteReference"/>
                <w:rFonts w:asciiTheme="minorHAnsi" w:hAnsiTheme="minorHAnsi" w:cstheme="minorHAnsi"/>
                <w:b w:val="0"/>
                <w:bCs w:val="0"/>
                <w:sz w:val="20"/>
                <w:szCs w:val="20"/>
              </w:rPr>
              <w:footnoteReference w:id="7"/>
            </w:r>
          </w:p>
        </w:tc>
        <w:tc>
          <w:tcPr>
            <w:tcW w:w="2880" w:type="dxa"/>
          </w:tcPr>
          <w:p w14:paraId="4EFD9270" w14:textId="77777777" w:rsidR="00106A51" w:rsidRPr="00106A51" w:rsidRDefault="00106A51" w:rsidP="007B44F6">
            <w:pPr>
              <w:pStyle w:val="ListParagraph"/>
              <w:ind w:left="0"/>
              <w:contextualSpacing w:val="0"/>
              <w:rPr>
                <w:rFonts w:asciiTheme="minorHAnsi" w:hAnsiTheme="minorHAnsi" w:cstheme="minorHAnsi"/>
                <w:sz w:val="20"/>
                <w:szCs w:val="20"/>
              </w:rPr>
            </w:pPr>
            <w:r w:rsidRPr="00106A51">
              <w:rPr>
                <w:rFonts w:asciiTheme="minorHAnsi" w:hAnsiTheme="minorHAnsi" w:cstheme="minorHAnsi"/>
                <w:sz w:val="20"/>
                <w:szCs w:val="20"/>
              </w:rPr>
              <w:t>No change</w:t>
            </w:r>
          </w:p>
        </w:tc>
        <w:tc>
          <w:tcPr>
            <w:tcW w:w="1620" w:type="dxa"/>
          </w:tcPr>
          <w:p w14:paraId="70E7A867" w14:textId="77777777" w:rsidR="00106A51" w:rsidRPr="00106A51" w:rsidRDefault="00106A51" w:rsidP="007B44F6">
            <w:pPr>
              <w:pStyle w:val="ListParagraph"/>
              <w:ind w:left="0"/>
              <w:contextualSpacing w:val="0"/>
              <w:rPr>
                <w:rFonts w:asciiTheme="minorHAnsi" w:hAnsiTheme="minorHAnsi" w:cstheme="minorHAnsi"/>
                <w:sz w:val="20"/>
                <w:szCs w:val="20"/>
              </w:rPr>
            </w:pPr>
            <w:r w:rsidRPr="00106A51">
              <w:rPr>
                <w:rFonts w:asciiTheme="minorHAnsi" w:hAnsiTheme="minorHAnsi" w:cstheme="minorHAnsi"/>
                <w:sz w:val="20"/>
                <w:szCs w:val="20"/>
              </w:rPr>
              <w:t>33,000,000</w:t>
            </w:r>
          </w:p>
        </w:tc>
        <w:tc>
          <w:tcPr>
            <w:tcW w:w="1615" w:type="dxa"/>
          </w:tcPr>
          <w:p w14:paraId="02346FD5" w14:textId="77777777" w:rsidR="00106A51" w:rsidRPr="00106A51" w:rsidRDefault="00106A51" w:rsidP="007B44F6">
            <w:pPr>
              <w:pStyle w:val="ListParagraph"/>
              <w:ind w:left="0"/>
              <w:contextualSpacing w:val="0"/>
              <w:rPr>
                <w:rFonts w:asciiTheme="minorHAnsi" w:hAnsiTheme="minorHAnsi" w:cstheme="minorHAnsi"/>
                <w:sz w:val="20"/>
                <w:szCs w:val="20"/>
              </w:rPr>
            </w:pPr>
            <w:r w:rsidRPr="00106A51">
              <w:rPr>
                <w:rFonts w:asciiTheme="minorHAnsi" w:hAnsiTheme="minorHAnsi" w:cstheme="minorHAnsi"/>
                <w:sz w:val="20"/>
                <w:szCs w:val="20"/>
              </w:rPr>
              <w:t>36,000,000</w:t>
            </w:r>
          </w:p>
        </w:tc>
      </w:tr>
      <w:tr w:rsidR="00106A51" w:rsidRPr="00106A51" w14:paraId="72B2F150" w14:textId="77777777" w:rsidTr="007B44F6">
        <w:tc>
          <w:tcPr>
            <w:tcW w:w="3600" w:type="dxa"/>
          </w:tcPr>
          <w:p w14:paraId="5B5FB6F5" w14:textId="77777777" w:rsidR="00106A51" w:rsidRPr="00106A51" w:rsidRDefault="00106A51" w:rsidP="007B44F6">
            <w:pPr>
              <w:pStyle w:val="BodyText"/>
              <w:ind w:left="0"/>
              <w:rPr>
                <w:rFonts w:asciiTheme="minorHAnsi" w:hAnsiTheme="minorHAnsi" w:cstheme="minorHAnsi"/>
                <w:b w:val="0"/>
                <w:bCs w:val="0"/>
                <w:sz w:val="20"/>
                <w:szCs w:val="20"/>
              </w:rPr>
            </w:pPr>
            <w:r w:rsidRPr="00106A51">
              <w:rPr>
                <w:rFonts w:asciiTheme="minorHAnsi" w:hAnsiTheme="minorHAnsi" w:cstheme="minorHAnsi"/>
                <w:b w:val="0"/>
                <w:bCs w:val="0"/>
                <w:sz w:val="20"/>
                <w:szCs w:val="20"/>
              </w:rPr>
              <w:t>DLI 3: Reduction of BT’s cash deficit</w:t>
            </w:r>
          </w:p>
          <w:p w14:paraId="01FAB584" w14:textId="77777777" w:rsidR="00106A51" w:rsidRPr="00106A51" w:rsidRDefault="00106A51" w:rsidP="007B44F6">
            <w:pPr>
              <w:tabs>
                <w:tab w:val="left" w:pos="-180"/>
                <w:tab w:val="left" w:pos="90"/>
              </w:tabs>
              <w:rPr>
                <w:rFonts w:asciiTheme="minorHAnsi" w:hAnsiTheme="minorHAnsi" w:cstheme="minorHAnsi"/>
                <w:sz w:val="20"/>
                <w:szCs w:val="20"/>
              </w:rPr>
            </w:pPr>
          </w:p>
        </w:tc>
        <w:tc>
          <w:tcPr>
            <w:tcW w:w="2880" w:type="dxa"/>
          </w:tcPr>
          <w:p w14:paraId="0A123AA2" w14:textId="77777777" w:rsidR="00106A51" w:rsidRPr="00106A51" w:rsidRDefault="00106A51" w:rsidP="007B44F6">
            <w:pPr>
              <w:pStyle w:val="ListParagraph"/>
              <w:ind w:left="0"/>
              <w:contextualSpacing w:val="0"/>
              <w:rPr>
                <w:rFonts w:asciiTheme="minorHAnsi" w:hAnsiTheme="minorHAnsi" w:cstheme="minorHAnsi"/>
                <w:sz w:val="20"/>
                <w:szCs w:val="20"/>
              </w:rPr>
            </w:pPr>
            <w:r w:rsidRPr="00106A51">
              <w:rPr>
                <w:rFonts w:asciiTheme="minorHAnsi" w:hAnsiTheme="minorHAnsi" w:cstheme="minorHAnsi"/>
                <w:sz w:val="20"/>
                <w:szCs w:val="20"/>
              </w:rPr>
              <w:t>DLI 3: Electricity sector’s cash deficit</w:t>
            </w:r>
          </w:p>
        </w:tc>
        <w:tc>
          <w:tcPr>
            <w:tcW w:w="1620" w:type="dxa"/>
          </w:tcPr>
          <w:p w14:paraId="78601CBC" w14:textId="77777777" w:rsidR="00106A51" w:rsidRPr="00106A51" w:rsidRDefault="00106A51" w:rsidP="007B44F6">
            <w:pPr>
              <w:pStyle w:val="ListParagraph"/>
              <w:ind w:left="0"/>
              <w:contextualSpacing w:val="0"/>
              <w:rPr>
                <w:rFonts w:asciiTheme="minorHAnsi" w:hAnsiTheme="minorHAnsi" w:cstheme="minorHAnsi"/>
                <w:sz w:val="20"/>
                <w:szCs w:val="20"/>
              </w:rPr>
            </w:pPr>
            <w:r w:rsidRPr="00106A51">
              <w:rPr>
                <w:rFonts w:asciiTheme="minorHAnsi" w:hAnsiTheme="minorHAnsi" w:cstheme="minorHAnsi"/>
                <w:sz w:val="20"/>
                <w:szCs w:val="20"/>
              </w:rPr>
              <w:t>28,000,000</w:t>
            </w:r>
          </w:p>
        </w:tc>
        <w:tc>
          <w:tcPr>
            <w:tcW w:w="1615" w:type="dxa"/>
          </w:tcPr>
          <w:p w14:paraId="1A3B5EDD" w14:textId="5F68A1D2" w:rsidR="00106A51" w:rsidRPr="00106A51" w:rsidRDefault="008677F6" w:rsidP="007B44F6">
            <w:pPr>
              <w:pStyle w:val="ListParagraph"/>
              <w:ind w:left="0"/>
              <w:contextualSpacing w:val="0"/>
              <w:rPr>
                <w:rFonts w:asciiTheme="minorHAnsi" w:hAnsiTheme="minorHAnsi" w:cstheme="minorHAnsi"/>
                <w:sz w:val="20"/>
                <w:szCs w:val="20"/>
              </w:rPr>
            </w:pPr>
            <w:r>
              <w:rPr>
                <w:rFonts w:asciiTheme="minorHAnsi" w:hAnsiTheme="minorHAnsi" w:cstheme="minorHAnsi"/>
                <w:sz w:val="20"/>
                <w:szCs w:val="20"/>
              </w:rPr>
              <w:t>43</w:t>
            </w:r>
            <w:r w:rsidR="00106A51" w:rsidRPr="00106A51">
              <w:rPr>
                <w:rFonts w:asciiTheme="minorHAnsi" w:hAnsiTheme="minorHAnsi" w:cstheme="minorHAnsi"/>
                <w:sz w:val="20"/>
                <w:szCs w:val="20"/>
              </w:rPr>
              <w:t>,000,000</w:t>
            </w:r>
          </w:p>
        </w:tc>
      </w:tr>
      <w:tr w:rsidR="00106A51" w:rsidRPr="00106A51" w14:paraId="122E0E95" w14:textId="77777777" w:rsidTr="007B44F6">
        <w:tc>
          <w:tcPr>
            <w:tcW w:w="3600" w:type="dxa"/>
          </w:tcPr>
          <w:p w14:paraId="55E090A2" w14:textId="77777777" w:rsidR="00106A51" w:rsidRPr="00106A51" w:rsidRDefault="00106A51" w:rsidP="007B44F6">
            <w:pPr>
              <w:tabs>
                <w:tab w:val="left" w:pos="-180"/>
                <w:tab w:val="left" w:pos="90"/>
              </w:tabs>
              <w:rPr>
                <w:rFonts w:asciiTheme="minorHAnsi" w:hAnsiTheme="minorHAnsi" w:cstheme="minorHAnsi"/>
                <w:sz w:val="20"/>
                <w:szCs w:val="20"/>
              </w:rPr>
            </w:pPr>
            <w:r w:rsidRPr="00106A51">
              <w:rPr>
                <w:rFonts w:asciiTheme="minorHAnsi" w:hAnsiTheme="minorHAnsi" w:cstheme="minorHAnsi"/>
                <w:sz w:val="20"/>
                <w:szCs w:val="20"/>
              </w:rPr>
              <w:t>DLI 5:</w:t>
            </w:r>
            <w:r w:rsidRPr="00106A51">
              <w:rPr>
                <w:rStyle w:val="FootnoteReference"/>
                <w:rFonts w:asciiTheme="minorHAnsi" w:hAnsiTheme="minorHAnsi" w:cstheme="minorHAnsi"/>
                <w:sz w:val="20"/>
                <w:szCs w:val="20"/>
              </w:rPr>
              <w:footnoteReference w:id="8"/>
            </w:r>
            <w:r w:rsidRPr="00106A51">
              <w:rPr>
                <w:rFonts w:asciiTheme="minorHAnsi" w:hAnsiTheme="minorHAnsi" w:cstheme="minorHAnsi"/>
                <w:sz w:val="20"/>
                <w:szCs w:val="20"/>
              </w:rPr>
              <w:t xml:space="preserve"> Adequate electricity supply is received by BT from Sangtuda-1 power plant</w:t>
            </w:r>
          </w:p>
        </w:tc>
        <w:tc>
          <w:tcPr>
            <w:tcW w:w="2880" w:type="dxa"/>
          </w:tcPr>
          <w:p w14:paraId="23197962" w14:textId="77777777" w:rsidR="00106A51" w:rsidRPr="00106A51" w:rsidRDefault="00106A51" w:rsidP="007B44F6">
            <w:pPr>
              <w:pStyle w:val="ListParagraph"/>
              <w:ind w:left="0"/>
              <w:contextualSpacing w:val="0"/>
              <w:rPr>
                <w:rFonts w:asciiTheme="minorHAnsi" w:hAnsiTheme="minorHAnsi" w:cstheme="minorHAnsi"/>
                <w:sz w:val="20"/>
                <w:szCs w:val="20"/>
              </w:rPr>
            </w:pPr>
            <w:r w:rsidRPr="00106A51">
              <w:rPr>
                <w:rFonts w:asciiTheme="minorHAnsi" w:hAnsiTheme="minorHAnsi" w:cstheme="minorHAnsi"/>
                <w:sz w:val="20"/>
                <w:szCs w:val="20"/>
              </w:rPr>
              <w:t>No change</w:t>
            </w:r>
          </w:p>
        </w:tc>
        <w:tc>
          <w:tcPr>
            <w:tcW w:w="1620" w:type="dxa"/>
          </w:tcPr>
          <w:p w14:paraId="235278F9" w14:textId="77777777" w:rsidR="00106A51" w:rsidRPr="00106A51" w:rsidRDefault="00106A51" w:rsidP="007B44F6">
            <w:pPr>
              <w:pStyle w:val="ListParagraph"/>
              <w:ind w:left="0"/>
              <w:contextualSpacing w:val="0"/>
              <w:rPr>
                <w:rFonts w:asciiTheme="minorHAnsi" w:hAnsiTheme="minorHAnsi" w:cstheme="minorHAnsi"/>
                <w:sz w:val="20"/>
                <w:szCs w:val="20"/>
              </w:rPr>
            </w:pPr>
            <w:r w:rsidRPr="00106A51">
              <w:rPr>
                <w:rFonts w:asciiTheme="minorHAnsi" w:hAnsiTheme="minorHAnsi" w:cstheme="minorHAnsi"/>
                <w:sz w:val="20"/>
                <w:szCs w:val="20"/>
              </w:rPr>
              <w:t>17,000,000</w:t>
            </w:r>
          </w:p>
        </w:tc>
        <w:tc>
          <w:tcPr>
            <w:tcW w:w="1615" w:type="dxa"/>
          </w:tcPr>
          <w:p w14:paraId="2DF7B02A" w14:textId="77777777" w:rsidR="00106A51" w:rsidRPr="00106A51" w:rsidRDefault="00106A51" w:rsidP="007B44F6">
            <w:pPr>
              <w:pStyle w:val="ListParagraph"/>
              <w:ind w:left="0"/>
              <w:contextualSpacing w:val="0"/>
              <w:rPr>
                <w:rFonts w:asciiTheme="minorHAnsi" w:hAnsiTheme="minorHAnsi" w:cstheme="minorHAnsi"/>
                <w:sz w:val="20"/>
                <w:szCs w:val="20"/>
              </w:rPr>
            </w:pPr>
            <w:r w:rsidRPr="00106A51">
              <w:rPr>
                <w:rFonts w:asciiTheme="minorHAnsi" w:hAnsiTheme="minorHAnsi" w:cstheme="minorHAnsi"/>
                <w:sz w:val="20"/>
                <w:szCs w:val="20"/>
              </w:rPr>
              <w:t>20,000,000</w:t>
            </w:r>
          </w:p>
        </w:tc>
      </w:tr>
      <w:tr w:rsidR="00106A51" w:rsidRPr="00106A51" w14:paraId="1EC11C4B" w14:textId="77777777" w:rsidTr="007B44F6">
        <w:tc>
          <w:tcPr>
            <w:tcW w:w="3600" w:type="dxa"/>
          </w:tcPr>
          <w:p w14:paraId="0BF21D02" w14:textId="77777777" w:rsidR="00106A51" w:rsidRPr="00106A51" w:rsidRDefault="00106A51" w:rsidP="007B44F6">
            <w:pPr>
              <w:tabs>
                <w:tab w:val="left" w:pos="-180"/>
                <w:tab w:val="left" w:pos="90"/>
              </w:tabs>
              <w:rPr>
                <w:rFonts w:asciiTheme="minorHAnsi" w:hAnsiTheme="minorHAnsi" w:cstheme="minorHAnsi"/>
                <w:sz w:val="20"/>
                <w:szCs w:val="20"/>
              </w:rPr>
            </w:pPr>
            <w:r w:rsidRPr="00106A51">
              <w:rPr>
                <w:rFonts w:asciiTheme="minorHAnsi" w:hAnsiTheme="minorHAnsi" w:cstheme="minorHAnsi"/>
                <w:sz w:val="20"/>
                <w:szCs w:val="20"/>
              </w:rPr>
              <w:t>DLI 7: Use of technically, economically, and financially sound principles for the Recipient’s investment decision-making in electricity generation, transmission, and distribution.</w:t>
            </w:r>
          </w:p>
        </w:tc>
        <w:tc>
          <w:tcPr>
            <w:tcW w:w="2880" w:type="dxa"/>
          </w:tcPr>
          <w:p w14:paraId="624F9603" w14:textId="77777777" w:rsidR="00106A51" w:rsidRPr="00106A51" w:rsidRDefault="00106A51" w:rsidP="007B44F6">
            <w:pPr>
              <w:pStyle w:val="ListParagraph"/>
              <w:ind w:left="0"/>
              <w:contextualSpacing w:val="0"/>
              <w:rPr>
                <w:rFonts w:asciiTheme="minorHAnsi" w:hAnsiTheme="minorHAnsi" w:cstheme="minorHAnsi"/>
                <w:sz w:val="20"/>
                <w:szCs w:val="20"/>
              </w:rPr>
            </w:pPr>
            <w:r w:rsidRPr="00106A51">
              <w:rPr>
                <w:rFonts w:asciiTheme="minorHAnsi" w:hAnsiTheme="minorHAnsi" w:cstheme="minorHAnsi"/>
                <w:sz w:val="20"/>
                <w:szCs w:val="20"/>
              </w:rPr>
              <w:t>No change</w:t>
            </w:r>
          </w:p>
        </w:tc>
        <w:tc>
          <w:tcPr>
            <w:tcW w:w="1620" w:type="dxa"/>
          </w:tcPr>
          <w:p w14:paraId="223AEB73" w14:textId="77777777" w:rsidR="00106A51" w:rsidRPr="00106A51" w:rsidRDefault="00106A51" w:rsidP="007B44F6">
            <w:pPr>
              <w:pStyle w:val="ListParagraph"/>
              <w:ind w:left="0"/>
              <w:contextualSpacing w:val="0"/>
              <w:rPr>
                <w:rFonts w:asciiTheme="minorHAnsi" w:hAnsiTheme="minorHAnsi" w:cstheme="minorHAnsi"/>
                <w:sz w:val="20"/>
                <w:szCs w:val="20"/>
              </w:rPr>
            </w:pPr>
            <w:r w:rsidRPr="00106A51">
              <w:rPr>
                <w:rFonts w:asciiTheme="minorHAnsi" w:hAnsiTheme="minorHAnsi" w:cstheme="minorHAnsi"/>
                <w:sz w:val="20"/>
                <w:szCs w:val="20"/>
              </w:rPr>
              <w:t>14,900,000</w:t>
            </w:r>
          </w:p>
        </w:tc>
        <w:tc>
          <w:tcPr>
            <w:tcW w:w="1615" w:type="dxa"/>
          </w:tcPr>
          <w:p w14:paraId="49676601" w14:textId="77777777" w:rsidR="00106A51" w:rsidRPr="00106A51" w:rsidRDefault="00106A51" w:rsidP="007B44F6">
            <w:pPr>
              <w:pStyle w:val="ListParagraph"/>
              <w:ind w:left="0"/>
              <w:contextualSpacing w:val="0"/>
              <w:rPr>
                <w:rFonts w:asciiTheme="minorHAnsi" w:hAnsiTheme="minorHAnsi" w:cstheme="minorHAnsi"/>
                <w:sz w:val="20"/>
                <w:szCs w:val="20"/>
              </w:rPr>
            </w:pPr>
            <w:r w:rsidRPr="00106A51">
              <w:rPr>
                <w:rFonts w:asciiTheme="minorHAnsi" w:hAnsiTheme="minorHAnsi" w:cstheme="minorHAnsi"/>
                <w:sz w:val="20"/>
                <w:szCs w:val="20"/>
              </w:rPr>
              <w:t>18,000,000</w:t>
            </w:r>
          </w:p>
        </w:tc>
      </w:tr>
      <w:tr w:rsidR="00106A51" w:rsidRPr="00106A51" w14:paraId="113BD773" w14:textId="77777777" w:rsidTr="007B44F6">
        <w:tc>
          <w:tcPr>
            <w:tcW w:w="3600" w:type="dxa"/>
          </w:tcPr>
          <w:p w14:paraId="71671A3F" w14:textId="77777777" w:rsidR="00106A51" w:rsidRPr="00106A51" w:rsidRDefault="00106A51" w:rsidP="007B44F6">
            <w:pPr>
              <w:tabs>
                <w:tab w:val="left" w:pos="-180"/>
                <w:tab w:val="left" w:pos="90"/>
              </w:tabs>
              <w:rPr>
                <w:rFonts w:asciiTheme="minorHAnsi" w:hAnsiTheme="minorHAnsi" w:cstheme="minorHAnsi"/>
                <w:sz w:val="20"/>
                <w:szCs w:val="20"/>
              </w:rPr>
            </w:pPr>
            <w:r w:rsidRPr="00106A51">
              <w:rPr>
                <w:rFonts w:asciiTheme="minorHAnsi" w:hAnsiTheme="minorHAnsi" w:cstheme="minorHAnsi"/>
                <w:sz w:val="20"/>
                <w:szCs w:val="20"/>
              </w:rPr>
              <w:t>DLI 8: Implementation of good-practice corporate governance at BT.</w:t>
            </w:r>
          </w:p>
        </w:tc>
        <w:tc>
          <w:tcPr>
            <w:tcW w:w="2880" w:type="dxa"/>
          </w:tcPr>
          <w:p w14:paraId="1B66DB26" w14:textId="77777777" w:rsidR="00106A51" w:rsidRPr="00106A51" w:rsidRDefault="00106A51" w:rsidP="007B44F6">
            <w:pPr>
              <w:pStyle w:val="ListParagraph"/>
              <w:ind w:left="0"/>
              <w:contextualSpacing w:val="0"/>
              <w:rPr>
                <w:rFonts w:asciiTheme="minorHAnsi" w:hAnsiTheme="minorHAnsi" w:cstheme="minorHAnsi"/>
                <w:sz w:val="20"/>
                <w:szCs w:val="20"/>
              </w:rPr>
            </w:pPr>
            <w:r w:rsidRPr="00106A51">
              <w:rPr>
                <w:rFonts w:asciiTheme="minorHAnsi" w:hAnsiTheme="minorHAnsi" w:cstheme="minorHAnsi"/>
                <w:sz w:val="20"/>
                <w:szCs w:val="20"/>
              </w:rPr>
              <w:t>DLI 8: Implementation of good-practice corporate governance at BT, SIB, and STB</w:t>
            </w:r>
          </w:p>
        </w:tc>
        <w:tc>
          <w:tcPr>
            <w:tcW w:w="1620" w:type="dxa"/>
          </w:tcPr>
          <w:p w14:paraId="53F208CF" w14:textId="77777777" w:rsidR="00106A51" w:rsidRPr="00106A51" w:rsidRDefault="00106A51" w:rsidP="007B44F6">
            <w:pPr>
              <w:pStyle w:val="ListParagraph"/>
              <w:ind w:left="0"/>
              <w:contextualSpacing w:val="0"/>
              <w:rPr>
                <w:rFonts w:asciiTheme="minorHAnsi" w:hAnsiTheme="minorHAnsi" w:cstheme="minorHAnsi"/>
                <w:sz w:val="20"/>
                <w:szCs w:val="20"/>
              </w:rPr>
            </w:pPr>
            <w:r w:rsidRPr="00106A51">
              <w:rPr>
                <w:rFonts w:asciiTheme="minorHAnsi" w:hAnsiTheme="minorHAnsi" w:cstheme="minorHAnsi"/>
                <w:sz w:val="20"/>
                <w:szCs w:val="20"/>
              </w:rPr>
              <w:t>17,000,000</w:t>
            </w:r>
          </w:p>
        </w:tc>
        <w:tc>
          <w:tcPr>
            <w:tcW w:w="1615" w:type="dxa"/>
          </w:tcPr>
          <w:p w14:paraId="0748DC66" w14:textId="77777777" w:rsidR="00106A51" w:rsidRPr="00106A51" w:rsidRDefault="00106A51" w:rsidP="007B44F6">
            <w:pPr>
              <w:pStyle w:val="ListParagraph"/>
              <w:ind w:left="0"/>
              <w:contextualSpacing w:val="0"/>
              <w:rPr>
                <w:rFonts w:asciiTheme="minorHAnsi" w:hAnsiTheme="minorHAnsi" w:cstheme="minorHAnsi"/>
                <w:sz w:val="20"/>
                <w:szCs w:val="20"/>
              </w:rPr>
            </w:pPr>
            <w:r w:rsidRPr="00106A51">
              <w:rPr>
                <w:rFonts w:asciiTheme="minorHAnsi" w:hAnsiTheme="minorHAnsi" w:cstheme="minorHAnsi"/>
                <w:sz w:val="20"/>
                <w:szCs w:val="20"/>
              </w:rPr>
              <w:t>19,000,000</w:t>
            </w:r>
          </w:p>
        </w:tc>
      </w:tr>
      <w:tr w:rsidR="00106A51" w:rsidRPr="00106A51" w14:paraId="69F2843D" w14:textId="77777777" w:rsidTr="008677F6">
        <w:tc>
          <w:tcPr>
            <w:tcW w:w="3600" w:type="dxa"/>
          </w:tcPr>
          <w:p w14:paraId="3FC51891" w14:textId="77777777" w:rsidR="00106A51" w:rsidRPr="00106A51" w:rsidRDefault="00106A51" w:rsidP="007B44F6">
            <w:pPr>
              <w:tabs>
                <w:tab w:val="left" w:pos="-180"/>
                <w:tab w:val="left" w:pos="90"/>
              </w:tabs>
              <w:rPr>
                <w:rFonts w:asciiTheme="minorHAnsi" w:hAnsiTheme="minorHAnsi" w:cstheme="minorHAnsi"/>
                <w:sz w:val="20"/>
                <w:szCs w:val="20"/>
              </w:rPr>
            </w:pPr>
            <w:r w:rsidRPr="00106A51">
              <w:rPr>
                <w:rFonts w:asciiTheme="minorHAnsi" w:eastAsia="Times New Roman" w:hAnsiTheme="minorHAnsi" w:cstheme="minorHAnsi"/>
                <w:sz w:val="20"/>
                <w:szCs w:val="20"/>
              </w:rPr>
              <w:t xml:space="preserve">DLI 9: </w:t>
            </w:r>
            <w:r w:rsidRPr="00106A51">
              <w:rPr>
                <w:rFonts w:asciiTheme="minorHAnsi" w:hAnsiTheme="minorHAnsi" w:cstheme="minorHAnsi"/>
                <w:sz w:val="20"/>
                <w:szCs w:val="20"/>
              </w:rPr>
              <w:t>Improvement of BT’s operational and financial transparency</w:t>
            </w:r>
          </w:p>
        </w:tc>
        <w:tc>
          <w:tcPr>
            <w:tcW w:w="2880" w:type="dxa"/>
          </w:tcPr>
          <w:p w14:paraId="074C3896" w14:textId="77777777" w:rsidR="00106A51" w:rsidRPr="00106A51" w:rsidRDefault="00106A51" w:rsidP="007B44F6">
            <w:pPr>
              <w:pStyle w:val="ListParagraph"/>
              <w:ind w:left="0"/>
              <w:contextualSpacing w:val="0"/>
              <w:rPr>
                <w:rFonts w:asciiTheme="minorHAnsi" w:hAnsiTheme="minorHAnsi" w:cstheme="minorHAnsi"/>
                <w:sz w:val="20"/>
                <w:szCs w:val="20"/>
              </w:rPr>
            </w:pPr>
            <w:r w:rsidRPr="00106A51">
              <w:rPr>
                <w:rFonts w:asciiTheme="minorHAnsi" w:hAnsiTheme="minorHAnsi" w:cstheme="minorHAnsi"/>
                <w:sz w:val="20"/>
                <w:szCs w:val="20"/>
              </w:rPr>
              <w:t>DLI 8: Improvement of operational and financial transparency of BT, SIB, and STB</w:t>
            </w:r>
          </w:p>
        </w:tc>
        <w:tc>
          <w:tcPr>
            <w:tcW w:w="1620" w:type="dxa"/>
          </w:tcPr>
          <w:p w14:paraId="12239807" w14:textId="77777777" w:rsidR="00106A51" w:rsidRPr="00106A51" w:rsidRDefault="00106A51" w:rsidP="007B44F6">
            <w:pPr>
              <w:pStyle w:val="ListParagraph"/>
              <w:ind w:left="0"/>
              <w:contextualSpacing w:val="0"/>
              <w:rPr>
                <w:rFonts w:asciiTheme="minorHAnsi" w:hAnsiTheme="minorHAnsi" w:cstheme="minorHAnsi"/>
                <w:sz w:val="20"/>
                <w:szCs w:val="20"/>
              </w:rPr>
            </w:pPr>
            <w:r w:rsidRPr="00106A51">
              <w:rPr>
                <w:rFonts w:asciiTheme="minorHAnsi" w:hAnsiTheme="minorHAnsi" w:cstheme="minorHAnsi"/>
                <w:sz w:val="20"/>
                <w:szCs w:val="20"/>
              </w:rPr>
              <w:t>5,100,000</w:t>
            </w:r>
          </w:p>
        </w:tc>
        <w:tc>
          <w:tcPr>
            <w:tcW w:w="1615" w:type="dxa"/>
            <w:shd w:val="clear" w:color="auto" w:fill="auto"/>
          </w:tcPr>
          <w:p w14:paraId="7A8C0D98" w14:textId="77777777" w:rsidR="00106A51" w:rsidRPr="008677F6" w:rsidRDefault="00106A51" w:rsidP="007B44F6">
            <w:pPr>
              <w:pStyle w:val="ListParagraph"/>
              <w:ind w:left="0"/>
              <w:contextualSpacing w:val="0"/>
              <w:rPr>
                <w:rFonts w:asciiTheme="minorHAnsi" w:hAnsiTheme="minorHAnsi" w:cstheme="minorHAnsi"/>
                <w:sz w:val="20"/>
                <w:szCs w:val="20"/>
              </w:rPr>
            </w:pPr>
            <w:r w:rsidRPr="008677F6">
              <w:rPr>
                <w:rFonts w:asciiTheme="minorHAnsi" w:hAnsiTheme="minorHAnsi" w:cstheme="minorHAnsi"/>
                <w:sz w:val="20"/>
                <w:szCs w:val="20"/>
              </w:rPr>
              <w:t>6,000,000</w:t>
            </w:r>
          </w:p>
        </w:tc>
      </w:tr>
      <w:tr w:rsidR="00106A51" w:rsidRPr="00106A51" w14:paraId="38380BD4" w14:textId="77777777" w:rsidTr="008677F6">
        <w:tc>
          <w:tcPr>
            <w:tcW w:w="3600" w:type="dxa"/>
          </w:tcPr>
          <w:p w14:paraId="17C81A77" w14:textId="77777777" w:rsidR="00106A51" w:rsidRPr="00106A51" w:rsidRDefault="00106A51" w:rsidP="007B44F6">
            <w:pPr>
              <w:tabs>
                <w:tab w:val="left" w:pos="450"/>
              </w:tabs>
              <w:jc w:val="both"/>
              <w:rPr>
                <w:rFonts w:asciiTheme="minorHAnsi" w:hAnsiTheme="minorHAnsi" w:cstheme="minorHAnsi"/>
                <w:sz w:val="20"/>
                <w:szCs w:val="20"/>
              </w:rPr>
            </w:pPr>
            <w:r w:rsidRPr="00106A51">
              <w:rPr>
                <w:rFonts w:asciiTheme="minorHAnsi" w:hAnsiTheme="minorHAnsi" w:cstheme="minorHAnsi"/>
                <w:sz w:val="20"/>
                <w:szCs w:val="20"/>
              </w:rPr>
              <w:t>-</w:t>
            </w:r>
          </w:p>
        </w:tc>
        <w:tc>
          <w:tcPr>
            <w:tcW w:w="2880" w:type="dxa"/>
          </w:tcPr>
          <w:p w14:paraId="72ABF5D5" w14:textId="77777777" w:rsidR="00106A51" w:rsidRPr="00106A51" w:rsidRDefault="00106A51" w:rsidP="007B44F6">
            <w:pPr>
              <w:tabs>
                <w:tab w:val="left" w:pos="450"/>
              </w:tabs>
              <w:rPr>
                <w:rFonts w:asciiTheme="minorHAnsi" w:hAnsiTheme="minorHAnsi" w:cstheme="minorHAnsi"/>
                <w:sz w:val="20"/>
                <w:szCs w:val="20"/>
              </w:rPr>
            </w:pPr>
            <w:r w:rsidRPr="00106A51">
              <w:rPr>
                <w:rFonts w:asciiTheme="minorHAnsi" w:hAnsiTheme="minorHAnsi" w:cstheme="minorHAnsi"/>
                <w:sz w:val="20"/>
                <w:szCs w:val="20"/>
              </w:rPr>
              <w:t>DLI 10: Reduction of electricity sector costs</w:t>
            </w:r>
          </w:p>
        </w:tc>
        <w:tc>
          <w:tcPr>
            <w:tcW w:w="1620" w:type="dxa"/>
          </w:tcPr>
          <w:p w14:paraId="4A02EBD5" w14:textId="77777777" w:rsidR="00106A51" w:rsidRPr="00106A51" w:rsidRDefault="00106A51" w:rsidP="007B44F6">
            <w:pPr>
              <w:tabs>
                <w:tab w:val="left" w:pos="450"/>
              </w:tabs>
              <w:jc w:val="both"/>
              <w:rPr>
                <w:rFonts w:asciiTheme="minorHAnsi" w:hAnsiTheme="minorHAnsi" w:cstheme="minorHAnsi"/>
                <w:sz w:val="20"/>
                <w:szCs w:val="20"/>
              </w:rPr>
            </w:pPr>
            <w:r w:rsidRPr="00106A51">
              <w:rPr>
                <w:rFonts w:asciiTheme="minorHAnsi" w:hAnsiTheme="minorHAnsi" w:cstheme="minorHAnsi"/>
                <w:sz w:val="20"/>
                <w:szCs w:val="20"/>
              </w:rPr>
              <w:t>-</w:t>
            </w:r>
          </w:p>
        </w:tc>
        <w:tc>
          <w:tcPr>
            <w:tcW w:w="1615" w:type="dxa"/>
            <w:shd w:val="clear" w:color="auto" w:fill="auto"/>
          </w:tcPr>
          <w:p w14:paraId="6D1E232B" w14:textId="3DDC3F57" w:rsidR="00106A51" w:rsidRPr="008677F6" w:rsidRDefault="008677F6" w:rsidP="007B44F6">
            <w:pPr>
              <w:tabs>
                <w:tab w:val="left" w:pos="450"/>
              </w:tabs>
              <w:jc w:val="both"/>
              <w:rPr>
                <w:rFonts w:asciiTheme="minorHAnsi" w:hAnsiTheme="minorHAnsi" w:cstheme="minorHAnsi"/>
                <w:sz w:val="20"/>
                <w:szCs w:val="20"/>
              </w:rPr>
            </w:pPr>
            <w:r w:rsidRPr="008677F6">
              <w:rPr>
                <w:rFonts w:asciiTheme="minorHAnsi" w:hAnsiTheme="minorHAnsi" w:cstheme="minorHAnsi"/>
                <w:sz w:val="20"/>
                <w:szCs w:val="20"/>
              </w:rPr>
              <w:t>19</w:t>
            </w:r>
            <w:r w:rsidR="00106A51" w:rsidRPr="008677F6">
              <w:rPr>
                <w:rFonts w:asciiTheme="minorHAnsi" w:hAnsiTheme="minorHAnsi" w:cstheme="minorHAnsi"/>
                <w:sz w:val="20"/>
                <w:szCs w:val="20"/>
              </w:rPr>
              <w:t>,000,000</w:t>
            </w:r>
          </w:p>
        </w:tc>
      </w:tr>
      <w:tr w:rsidR="00106A51" w:rsidRPr="00106A51" w14:paraId="13BAF914" w14:textId="77777777" w:rsidTr="008677F6">
        <w:tc>
          <w:tcPr>
            <w:tcW w:w="3600" w:type="dxa"/>
          </w:tcPr>
          <w:p w14:paraId="592A8A5F" w14:textId="77777777" w:rsidR="00106A51" w:rsidRPr="00106A51" w:rsidRDefault="00106A51" w:rsidP="007B44F6">
            <w:pPr>
              <w:tabs>
                <w:tab w:val="left" w:pos="450"/>
              </w:tabs>
              <w:jc w:val="both"/>
              <w:rPr>
                <w:rFonts w:asciiTheme="minorHAnsi" w:hAnsiTheme="minorHAnsi" w:cstheme="minorHAnsi"/>
                <w:sz w:val="20"/>
                <w:szCs w:val="20"/>
              </w:rPr>
            </w:pPr>
            <w:r w:rsidRPr="00106A51">
              <w:rPr>
                <w:rFonts w:asciiTheme="minorHAnsi" w:hAnsiTheme="minorHAnsi" w:cstheme="minorHAnsi"/>
                <w:sz w:val="20"/>
                <w:szCs w:val="20"/>
              </w:rPr>
              <w:t>-</w:t>
            </w:r>
          </w:p>
        </w:tc>
        <w:tc>
          <w:tcPr>
            <w:tcW w:w="2880" w:type="dxa"/>
          </w:tcPr>
          <w:p w14:paraId="500B4DDB" w14:textId="77777777" w:rsidR="00106A51" w:rsidRPr="00106A51" w:rsidRDefault="00106A51" w:rsidP="007B44F6">
            <w:pPr>
              <w:tabs>
                <w:tab w:val="left" w:pos="450"/>
              </w:tabs>
              <w:rPr>
                <w:rFonts w:asciiTheme="minorHAnsi" w:hAnsiTheme="minorHAnsi" w:cstheme="minorHAnsi"/>
                <w:sz w:val="20"/>
                <w:szCs w:val="20"/>
              </w:rPr>
            </w:pPr>
            <w:r w:rsidRPr="00106A51">
              <w:rPr>
                <w:rFonts w:asciiTheme="minorHAnsi" w:hAnsiTheme="minorHAnsi" w:cstheme="minorHAnsi"/>
                <w:sz w:val="20"/>
                <w:szCs w:val="20"/>
              </w:rPr>
              <w:t xml:space="preserve">DLI 11: Improved prioritization, </w:t>
            </w:r>
          </w:p>
          <w:p w14:paraId="5CB6A140" w14:textId="77777777" w:rsidR="00106A51" w:rsidRPr="00106A51" w:rsidRDefault="00106A51" w:rsidP="007B44F6">
            <w:pPr>
              <w:tabs>
                <w:tab w:val="left" w:pos="450"/>
              </w:tabs>
              <w:rPr>
                <w:rFonts w:asciiTheme="minorHAnsi" w:hAnsiTheme="minorHAnsi" w:cstheme="minorHAnsi"/>
                <w:sz w:val="20"/>
                <w:szCs w:val="20"/>
              </w:rPr>
            </w:pPr>
            <w:r w:rsidRPr="00106A51">
              <w:rPr>
                <w:rFonts w:asciiTheme="minorHAnsi" w:hAnsiTheme="minorHAnsi" w:cstheme="minorHAnsi"/>
                <w:sz w:val="20"/>
                <w:szCs w:val="20"/>
              </w:rPr>
              <w:t>predictability and transparency of cash flows in the electricity sector</w:t>
            </w:r>
          </w:p>
        </w:tc>
        <w:tc>
          <w:tcPr>
            <w:tcW w:w="1620" w:type="dxa"/>
          </w:tcPr>
          <w:p w14:paraId="6554F428" w14:textId="77777777" w:rsidR="00106A51" w:rsidRPr="00106A51" w:rsidRDefault="00106A51" w:rsidP="007B44F6">
            <w:pPr>
              <w:tabs>
                <w:tab w:val="left" w:pos="450"/>
              </w:tabs>
              <w:jc w:val="both"/>
              <w:rPr>
                <w:rFonts w:asciiTheme="minorHAnsi" w:hAnsiTheme="minorHAnsi" w:cstheme="minorHAnsi"/>
                <w:sz w:val="20"/>
                <w:szCs w:val="20"/>
              </w:rPr>
            </w:pPr>
            <w:r w:rsidRPr="00106A51">
              <w:rPr>
                <w:rFonts w:asciiTheme="minorHAnsi" w:hAnsiTheme="minorHAnsi" w:cstheme="minorHAnsi"/>
                <w:sz w:val="20"/>
                <w:szCs w:val="20"/>
              </w:rPr>
              <w:t>-</w:t>
            </w:r>
          </w:p>
        </w:tc>
        <w:tc>
          <w:tcPr>
            <w:tcW w:w="1615" w:type="dxa"/>
            <w:shd w:val="clear" w:color="auto" w:fill="auto"/>
          </w:tcPr>
          <w:p w14:paraId="07278F8E" w14:textId="231166F6" w:rsidR="00106A51" w:rsidRPr="008677F6" w:rsidRDefault="00106A51" w:rsidP="007B44F6">
            <w:pPr>
              <w:tabs>
                <w:tab w:val="left" w:pos="450"/>
              </w:tabs>
              <w:jc w:val="both"/>
              <w:rPr>
                <w:rFonts w:asciiTheme="minorHAnsi" w:hAnsiTheme="minorHAnsi" w:cstheme="minorHAnsi"/>
                <w:sz w:val="20"/>
                <w:szCs w:val="20"/>
              </w:rPr>
            </w:pPr>
            <w:r w:rsidRPr="008677F6">
              <w:rPr>
                <w:rFonts w:asciiTheme="minorHAnsi" w:hAnsiTheme="minorHAnsi" w:cstheme="minorHAnsi"/>
                <w:sz w:val="20"/>
                <w:szCs w:val="20"/>
              </w:rPr>
              <w:t>2</w:t>
            </w:r>
            <w:r w:rsidR="008677F6" w:rsidRPr="008677F6">
              <w:rPr>
                <w:rFonts w:asciiTheme="minorHAnsi" w:hAnsiTheme="minorHAnsi" w:cstheme="minorHAnsi"/>
                <w:sz w:val="20"/>
                <w:szCs w:val="20"/>
              </w:rPr>
              <w:t>7</w:t>
            </w:r>
            <w:r w:rsidRPr="008677F6">
              <w:rPr>
                <w:rFonts w:asciiTheme="minorHAnsi" w:hAnsiTheme="minorHAnsi" w:cstheme="minorHAnsi"/>
                <w:sz w:val="20"/>
                <w:szCs w:val="20"/>
              </w:rPr>
              <w:t>,000,000</w:t>
            </w:r>
          </w:p>
        </w:tc>
      </w:tr>
      <w:tr w:rsidR="00106A51" w:rsidRPr="00106A51" w14:paraId="59D68510" w14:textId="77777777" w:rsidTr="007B44F6">
        <w:tc>
          <w:tcPr>
            <w:tcW w:w="3600" w:type="dxa"/>
          </w:tcPr>
          <w:p w14:paraId="06F23A7A" w14:textId="77777777" w:rsidR="00106A51" w:rsidRPr="00106A51" w:rsidRDefault="00106A51" w:rsidP="007B44F6">
            <w:pPr>
              <w:tabs>
                <w:tab w:val="left" w:pos="450"/>
              </w:tabs>
              <w:jc w:val="both"/>
              <w:rPr>
                <w:rFonts w:asciiTheme="minorHAnsi" w:hAnsiTheme="minorHAnsi" w:cstheme="minorHAnsi"/>
                <w:b/>
                <w:bCs/>
                <w:sz w:val="20"/>
                <w:szCs w:val="20"/>
              </w:rPr>
            </w:pPr>
            <w:r w:rsidRPr="00106A51">
              <w:rPr>
                <w:rFonts w:asciiTheme="minorHAnsi" w:hAnsiTheme="minorHAnsi" w:cstheme="minorHAnsi"/>
                <w:b/>
                <w:bCs/>
                <w:sz w:val="20"/>
                <w:szCs w:val="20"/>
              </w:rPr>
              <w:t>Total</w:t>
            </w:r>
          </w:p>
        </w:tc>
        <w:tc>
          <w:tcPr>
            <w:tcW w:w="2880" w:type="dxa"/>
          </w:tcPr>
          <w:p w14:paraId="15BA155E" w14:textId="77777777" w:rsidR="00106A51" w:rsidRPr="00106A51" w:rsidRDefault="00106A51" w:rsidP="007B44F6">
            <w:pPr>
              <w:tabs>
                <w:tab w:val="left" w:pos="450"/>
              </w:tabs>
              <w:rPr>
                <w:rFonts w:asciiTheme="minorHAnsi" w:hAnsiTheme="minorHAnsi" w:cstheme="minorHAnsi"/>
                <w:b/>
                <w:bCs/>
                <w:sz w:val="20"/>
                <w:szCs w:val="20"/>
              </w:rPr>
            </w:pPr>
          </w:p>
        </w:tc>
        <w:tc>
          <w:tcPr>
            <w:tcW w:w="1620" w:type="dxa"/>
          </w:tcPr>
          <w:p w14:paraId="1ED26FB9" w14:textId="77777777" w:rsidR="00106A51" w:rsidRPr="00106A51" w:rsidRDefault="00106A51" w:rsidP="007B44F6">
            <w:pPr>
              <w:tabs>
                <w:tab w:val="left" w:pos="450"/>
              </w:tabs>
              <w:jc w:val="both"/>
              <w:rPr>
                <w:rFonts w:asciiTheme="minorHAnsi" w:hAnsiTheme="minorHAnsi" w:cstheme="minorHAnsi"/>
                <w:b/>
                <w:bCs/>
                <w:sz w:val="20"/>
                <w:szCs w:val="20"/>
              </w:rPr>
            </w:pPr>
            <w:r w:rsidRPr="00106A51">
              <w:rPr>
                <w:rFonts w:asciiTheme="minorHAnsi" w:hAnsiTheme="minorHAnsi" w:cstheme="minorHAnsi"/>
                <w:b/>
                <w:bCs/>
                <w:sz w:val="20"/>
                <w:szCs w:val="20"/>
              </w:rPr>
              <w:t>134,000,000</w:t>
            </w:r>
          </w:p>
        </w:tc>
        <w:tc>
          <w:tcPr>
            <w:tcW w:w="1615" w:type="dxa"/>
          </w:tcPr>
          <w:p w14:paraId="0A14C502" w14:textId="77777777" w:rsidR="00106A51" w:rsidRPr="00106A51" w:rsidRDefault="00106A51" w:rsidP="007B44F6">
            <w:pPr>
              <w:tabs>
                <w:tab w:val="left" w:pos="450"/>
              </w:tabs>
              <w:jc w:val="both"/>
              <w:rPr>
                <w:rFonts w:asciiTheme="minorHAnsi" w:hAnsiTheme="minorHAnsi" w:cstheme="minorHAnsi"/>
                <w:b/>
                <w:bCs/>
                <w:sz w:val="20"/>
                <w:szCs w:val="20"/>
              </w:rPr>
            </w:pPr>
            <w:r w:rsidRPr="00106A51">
              <w:rPr>
                <w:rFonts w:asciiTheme="minorHAnsi" w:hAnsiTheme="minorHAnsi" w:cstheme="minorHAnsi"/>
                <w:b/>
                <w:bCs/>
                <w:sz w:val="20"/>
                <w:szCs w:val="20"/>
              </w:rPr>
              <w:t>214,000,000</w:t>
            </w:r>
          </w:p>
        </w:tc>
      </w:tr>
    </w:tbl>
    <w:p w14:paraId="3EFDD2BC" w14:textId="353FF826" w:rsidR="002A6C3F" w:rsidRPr="001F0A1E" w:rsidRDefault="002A6C3F" w:rsidP="002A6C3F">
      <w:pPr>
        <w:pStyle w:val="ListParagraph"/>
        <w:widowControl/>
        <w:numPr>
          <w:ilvl w:val="0"/>
          <w:numId w:val="3"/>
        </w:numPr>
        <w:tabs>
          <w:tab w:val="left" w:pos="0"/>
        </w:tabs>
        <w:autoSpaceDE/>
        <w:autoSpaceDN/>
        <w:adjustRightInd/>
        <w:spacing w:before="120" w:after="120"/>
        <w:ind w:left="-360" w:firstLine="0"/>
        <w:contextualSpacing w:val="0"/>
        <w:jc w:val="both"/>
        <w:rPr>
          <w:rFonts w:asciiTheme="minorHAnsi" w:hAnsiTheme="minorHAnsi" w:cstheme="minorHAnsi"/>
          <w:sz w:val="22"/>
          <w:szCs w:val="22"/>
        </w:rPr>
      </w:pPr>
      <w:r w:rsidRPr="00774130">
        <w:rPr>
          <w:rFonts w:asciiTheme="minorHAnsi" w:hAnsiTheme="minorHAnsi" w:cstheme="minorHAnsi"/>
          <w:b/>
          <w:bCs/>
          <w:sz w:val="22"/>
          <w:szCs w:val="22"/>
        </w:rPr>
        <w:t>Program Expenditure Framework</w:t>
      </w:r>
      <w:r w:rsidRPr="00774130">
        <w:rPr>
          <w:rFonts w:asciiTheme="minorHAnsi" w:hAnsiTheme="minorHAnsi" w:cstheme="minorHAnsi"/>
          <w:sz w:val="22"/>
          <w:szCs w:val="22"/>
        </w:rPr>
        <w:t>. The Program expenditure framework is updated to:</w:t>
      </w:r>
      <w:r w:rsidR="00D6656A">
        <w:rPr>
          <w:rFonts w:asciiTheme="minorHAnsi" w:hAnsiTheme="minorHAnsi" w:cstheme="minorHAnsi"/>
          <w:sz w:val="22"/>
          <w:szCs w:val="22"/>
        </w:rPr>
        <w:t xml:space="preserve"> </w:t>
      </w:r>
      <w:r w:rsidRPr="00774130">
        <w:rPr>
          <w:rFonts w:asciiTheme="minorHAnsi" w:hAnsiTheme="minorHAnsi" w:cstheme="minorHAnsi"/>
          <w:sz w:val="22"/>
          <w:szCs w:val="22"/>
        </w:rPr>
        <w:t xml:space="preserve">(a) remove </w:t>
      </w:r>
      <w:r w:rsidRPr="00774130">
        <w:rPr>
          <w:rFonts w:asciiTheme="minorHAnsi" w:eastAsia="Times New Roman" w:hAnsiTheme="minorHAnsi" w:cstheme="minorHAnsi"/>
          <w:sz w:val="22"/>
          <w:szCs w:val="22"/>
        </w:rPr>
        <w:t xml:space="preserve">metering and billing for the cities of </w:t>
      </w:r>
      <w:proofErr w:type="spellStart"/>
      <w:r w:rsidRPr="00774130">
        <w:rPr>
          <w:rFonts w:asciiTheme="minorHAnsi" w:eastAsia="Times New Roman" w:hAnsiTheme="minorHAnsi" w:cstheme="minorHAnsi"/>
          <w:sz w:val="22"/>
          <w:szCs w:val="22"/>
        </w:rPr>
        <w:t>Istaravshan</w:t>
      </w:r>
      <w:proofErr w:type="spellEnd"/>
      <w:r w:rsidRPr="00774130">
        <w:rPr>
          <w:rFonts w:asciiTheme="minorHAnsi" w:eastAsia="Times New Roman" w:hAnsiTheme="minorHAnsi" w:cstheme="minorHAnsi"/>
          <w:sz w:val="22"/>
          <w:szCs w:val="22"/>
        </w:rPr>
        <w:t xml:space="preserve">, Isfara, and </w:t>
      </w:r>
      <w:proofErr w:type="spellStart"/>
      <w:r w:rsidRPr="00774130">
        <w:rPr>
          <w:rFonts w:asciiTheme="minorHAnsi" w:eastAsia="Times New Roman" w:hAnsiTheme="minorHAnsi" w:cstheme="minorHAnsi"/>
          <w:sz w:val="22"/>
          <w:szCs w:val="22"/>
        </w:rPr>
        <w:t>Konibodom</w:t>
      </w:r>
      <w:proofErr w:type="spellEnd"/>
      <w:r w:rsidRPr="00774130">
        <w:rPr>
          <w:rFonts w:asciiTheme="minorHAnsi" w:hAnsiTheme="minorHAnsi" w:cstheme="minorHAnsi"/>
          <w:sz w:val="22"/>
          <w:szCs w:val="22"/>
        </w:rPr>
        <w:t xml:space="preserve"> which were originally planned to be co-financed by AIIB, but were ultimately financed by ADB, EBRD, and EIB (but not as co-financing to the Program)</w:t>
      </w:r>
      <w:r w:rsidRPr="00774130">
        <w:rPr>
          <w:rFonts w:asciiTheme="minorHAnsi" w:eastAsia="Times New Roman" w:hAnsiTheme="minorHAnsi" w:cstheme="minorHAnsi"/>
          <w:sz w:val="22"/>
          <w:szCs w:val="22"/>
        </w:rPr>
        <w:t>; and (b) increase the size of the expenditure related to purchases of electricity and annual rehabilitation and upgrade of T&amp;D assets and, to some extent, Sangtuda-1 electricity purchases given the increase in the duration of the Program and the importance of these expenditures for achievement of financial viability and improvement of electricity supply reliability</w:t>
      </w:r>
      <w:r w:rsidRPr="00774130">
        <w:rPr>
          <w:rFonts w:asciiTheme="minorHAnsi" w:hAnsiTheme="minorHAnsi" w:cstheme="minorHAnsi"/>
          <w:sz w:val="22"/>
          <w:szCs w:val="22"/>
        </w:rPr>
        <w:t xml:space="preserve">. </w:t>
      </w:r>
      <w:r w:rsidRPr="001F0A1E">
        <w:rPr>
          <w:rFonts w:asciiTheme="minorHAnsi" w:hAnsiTheme="minorHAnsi" w:cstheme="minorHAnsi"/>
          <w:iCs/>
          <w:sz w:val="22"/>
          <w:szCs w:val="22"/>
        </w:rPr>
        <w:t>The</w:t>
      </w:r>
      <w:r w:rsidRPr="001F0A1E">
        <w:rPr>
          <w:rFonts w:asciiTheme="minorHAnsi" w:hAnsiTheme="minorHAnsi" w:cstheme="minorHAnsi"/>
          <w:sz w:val="22"/>
          <w:szCs w:val="22"/>
        </w:rPr>
        <w:t xml:space="preserve"> total cost of the Program remains unchanged at US$479 million over 20</w:t>
      </w:r>
      <w:r w:rsidR="00D33879">
        <w:rPr>
          <w:rFonts w:asciiTheme="minorHAnsi" w:hAnsiTheme="minorHAnsi" w:cstheme="minorHAnsi"/>
          <w:sz w:val="22"/>
          <w:szCs w:val="22"/>
        </w:rPr>
        <w:t>19</w:t>
      </w:r>
      <w:r w:rsidRPr="001F0A1E">
        <w:rPr>
          <w:rFonts w:asciiTheme="minorHAnsi" w:hAnsiTheme="minorHAnsi" w:cstheme="minorHAnsi"/>
          <w:sz w:val="22"/>
          <w:szCs w:val="22"/>
        </w:rPr>
        <w:t>-203</w:t>
      </w:r>
      <w:r w:rsidR="00D33879">
        <w:rPr>
          <w:rFonts w:asciiTheme="minorHAnsi" w:hAnsiTheme="minorHAnsi" w:cstheme="minorHAnsi"/>
          <w:sz w:val="22"/>
          <w:szCs w:val="22"/>
        </w:rPr>
        <w:t>2</w:t>
      </w:r>
      <w:r w:rsidRPr="001F0A1E">
        <w:rPr>
          <w:rFonts w:asciiTheme="minorHAnsi" w:hAnsiTheme="minorHAnsi" w:cstheme="minorHAnsi"/>
          <w:sz w:val="22"/>
          <w:szCs w:val="22"/>
        </w:rPr>
        <w:t>. Given that no new expenditure items are included, there is no need to update the fiduciary assessment of the Program.</w:t>
      </w:r>
    </w:p>
    <w:p w14:paraId="3E7674D3" w14:textId="77777777" w:rsidR="00106144" w:rsidRDefault="00106144" w:rsidP="00106144">
      <w:pPr>
        <w:pStyle w:val="Caption"/>
        <w:spacing w:after="0"/>
        <w:ind w:left="-360"/>
        <w:rPr>
          <w:b/>
          <w:bCs/>
          <w:i w:val="0"/>
          <w:iCs w:val="0"/>
          <w:color w:val="auto"/>
          <w:sz w:val="22"/>
          <w:szCs w:val="22"/>
        </w:rPr>
      </w:pPr>
    </w:p>
    <w:p w14:paraId="0A593341" w14:textId="77777777" w:rsidR="00106144" w:rsidRDefault="00106144" w:rsidP="00164336">
      <w:pPr>
        <w:pStyle w:val="Caption"/>
        <w:spacing w:after="0"/>
        <w:rPr>
          <w:b/>
          <w:bCs/>
          <w:i w:val="0"/>
          <w:iCs w:val="0"/>
          <w:color w:val="auto"/>
          <w:sz w:val="22"/>
          <w:szCs w:val="22"/>
        </w:rPr>
      </w:pPr>
    </w:p>
    <w:p w14:paraId="1585FD78" w14:textId="79A0AA25" w:rsidR="00106144" w:rsidRDefault="00106144" w:rsidP="00106144">
      <w:pPr>
        <w:pStyle w:val="Caption"/>
        <w:spacing w:after="0"/>
        <w:ind w:left="-360"/>
        <w:rPr>
          <w:b/>
          <w:bCs/>
          <w:i w:val="0"/>
          <w:iCs w:val="0"/>
          <w:color w:val="auto"/>
          <w:sz w:val="22"/>
          <w:szCs w:val="22"/>
        </w:rPr>
      </w:pPr>
    </w:p>
    <w:p w14:paraId="7F39A45F" w14:textId="77777777" w:rsidR="00C86408" w:rsidRPr="00C86408" w:rsidRDefault="00C86408" w:rsidP="00C86408"/>
    <w:p w14:paraId="2AF831AC" w14:textId="017235C8" w:rsidR="00704D6F" w:rsidRPr="00106144" w:rsidRDefault="007423BE" w:rsidP="00106144">
      <w:pPr>
        <w:pStyle w:val="Caption"/>
        <w:spacing w:after="0"/>
        <w:ind w:left="-360"/>
        <w:rPr>
          <w:b/>
          <w:bCs/>
          <w:i w:val="0"/>
          <w:iCs w:val="0"/>
          <w:color w:val="auto"/>
          <w:sz w:val="22"/>
          <w:szCs w:val="22"/>
        </w:rPr>
      </w:pPr>
      <w:r w:rsidRPr="007423BE">
        <w:rPr>
          <w:b/>
          <w:bCs/>
          <w:i w:val="0"/>
          <w:iCs w:val="0"/>
          <w:color w:val="auto"/>
          <w:sz w:val="22"/>
          <w:szCs w:val="22"/>
        </w:rPr>
        <w:lastRenderedPageBreak/>
        <w:t xml:space="preserve">Table </w:t>
      </w:r>
      <w:r w:rsidRPr="007423BE">
        <w:rPr>
          <w:b/>
          <w:bCs/>
          <w:i w:val="0"/>
          <w:iCs w:val="0"/>
          <w:color w:val="auto"/>
          <w:sz w:val="22"/>
          <w:szCs w:val="22"/>
        </w:rPr>
        <w:fldChar w:fldCharType="begin"/>
      </w:r>
      <w:r w:rsidRPr="007423BE">
        <w:rPr>
          <w:b/>
          <w:bCs/>
          <w:i w:val="0"/>
          <w:iCs w:val="0"/>
          <w:color w:val="auto"/>
          <w:sz w:val="22"/>
          <w:szCs w:val="22"/>
        </w:rPr>
        <w:instrText xml:space="preserve"> SEQ Table \* ARABIC </w:instrText>
      </w:r>
      <w:r w:rsidRPr="007423BE">
        <w:rPr>
          <w:b/>
          <w:bCs/>
          <w:i w:val="0"/>
          <w:iCs w:val="0"/>
          <w:color w:val="auto"/>
          <w:sz w:val="22"/>
          <w:szCs w:val="22"/>
        </w:rPr>
        <w:fldChar w:fldCharType="separate"/>
      </w:r>
      <w:r w:rsidR="00875DBA">
        <w:rPr>
          <w:b/>
          <w:bCs/>
          <w:i w:val="0"/>
          <w:iCs w:val="0"/>
          <w:noProof/>
          <w:color w:val="auto"/>
          <w:sz w:val="22"/>
          <w:szCs w:val="22"/>
        </w:rPr>
        <w:t>4</w:t>
      </w:r>
      <w:r w:rsidRPr="007423BE">
        <w:rPr>
          <w:b/>
          <w:bCs/>
          <w:i w:val="0"/>
          <w:iCs w:val="0"/>
          <w:color w:val="auto"/>
          <w:sz w:val="22"/>
          <w:szCs w:val="22"/>
        </w:rPr>
        <w:fldChar w:fldCharType="end"/>
      </w:r>
      <w:r w:rsidRPr="007423BE">
        <w:rPr>
          <w:b/>
          <w:bCs/>
          <w:i w:val="0"/>
          <w:iCs w:val="0"/>
          <w:color w:val="auto"/>
          <w:sz w:val="22"/>
          <w:szCs w:val="22"/>
        </w:rPr>
        <w:t xml:space="preserve">: </w:t>
      </w:r>
      <w:r w:rsidRPr="007423BE">
        <w:rPr>
          <w:rFonts w:cstheme="minorHAnsi"/>
          <w:b/>
          <w:bCs/>
          <w:i w:val="0"/>
          <w:iCs w:val="0"/>
          <w:color w:val="auto"/>
          <w:sz w:val="22"/>
          <w:szCs w:val="22"/>
        </w:rPr>
        <w:t>Updated Program Expenditure Framework</w:t>
      </w:r>
    </w:p>
    <w:tbl>
      <w:tblPr>
        <w:tblW w:w="5535"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2070"/>
        <w:gridCol w:w="2070"/>
        <w:gridCol w:w="1890"/>
      </w:tblGrid>
      <w:tr w:rsidR="002A6C3F" w:rsidRPr="002A6C3F" w14:paraId="35B44CFA" w14:textId="77777777" w:rsidTr="007B44F6">
        <w:trPr>
          <w:trHeight w:val="290"/>
          <w:tblHeader/>
        </w:trPr>
        <w:tc>
          <w:tcPr>
            <w:tcW w:w="2087" w:type="pct"/>
            <w:shd w:val="clear" w:color="auto" w:fill="D9D9D9" w:themeFill="background1" w:themeFillShade="D9"/>
            <w:noWrap/>
            <w:hideMark/>
          </w:tcPr>
          <w:p w14:paraId="2FC5A317" w14:textId="77777777" w:rsidR="002A6C3F" w:rsidRPr="002A6C3F" w:rsidRDefault="002A6C3F" w:rsidP="007B44F6">
            <w:pPr>
              <w:rPr>
                <w:rFonts w:asciiTheme="minorHAnsi" w:eastAsia="Times New Roman" w:hAnsiTheme="minorHAnsi" w:cstheme="minorHAnsi"/>
                <w:b/>
                <w:bCs/>
                <w:sz w:val="20"/>
                <w:szCs w:val="20"/>
              </w:rPr>
            </w:pPr>
            <w:r w:rsidRPr="002A6C3F">
              <w:rPr>
                <w:rFonts w:asciiTheme="minorHAnsi" w:eastAsia="Times New Roman" w:hAnsiTheme="minorHAnsi" w:cstheme="minorHAnsi"/>
                <w:b/>
                <w:bCs/>
                <w:sz w:val="20"/>
                <w:szCs w:val="20"/>
              </w:rPr>
              <w:t>Expenditure Items</w:t>
            </w:r>
          </w:p>
        </w:tc>
        <w:tc>
          <w:tcPr>
            <w:tcW w:w="1000" w:type="pct"/>
            <w:shd w:val="clear" w:color="auto" w:fill="D9D9D9" w:themeFill="background1" w:themeFillShade="D9"/>
            <w:noWrap/>
            <w:vAlign w:val="center"/>
            <w:hideMark/>
          </w:tcPr>
          <w:p w14:paraId="4C0E7DCD" w14:textId="77777777" w:rsidR="002A6C3F" w:rsidRPr="002A6C3F" w:rsidRDefault="002A6C3F" w:rsidP="007B44F6">
            <w:pPr>
              <w:jc w:val="center"/>
              <w:rPr>
                <w:rFonts w:asciiTheme="minorHAnsi" w:eastAsia="Times New Roman" w:hAnsiTheme="minorHAnsi" w:cstheme="minorHAnsi"/>
                <w:b/>
                <w:bCs/>
                <w:sz w:val="20"/>
                <w:szCs w:val="20"/>
              </w:rPr>
            </w:pPr>
            <w:r w:rsidRPr="002A6C3F">
              <w:rPr>
                <w:rFonts w:asciiTheme="minorHAnsi" w:eastAsia="Times New Roman" w:hAnsiTheme="minorHAnsi" w:cstheme="minorHAnsi"/>
                <w:b/>
                <w:bCs/>
                <w:sz w:val="20"/>
                <w:szCs w:val="20"/>
              </w:rPr>
              <w:t>Originally Planned Expenditures (US$)</w:t>
            </w:r>
          </w:p>
        </w:tc>
        <w:tc>
          <w:tcPr>
            <w:tcW w:w="1000" w:type="pct"/>
            <w:shd w:val="clear" w:color="auto" w:fill="D9D9D9" w:themeFill="background1" w:themeFillShade="D9"/>
            <w:noWrap/>
            <w:vAlign w:val="center"/>
            <w:hideMark/>
          </w:tcPr>
          <w:p w14:paraId="62FCF025" w14:textId="77777777" w:rsidR="002A6C3F" w:rsidRPr="002A6C3F" w:rsidRDefault="002A6C3F" w:rsidP="007B44F6">
            <w:pPr>
              <w:jc w:val="center"/>
              <w:rPr>
                <w:rFonts w:asciiTheme="minorHAnsi" w:eastAsia="Times New Roman" w:hAnsiTheme="minorHAnsi" w:cstheme="minorHAnsi"/>
                <w:b/>
                <w:bCs/>
                <w:sz w:val="20"/>
                <w:szCs w:val="20"/>
              </w:rPr>
            </w:pPr>
            <w:r w:rsidRPr="002A6C3F">
              <w:rPr>
                <w:rFonts w:asciiTheme="minorHAnsi" w:eastAsia="Times New Roman" w:hAnsiTheme="minorHAnsi" w:cstheme="minorHAnsi"/>
                <w:b/>
                <w:bCs/>
                <w:sz w:val="20"/>
                <w:szCs w:val="20"/>
              </w:rPr>
              <w:t>Actual, US$ (July 1</w:t>
            </w:r>
            <w:r w:rsidRPr="002A6C3F">
              <w:rPr>
                <w:rStyle w:val="FootnoteReference"/>
                <w:rFonts w:asciiTheme="minorHAnsi" w:hAnsiTheme="minorHAnsi" w:cstheme="minorHAnsi"/>
                <w:b/>
                <w:bCs/>
                <w:sz w:val="20"/>
                <w:szCs w:val="20"/>
              </w:rPr>
              <w:footnoteReference w:id="9"/>
            </w:r>
            <w:r w:rsidRPr="002A6C3F">
              <w:rPr>
                <w:rFonts w:asciiTheme="minorHAnsi" w:eastAsia="Times New Roman" w:hAnsiTheme="minorHAnsi" w:cstheme="minorHAnsi"/>
                <w:b/>
                <w:bCs/>
                <w:sz w:val="20"/>
                <w:szCs w:val="20"/>
              </w:rPr>
              <w:t>, 2020 - Dec. 31, 2021)</w:t>
            </w:r>
          </w:p>
        </w:tc>
        <w:tc>
          <w:tcPr>
            <w:tcW w:w="913" w:type="pct"/>
            <w:shd w:val="clear" w:color="auto" w:fill="D9D9D9" w:themeFill="background1" w:themeFillShade="D9"/>
            <w:noWrap/>
            <w:vAlign w:val="center"/>
            <w:hideMark/>
          </w:tcPr>
          <w:p w14:paraId="1C95B102" w14:textId="77777777" w:rsidR="002A6C3F" w:rsidRPr="002A6C3F" w:rsidRDefault="002A6C3F" w:rsidP="007B44F6">
            <w:pPr>
              <w:jc w:val="center"/>
              <w:rPr>
                <w:rFonts w:asciiTheme="minorHAnsi" w:eastAsia="Times New Roman" w:hAnsiTheme="minorHAnsi" w:cstheme="minorHAnsi"/>
                <w:b/>
                <w:bCs/>
                <w:sz w:val="20"/>
                <w:szCs w:val="20"/>
              </w:rPr>
            </w:pPr>
            <w:r w:rsidRPr="002A6C3F">
              <w:rPr>
                <w:rFonts w:asciiTheme="minorHAnsi" w:eastAsia="Times New Roman" w:hAnsiTheme="minorHAnsi" w:cstheme="minorHAnsi"/>
                <w:b/>
                <w:bCs/>
                <w:sz w:val="20"/>
                <w:szCs w:val="20"/>
              </w:rPr>
              <w:t>Updated Expenditures (US$)</w:t>
            </w:r>
          </w:p>
        </w:tc>
      </w:tr>
      <w:tr w:rsidR="002A6C3F" w:rsidRPr="002A6C3F" w14:paraId="5221B54C" w14:textId="77777777" w:rsidTr="007B44F6">
        <w:trPr>
          <w:trHeight w:val="290"/>
        </w:trPr>
        <w:tc>
          <w:tcPr>
            <w:tcW w:w="2087" w:type="pct"/>
            <w:shd w:val="clear" w:color="auto" w:fill="auto"/>
            <w:noWrap/>
            <w:vAlign w:val="center"/>
            <w:hideMark/>
          </w:tcPr>
          <w:p w14:paraId="60F9F5F3" w14:textId="77777777" w:rsidR="002A6C3F" w:rsidRPr="002A6C3F" w:rsidRDefault="002A6C3F" w:rsidP="007B44F6">
            <w:pPr>
              <w:rPr>
                <w:rFonts w:asciiTheme="minorHAnsi" w:eastAsia="Times New Roman" w:hAnsiTheme="minorHAnsi" w:cstheme="minorHAnsi"/>
                <w:sz w:val="20"/>
                <w:szCs w:val="20"/>
              </w:rPr>
            </w:pPr>
            <w:r w:rsidRPr="002A6C3F">
              <w:rPr>
                <w:rFonts w:asciiTheme="minorHAnsi" w:eastAsia="Times New Roman" w:hAnsiTheme="minorHAnsi" w:cstheme="minorHAnsi"/>
                <w:sz w:val="20"/>
                <w:szCs w:val="20"/>
              </w:rPr>
              <w:t>Cost of electricity from Sangtuda-1</w:t>
            </w:r>
          </w:p>
        </w:tc>
        <w:tc>
          <w:tcPr>
            <w:tcW w:w="1000" w:type="pct"/>
            <w:shd w:val="clear" w:color="auto" w:fill="auto"/>
            <w:noWrap/>
            <w:vAlign w:val="center"/>
            <w:hideMark/>
          </w:tcPr>
          <w:p w14:paraId="705D5107" w14:textId="77777777" w:rsidR="002A6C3F" w:rsidRPr="002A6C3F" w:rsidRDefault="002A6C3F" w:rsidP="007B44F6">
            <w:pPr>
              <w:jc w:val="center"/>
              <w:rPr>
                <w:rFonts w:asciiTheme="minorHAnsi" w:eastAsia="Times New Roman" w:hAnsiTheme="minorHAnsi" w:cstheme="minorHAnsi"/>
                <w:sz w:val="20"/>
                <w:szCs w:val="20"/>
              </w:rPr>
            </w:pPr>
            <w:r w:rsidRPr="002A6C3F">
              <w:rPr>
                <w:rFonts w:asciiTheme="minorHAnsi" w:eastAsia="Times New Roman" w:hAnsiTheme="minorHAnsi" w:cstheme="minorHAnsi"/>
                <w:sz w:val="20"/>
                <w:szCs w:val="20"/>
              </w:rPr>
              <w:t>387,317,536</w:t>
            </w:r>
          </w:p>
        </w:tc>
        <w:tc>
          <w:tcPr>
            <w:tcW w:w="1000" w:type="pct"/>
            <w:shd w:val="clear" w:color="auto" w:fill="auto"/>
            <w:noWrap/>
            <w:vAlign w:val="center"/>
            <w:hideMark/>
          </w:tcPr>
          <w:p w14:paraId="46FA6D02" w14:textId="77777777" w:rsidR="002A6C3F" w:rsidRPr="002A6C3F" w:rsidRDefault="002A6C3F" w:rsidP="007B44F6">
            <w:pPr>
              <w:jc w:val="center"/>
              <w:rPr>
                <w:rFonts w:asciiTheme="minorHAnsi" w:eastAsia="Times New Roman" w:hAnsiTheme="minorHAnsi" w:cstheme="minorHAnsi"/>
                <w:sz w:val="20"/>
                <w:szCs w:val="20"/>
              </w:rPr>
            </w:pPr>
            <w:r w:rsidRPr="002A6C3F">
              <w:rPr>
                <w:rFonts w:asciiTheme="minorHAnsi" w:eastAsia="Times New Roman" w:hAnsiTheme="minorHAnsi" w:cstheme="minorHAnsi"/>
                <w:sz w:val="20"/>
                <w:szCs w:val="20"/>
              </w:rPr>
              <w:t>50,091,153</w:t>
            </w:r>
          </w:p>
        </w:tc>
        <w:tc>
          <w:tcPr>
            <w:tcW w:w="913" w:type="pct"/>
            <w:shd w:val="clear" w:color="auto" w:fill="auto"/>
            <w:noWrap/>
            <w:vAlign w:val="center"/>
            <w:hideMark/>
          </w:tcPr>
          <w:p w14:paraId="1034BC1F" w14:textId="77777777" w:rsidR="002A6C3F" w:rsidRPr="002A6C3F" w:rsidRDefault="002A6C3F" w:rsidP="007B44F6">
            <w:pPr>
              <w:jc w:val="center"/>
              <w:rPr>
                <w:rFonts w:asciiTheme="minorHAnsi" w:eastAsia="Times New Roman" w:hAnsiTheme="minorHAnsi" w:cstheme="minorHAnsi"/>
                <w:sz w:val="20"/>
                <w:szCs w:val="20"/>
              </w:rPr>
            </w:pPr>
            <w:r w:rsidRPr="002A6C3F">
              <w:rPr>
                <w:rFonts w:asciiTheme="minorHAnsi" w:eastAsia="Times New Roman" w:hAnsiTheme="minorHAnsi" w:cstheme="minorHAnsi"/>
                <w:sz w:val="20"/>
                <w:szCs w:val="20"/>
              </w:rPr>
              <w:t>389,317,536</w:t>
            </w:r>
          </w:p>
        </w:tc>
      </w:tr>
      <w:tr w:rsidR="002A6C3F" w:rsidRPr="002A6C3F" w14:paraId="6DC9B9F3" w14:textId="77777777" w:rsidTr="007B44F6">
        <w:trPr>
          <w:trHeight w:val="290"/>
        </w:trPr>
        <w:tc>
          <w:tcPr>
            <w:tcW w:w="2087" w:type="pct"/>
            <w:shd w:val="clear" w:color="auto" w:fill="auto"/>
            <w:noWrap/>
            <w:vAlign w:val="center"/>
            <w:hideMark/>
          </w:tcPr>
          <w:p w14:paraId="7234FBC0" w14:textId="77777777" w:rsidR="002A6C3F" w:rsidRPr="002A6C3F" w:rsidRDefault="002A6C3F" w:rsidP="007B44F6">
            <w:pPr>
              <w:rPr>
                <w:rFonts w:asciiTheme="minorHAnsi" w:eastAsia="Times New Roman" w:hAnsiTheme="minorHAnsi" w:cstheme="minorHAnsi"/>
                <w:sz w:val="20"/>
                <w:szCs w:val="20"/>
              </w:rPr>
            </w:pPr>
            <w:r w:rsidRPr="002A6C3F">
              <w:rPr>
                <w:rFonts w:asciiTheme="minorHAnsi" w:eastAsia="Times New Roman" w:hAnsiTheme="minorHAnsi" w:cstheme="minorHAnsi"/>
                <w:sz w:val="20"/>
                <w:szCs w:val="20"/>
              </w:rPr>
              <w:t>Rehabilitation and upgrade of T&amp;D assets</w:t>
            </w:r>
          </w:p>
        </w:tc>
        <w:tc>
          <w:tcPr>
            <w:tcW w:w="1000" w:type="pct"/>
            <w:shd w:val="clear" w:color="auto" w:fill="auto"/>
            <w:noWrap/>
            <w:vAlign w:val="center"/>
            <w:hideMark/>
          </w:tcPr>
          <w:p w14:paraId="75AAD81A" w14:textId="77777777" w:rsidR="002A6C3F" w:rsidRPr="002A6C3F" w:rsidRDefault="002A6C3F" w:rsidP="007B44F6">
            <w:pPr>
              <w:jc w:val="center"/>
              <w:rPr>
                <w:rFonts w:asciiTheme="minorHAnsi" w:eastAsia="Times New Roman" w:hAnsiTheme="minorHAnsi" w:cstheme="minorHAnsi"/>
                <w:sz w:val="20"/>
                <w:szCs w:val="20"/>
              </w:rPr>
            </w:pPr>
            <w:r w:rsidRPr="002A6C3F">
              <w:rPr>
                <w:rFonts w:asciiTheme="minorHAnsi" w:eastAsia="Times New Roman" w:hAnsiTheme="minorHAnsi" w:cstheme="minorHAnsi"/>
                <w:sz w:val="20"/>
                <w:szCs w:val="20"/>
              </w:rPr>
              <w:t>65,442,749</w:t>
            </w:r>
          </w:p>
        </w:tc>
        <w:tc>
          <w:tcPr>
            <w:tcW w:w="1000" w:type="pct"/>
            <w:shd w:val="clear" w:color="auto" w:fill="auto"/>
            <w:noWrap/>
            <w:vAlign w:val="center"/>
            <w:hideMark/>
          </w:tcPr>
          <w:p w14:paraId="36315841" w14:textId="77777777" w:rsidR="002A6C3F" w:rsidRPr="002A6C3F" w:rsidRDefault="002A6C3F" w:rsidP="007B44F6">
            <w:pPr>
              <w:jc w:val="center"/>
              <w:rPr>
                <w:rFonts w:asciiTheme="minorHAnsi" w:eastAsia="Times New Roman" w:hAnsiTheme="minorHAnsi" w:cstheme="minorHAnsi"/>
                <w:sz w:val="20"/>
                <w:szCs w:val="20"/>
              </w:rPr>
            </w:pPr>
            <w:r w:rsidRPr="002A6C3F">
              <w:rPr>
                <w:rFonts w:asciiTheme="minorHAnsi" w:eastAsia="Times New Roman" w:hAnsiTheme="minorHAnsi" w:cstheme="minorHAnsi"/>
                <w:sz w:val="20"/>
                <w:szCs w:val="20"/>
              </w:rPr>
              <w:t>32,927,293</w:t>
            </w:r>
          </w:p>
        </w:tc>
        <w:tc>
          <w:tcPr>
            <w:tcW w:w="913" w:type="pct"/>
            <w:shd w:val="clear" w:color="auto" w:fill="auto"/>
            <w:noWrap/>
            <w:vAlign w:val="center"/>
            <w:hideMark/>
          </w:tcPr>
          <w:p w14:paraId="1E13845E" w14:textId="77777777" w:rsidR="002A6C3F" w:rsidRPr="002A6C3F" w:rsidRDefault="002A6C3F" w:rsidP="007B44F6">
            <w:pPr>
              <w:jc w:val="center"/>
              <w:rPr>
                <w:rFonts w:asciiTheme="minorHAnsi" w:eastAsia="Times New Roman" w:hAnsiTheme="minorHAnsi" w:cstheme="minorHAnsi"/>
                <w:sz w:val="20"/>
                <w:szCs w:val="20"/>
              </w:rPr>
            </w:pPr>
            <w:r w:rsidRPr="002A6C3F">
              <w:rPr>
                <w:rFonts w:asciiTheme="minorHAnsi" w:eastAsia="Times New Roman" w:hAnsiTheme="minorHAnsi" w:cstheme="minorHAnsi"/>
                <w:sz w:val="20"/>
                <w:szCs w:val="20"/>
              </w:rPr>
              <w:t>87,522,507</w:t>
            </w:r>
          </w:p>
        </w:tc>
      </w:tr>
      <w:tr w:rsidR="002A6C3F" w:rsidRPr="002A6C3F" w14:paraId="4124CDAE" w14:textId="77777777" w:rsidTr="007B44F6">
        <w:trPr>
          <w:trHeight w:val="290"/>
        </w:trPr>
        <w:tc>
          <w:tcPr>
            <w:tcW w:w="2087" w:type="pct"/>
            <w:shd w:val="clear" w:color="auto" w:fill="auto"/>
            <w:noWrap/>
            <w:vAlign w:val="center"/>
            <w:hideMark/>
          </w:tcPr>
          <w:p w14:paraId="6EEF9B22" w14:textId="77777777" w:rsidR="002A6C3F" w:rsidRPr="002A6C3F" w:rsidRDefault="002A6C3F" w:rsidP="007B44F6">
            <w:pPr>
              <w:jc w:val="right"/>
              <w:rPr>
                <w:rFonts w:asciiTheme="minorHAnsi" w:eastAsia="Times New Roman" w:hAnsiTheme="minorHAnsi" w:cstheme="minorHAnsi"/>
                <w:i/>
                <w:iCs/>
                <w:sz w:val="20"/>
                <w:szCs w:val="20"/>
              </w:rPr>
            </w:pPr>
            <w:r w:rsidRPr="002A6C3F">
              <w:rPr>
                <w:rFonts w:asciiTheme="minorHAnsi" w:eastAsia="Times New Roman" w:hAnsiTheme="minorHAnsi" w:cstheme="minorHAnsi"/>
                <w:i/>
                <w:iCs/>
                <w:sz w:val="20"/>
                <w:szCs w:val="20"/>
              </w:rPr>
              <w:t>Equipment and materials</w:t>
            </w:r>
          </w:p>
        </w:tc>
        <w:tc>
          <w:tcPr>
            <w:tcW w:w="1000" w:type="pct"/>
            <w:shd w:val="clear" w:color="auto" w:fill="auto"/>
            <w:noWrap/>
            <w:vAlign w:val="center"/>
            <w:hideMark/>
          </w:tcPr>
          <w:p w14:paraId="791F4AEE" w14:textId="77777777" w:rsidR="002A6C3F" w:rsidRPr="002A6C3F" w:rsidRDefault="002A6C3F" w:rsidP="007B44F6">
            <w:pPr>
              <w:jc w:val="center"/>
              <w:rPr>
                <w:rFonts w:asciiTheme="minorHAnsi" w:eastAsia="Times New Roman" w:hAnsiTheme="minorHAnsi" w:cstheme="minorHAnsi"/>
                <w:i/>
                <w:iCs/>
                <w:sz w:val="20"/>
                <w:szCs w:val="20"/>
              </w:rPr>
            </w:pPr>
            <w:r w:rsidRPr="002A6C3F">
              <w:rPr>
                <w:rFonts w:asciiTheme="minorHAnsi" w:eastAsia="Times New Roman" w:hAnsiTheme="minorHAnsi" w:cstheme="minorHAnsi"/>
                <w:i/>
                <w:iCs/>
                <w:sz w:val="20"/>
                <w:szCs w:val="20"/>
              </w:rPr>
              <w:t>45,541,074</w:t>
            </w:r>
          </w:p>
        </w:tc>
        <w:tc>
          <w:tcPr>
            <w:tcW w:w="1000" w:type="pct"/>
            <w:shd w:val="clear" w:color="auto" w:fill="auto"/>
            <w:noWrap/>
            <w:vAlign w:val="center"/>
            <w:hideMark/>
          </w:tcPr>
          <w:p w14:paraId="408A75BC" w14:textId="77777777" w:rsidR="002A6C3F" w:rsidRPr="002A6C3F" w:rsidRDefault="002A6C3F" w:rsidP="007B44F6">
            <w:pPr>
              <w:jc w:val="center"/>
              <w:rPr>
                <w:rFonts w:asciiTheme="minorHAnsi" w:eastAsia="Times New Roman" w:hAnsiTheme="minorHAnsi" w:cstheme="minorHAnsi"/>
                <w:sz w:val="20"/>
                <w:szCs w:val="20"/>
              </w:rPr>
            </w:pPr>
            <w:r w:rsidRPr="002A6C3F">
              <w:rPr>
                <w:rFonts w:asciiTheme="minorHAnsi" w:eastAsia="Times New Roman" w:hAnsiTheme="minorHAnsi" w:cstheme="minorHAnsi"/>
                <w:sz w:val="20"/>
                <w:szCs w:val="20"/>
              </w:rPr>
              <w:t>23,473,359</w:t>
            </w:r>
          </w:p>
        </w:tc>
        <w:tc>
          <w:tcPr>
            <w:tcW w:w="913" w:type="pct"/>
            <w:shd w:val="clear" w:color="auto" w:fill="auto"/>
            <w:noWrap/>
            <w:vAlign w:val="center"/>
            <w:hideMark/>
          </w:tcPr>
          <w:p w14:paraId="1AD38F15" w14:textId="77777777" w:rsidR="002A6C3F" w:rsidRPr="002A6C3F" w:rsidRDefault="002A6C3F" w:rsidP="007B44F6">
            <w:pPr>
              <w:jc w:val="center"/>
              <w:rPr>
                <w:rFonts w:asciiTheme="minorHAnsi" w:eastAsia="Times New Roman" w:hAnsiTheme="minorHAnsi" w:cstheme="minorHAnsi"/>
                <w:sz w:val="20"/>
                <w:szCs w:val="20"/>
              </w:rPr>
            </w:pPr>
            <w:r w:rsidRPr="002A6C3F">
              <w:rPr>
                <w:rFonts w:asciiTheme="minorHAnsi" w:eastAsia="Times New Roman" w:hAnsiTheme="minorHAnsi" w:cstheme="minorHAnsi"/>
                <w:sz w:val="20"/>
                <w:szCs w:val="20"/>
              </w:rPr>
              <w:t>58,620,832</w:t>
            </w:r>
          </w:p>
        </w:tc>
      </w:tr>
      <w:tr w:rsidR="002A6C3F" w:rsidRPr="002A6C3F" w14:paraId="380E468A" w14:textId="77777777" w:rsidTr="007B44F6">
        <w:trPr>
          <w:trHeight w:val="290"/>
        </w:trPr>
        <w:tc>
          <w:tcPr>
            <w:tcW w:w="2087" w:type="pct"/>
            <w:shd w:val="clear" w:color="auto" w:fill="auto"/>
            <w:noWrap/>
            <w:vAlign w:val="center"/>
            <w:hideMark/>
          </w:tcPr>
          <w:p w14:paraId="3BF356C4" w14:textId="77777777" w:rsidR="002A6C3F" w:rsidRPr="002A6C3F" w:rsidRDefault="002A6C3F" w:rsidP="007B44F6">
            <w:pPr>
              <w:jc w:val="right"/>
              <w:rPr>
                <w:rFonts w:asciiTheme="minorHAnsi" w:eastAsia="Times New Roman" w:hAnsiTheme="minorHAnsi" w:cstheme="minorHAnsi"/>
                <w:i/>
                <w:iCs/>
                <w:sz w:val="20"/>
                <w:szCs w:val="20"/>
              </w:rPr>
            </w:pPr>
            <w:r w:rsidRPr="002A6C3F">
              <w:rPr>
                <w:rFonts w:asciiTheme="minorHAnsi" w:eastAsia="Times New Roman" w:hAnsiTheme="minorHAnsi" w:cstheme="minorHAnsi"/>
                <w:i/>
                <w:iCs/>
                <w:sz w:val="20"/>
                <w:szCs w:val="20"/>
              </w:rPr>
              <w:t xml:space="preserve">Installation and other services </w:t>
            </w:r>
          </w:p>
        </w:tc>
        <w:tc>
          <w:tcPr>
            <w:tcW w:w="1000" w:type="pct"/>
            <w:shd w:val="clear" w:color="auto" w:fill="auto"/>
            <w:noWrap/>
            <w:vAlign w:val="center"/>
            <w:hideMark/>
          </w:tcPr>
          <w:p w14:paraId="01546CC8" w14:textId="77777777" w:rsidR="002A6C3F" w:rsidRPr="002A6C3F" w:rsidRDefault="002A6C3F" w:rsidP="007B44F6">
            <w:pPr>
              <w:jc w:val="center"/>
              <w:rPr>
                <w:rFonts w:asciiTheme="minorHAnsi" w:eastAsia="Times New Roman" w:hAnsiTheme="minorHAnsi" w:cstheme="minorHAnsi"/>
                <w:i/>
                <w:iCs/>
                <w:sz w:val="20"/>
                <w:szCs w:val="20"/>
              </w:rPr>
            </w:pPr>
            <w:r w:rsidRPr="002A6C3F">
              <w:rPr>
                <w:rFonts w:asciiTheme="minorHAnsi" w:eastAsia="Times New Roman" w:hAnsiTheme="minorHAnsi" w:cstheme="minorHAnsi"/>
                <w:i/>
                <w:iCs/>
                <w:sz w:val="20"/>
                <w:szCs w:val="20"/>
              </w:rPr>
              <w:t>11,111,069</w:t>
            </w:r>
          </w:p>
        </w:tc>
        <w:tc>
          <w:tcPr>
            <w:tcW w:w="1000" w:type="pct"/>
            <w:shd w:val="clear" w:color="auto" w:fill="auto"/>
            <w:noWrap/>
            <w:vAlign w:val="center"/>
            <w:hideMark/>
          </w:tcPr>
          <w:p w14:paraId="1EDDE463" w14:textId="77777777" w:rsidR="002A6C3F" w:rsidRPr="002A6C3F" w:rsidRDefault="002A6C3F" w:rsidP="007B44F6">
            <w:pPr>
              <w:jc w:val="center"/>
              <w:rPr>
                <w:rFonts w:asciiTheme="minorHAnsi" w:eastAsia="Times New Roman" w:hAnsiTheme="minorHAnsi" w:cstheme="minorHAnsi"/>
                <w:i/>
                <w:iCs/>
                <w:sz w:val="20"/>
                <w:szCs w:val="20"/>
              </w:rPr>
            </w:pPr>
            <w:r w:rsidRPr="002A6C3F">
              <w:rPr>
                <w:rFonts w:asciiTheme="minorHAnsi" w:eastAsia="Times New Roman" w:hAnsiTheme="minorHAnsi" w:cstheme="minorHAnsi"/>
                <w:i/>
                <w:iCs/>
                <w:sz w:val="20"/>
                <w:szCs w:val="20"/>
              </w:rPr>
              <w:t>9,453,934</w:t>
            </w:r>
          </w:p>
        </w:tc>
        <w:tc>
          <w:tcPr>
            <w:tcW w:w="913" w:type="pct"/>
            <w:shd w:val="clear" w:color="auto" w:fill="auto"/>
            <w:noWrap/>
            <w:vAlign w:val="center"/>
            <w:hideMark/>
          </w:tcPr>
          <w:p w14:paraId="418F787E" w14:textId="77777777" w:rsidR="002A6C3F" w:rsidRPr="002A6C3F" w:rsidRDefault="002A6C3F" w:rsidP="007B44F6">
            <w:pPr>
              <w:jc w:val="center"/>
              <w:rPr>
                <w:rFonts w:asciiTheme="minorHAnsi" w:eastAsia="Times New Roman" w:hAnsiTheme="minorHAnsi" w:cstheme="minorHAnsi"/>
                <w:i/>
                <w:iCs/>
                <w:sz w:val="20"/>
                <w:szCs w:val="20"/>
              </w:rPr>
            </w:pPr>
            <w:r w:rsidRPr="002A6C3F">
              <w:rPr>
                <w:rFonts w:asciiTheme="minorHAnsi" w:eastAsia="Times New Roman" w:hAnsiTheme="minorHAnsi" w:cstheme="minorHAnsi"/>
                <w:i/>
                <w:iCs/>
                <w:sz w:val="20"/>
                <w:szCs w:val="20"/>
              </w:rPr>
              <w:t>20,111,069</w:t>
            </w:r>
          </w:p>
        </w:tc>
      </w:tr>
      <w:tr w:rsidR="002A6C3F" w:rsidRPr="002A6C3F" w14:paraId="235879DD" w14:textId="77777777" w:rsidTr="007B44F6">
        <w:trPr>
          <w:trHeight w:val="290"/>
        </w:trPr>
        <w:tc>
          <w:tcPr>
            <w:tcW w:w="2087" w:type="pct"/>
            <w:shd w:val="clear" w:color="auto" w:fill="auto"/>
            <w:noWrap/>
            <w:vAlign w:val="center"/>
            <w:hideMark/>
          </w:tcPr>
          <w:p w14:paraId="16B4E651" w14:textId="77777777" w:rsidR="002A6C3F" w:rsidRPr="002A6C3F" w:rsidRDefault="002A6C3F" w:rsidP="007B44F6">
            <w:pPr>
              <w:jc w:val="right"/>
              <w:rPr>
                <w:rFonts w:asciiTheme="minorHAnsi" w:eastAsia="Times New Roman" w:hAnsiTheme="minorHAnsi" w:cstheme="minorHAnsi"/>
                <w:i/>
                <w:iCs/>
                <w:sz w:val="20"/>
                <w:szCs w:val="20"/>
              </w:rPr>
            </w:pPr>
            <w:r w:rsidRPr="002A6C3F">
              <w:rPr>
                <w:rFonts w:asciiTheme="minorHAnsi" w:eastAsia="Times New Roman" w:hAnsiTheme="minorHAnsi" w:cstheme="minorHAnsi"/>
                <w:i/>
                <w:iCs/>
                <w:sz w:val="20"/>
                <w:szCs w:val="20"/>
              </w:rPr>
              <w:t>Commissioning and testing</w:t>
            </w:r>
          </w:p>
        </w:tc>
        <w:tc>
          <w:tcPr>
            <w:tcW w:w="1000" w:type="pct"/>
            <w:shd w:val="clear" w:color="auto" w:fill="auto"/>
            <w:noWrap/>
            <w:vAlign w:val="center"/>
            <w:hideMark/>
          </w:tcPr>
          <w:p w14:paraId="34F45E29" w14:textId="77777777" w:rsidR="002A6C3F" w:rsidRPr="002A6C3F" w:rsidRDefault="002A6C3F" w:rsidP="007B44F6">
            <w:pPr>
              <w:jc w:val="center"/>
              <w:rPr>
                <w:rFonts w:asciiTheme="minorHAnsi" w:eastAsia="Times New Roman" w:hAnsiTheme="minorHAnsi" w:cstheme="minorHAnsi"/>
                <w:i/>
                <w:iCs/>
                <w:sz w:val="20"/>
                <w:szCs w:val="20"/>
              </w:rPr>
            </w:pPr>
            <w:r w:rsidRPr="002A6C3F">
              <w:rPr>
                <w:rFonts w:asciiTheme="minorHAnsi" w:eastAsia="Times New Roman" w:hAnsiTheme="minorHAnsi" w:cstheme="minorHAnsi"/>
                <w:i/>
                <w:iCs/>
                <w:sz w:val="20"/>
                <w:szCs w:val="20"/>
              </w:rPr>
              <w:t>3,944,786</w:t>
            </w:r>
          </w:p>
        </w:tc>
        <w:tc>
          <w:tcPr>
            <w:tcW w:w="1000" w:type="pct"/>
            <w:shd w:val="clear" w:color="auto" w:fill="auto"/>
            <w:noWrap/>
            <w:vAlign w:val="center"/>
            <w:hideMark/>
          </w:tcPr>
          <w:p w14:paraId="1DCD0F3B" w14:textId="77777777" w:rsidR="002A6C3F" w:rsidRPr="002A6C3F" w:rsidRDefault="002A6C3F" w:rsidP="007B44F6">
            <w:pPr>
              <w:jc w:val="center"/>
              <w:rPr>
                <w:rFonts w:asciiTheme="minorHAnsi" w:eastAsia="Times New Roman" w:hAnsiTheme="minorHAnsi" w:cstheme="minorHAnsi"/>
                <w:i/>
                <w:iCs/>
                <w:sz w:val="20"/>
                <w:szCs w:val="20"/>
              </w:rPr>
            </w:pPr>
            <w:r w:rsidRPr="002A6C3F">
              <w:rPr>
                <w:rFonts w:asciiTheme="minorHAnsi" w:eastAsia="Times New Roman" w:hAnsiTheme="minorHAnsi" w:cstheme="minorHAnsi"/>
                <w:i/>
                <w:iCs/>
                <w:sz w:val="20"/>
                <w:szCs w:val="20"/>
              </w:rPr>
              <w:t>0</w:t>
            </w:r>
          </w:p>
        </w:tc>
        <w:tc>
          <w:tcPr>
            <w:tcW w:w="913" w:type="pct"/>
            <w:shd w:val="clear" w:color="auto" w:fill="auto"/>
            <w:noWrap/>
            <w:vAlign w:val="center"/>
            <w:hideMark/>
          </w:tcPr>
          <w:p w14:paraId="5ECE1715" w14:textId="77777777" w:rsidR="002A6C3F" w:rsidRPr="002A6C3F" w:rsidRDefault="002A6C3F" w:rsidP="007B44F6">
            <w:pPr>
              <w:jc w:val="center"/>
              <w:rPr>
                <w:rFonts w:asciiTheme="minorHAnsi" w:eastAsia="Times New Roman" w:hAnsiTheme="minorHAnsi" w:cstheme="minorHAnsi"/>
                <w:i/>
                <w:iCs/>
                <w:sz w:val="20"/>
                <w:szCs w:val="20"/>
              </w:rPr>
            </w:pPr>
            <w:r w:rsidRPr="002A6C3F">
              <w:rPr>
                <w:rFonts w:asciiTheme="minorHAnsi" w:eastAsia="Times New Roman" w:hAnsiTheme="minorHAnsi" w:cstheme="minorHAnsi"/>
                <w:i/>
                <w:iCs/>
                <w:sz w:val="20"/>
                <w:szCs w:val="20"/>
              </w:rPr>
              <w:t>3,944,786</w:t>
            </w:r>
          </w:p>
        </w:tc>
      </w:tr>
      <w:tr w:rsidR="002A6C3F" w:rsidRPr="002A6C3F" w14:paraId="6D8757E5" w14:textId="77777777" w:rsidTr="007B44F6">
        <w:trPr>
          <w:trHeight w:val="290"/>
        </w:trPr>
        <w:tc>
          <w:tcPr>
            <w:tcW w:w="2087" w:type="pct"/>
            <w:shd w:val="clear" w:color="auto" w:fill="auto"/>
            <w:noWrap/>
            <w:vAlign w:val="center"/>
            <w:hideMark/>
          </w:tcPr>
          <w:p w14:paraId="1447E915" w14:textId="77777777" w:rsidR="002A6C3F" w:rsidRPr="002A6C3F" w:rsidRDefault="002A6C3F" w:rsidP="007B44F6">
            <w:pPr>
              <w:jc w:val="right"/>
              <w:rPr>
                <w:rFonts w:asciiTheme="minorHAnsi" w:eastAsia="Times New Roman" w:hAnsiTheme="minorHAnsi" w:cstheme="minorHAnsi"/>
                <w:i/>
                <w:iCs/>
                <w:sz w:val="20"/>
                <w:szCs w:val="20"/>
              </w:rPr>
            </w:pPr>
            <w:r w:rsidRPr="002A6C3F">
              <w:rPr>
                <w:rFonts w:asciiTheme="minorHAnsi" w:eastAsia="Times New Roman" w:hAnsiTheme="minorHAnsi" w:cstheme="minorHAnsi"/>
                <w:i/>
                <w:iCs/>
                <w:sz w:val="20"/>
                <w:szCs w:val="20"/>
              </w:rPr>
              <w:t>Shipment, Insurance and Contingencies</w:t>
            </w:r>
          </w:p>
        </w:tc>
        <w:tc>
          <w:tcPr>
            <w:tcW w:w="1000" w:type="pct"/>
            <w:shd w:val="clear" w:color="auto" w:fill="auto"/>
            <w:noWrap/>
            <w:vAlign w:val="center"/>
            <w:hideMark/>
          </w:tcPr>
          <w:p w14:paraId="25C57D48" w14:textId="77777777" w:rsidR="002A6C3F" w:rsidRPr="002A6C3F" w:rsidRDefault="002A6C3F" w:rsidP="007B44F6">
            <w:pPr>
              <w:jc w:val="center"/>
              <w:rPr>
                <w:rFonts w:asciiTheme="minorHAnsi" w:eastAsia="Times New Roman" w:hAnsiTheme="minorHAnsi" w:cstheme="minorHAnsi"/>
                <w:i/>
                <w:iCs/>
                <w:sz w:val="20"/>
                <w:szCs w:val="20"/>
              </w:rPr>
            </w:pPr>
            <w:r w:rsidRPr="002A6C3F">
              <w:rPr>
                <w:rFonts w:asciiTheme="minorHAnsi" w:eastAsia="Times New Roman" w:hAnsiTheme="minorHAnsi" w:cstheme="minorHAnsi"/>
                <w:i/>
                <w:iCs/>
                <w:sz w:val="20"/>
                <w:szCs w:val="20"/>
              </w:rPr>
              <w:t>4,845,820</w:t>
            </w:r>
          </w:p>
        </w:tc>
        <w:tc>
          <w:tcPr>
            <w:tcW w:w="1000" w:type="pct"/>
            <w:shd w:val="clear" w:color="auto" w:fill="auto"/>
            <w:noWrap/>
            <w:vAlign w:val="center"/>
            <w:hideMark/>
          </w:tcPr>
          <w:p w14:paraId="246404E8" w14:textId="77777777" w:rsidR="002A6C3F" w:rsidRPr="002A6C3F" w:rsidRDefault="002A6C3F" w:rsidP="007B44F6">
            <w:pPr>
              <w:jc w:val="center"/>
              <w:rPr>
                <w:rFonts w:asciiTheme="minorHAnsi" w:eastAsia="Times New Roman" w:hAnsiTheme="minorHAnsi" w:cstheme="minorHAnsi"/>
                <w:i/>
                <w:iCs/>
                <w:sz w:val="20"/>
                <w:szCs w:val="20"/>
              </w:rPr>
            </w:pPr>
            <w:r w:rsidRPr="002A6C3F">
              <w:rPr>
                <w:rFonts w:asciiTheme="minorHAnsi" w:eastAsia="Times New Roman" w:hAnsiTheme="minorHAnsi" w:cstheme="minorHAnsi"/>
                <w:i/>
                <w:iCs/>
                <w:sz w:val="20"/>
                <w:szCs w:val="20"/>
              </w:rPr>
              <w:t>0</w:t>
            </w:r>
          </w:p>
        </w:tc>
        <w:tc>
          <w:tcPr>
            <w:tcW w:w="913" w:type="pct"/>
            <w:shd w:val="clear" w:color="auto" w:fill="auto"/>
            <w:noWrap/>
            <w:vAlign w:val="center"/>
            <w:hideMark/>
          </w:tcPr>
          <w:p w14:paraId="2C1CF247" w14:textId="77777777" w:rsidR="002A6C3F" w:rsidRPr="002A6C3F" w:rsidRDefault="002A6C3F" w:rsidP="007B44F6">
            <w:pPr>
              <w:jc w:val="center"/>
              <w:rPr>
                <w:rFonts w:asciiTheme="minorHAnsi" w:eastAsia="Times New Roman" w:hAnsiTheme="minorHAnsi" w:cstheme="minorHAnsi"/>
                <w:i/>
                <w:iCs/>
                <w:sz w:val="20"/>
                <w:szCs w:val="20"/>
              </w:rPr>
            </w:pPr>
            <w:r w:rsidRPr="002A6C3F">
              <w:rPr>
                <w:rFonts w:asciiTheme="minorHAnsi" w:eastAsia="Times New Roman" w:hAnsiTheme="minorHAnsi" w:cstheme="minorHAnsi"/>
                <w:i/>
                <w:iCs/>
                <w:sz w:val="20"/>
                <w:szCs w:val="20"/>
              </w:rPr>
              <w:t>4,845,820</w:t>
            </w:r>
          </w:p>
        </w:tc>
      </w:tr>
      <w:tr w:rsidR="002A6C3F" w:rsidRPr="002A6C3F" w14:paraId="50516585" w14:textId="77777777" w:rsidTr="007B44F6">
        <w:trPr>
          <w:trHeight w:val="520"/>
        </w:trPr>
        <w:tc>
          <w:tcPr>
            <w:tcW w:w="2087" w:type="pct"/>
            <w:shd w:val="clear" w:color="auto" w:fill="auto"/>
            <w:vAlign w:val="center"/>
            <w:hideMark/>
          </w:tcPr>
          <w:p w14:paraId="7C43DEAE" w14:textId="77777777" w:rsidR="002A6C3F" w:rsidRPr="002A6C3F" w:rsidRDefault="002A6C3F" w:rsidP="007B44F6">
            <w:pPr>
              <w:rPr>
                <w:rFonts w:asciiTheme="minorHAnsi" w:eastAsia="Times New Roman" w:hAnsiTheme="minorHAnsi" w:cstheme="minorHAnsi"/>
                <w:sz w:val="20"/>
                <w:szCs w:val="20"/>
              </w:rPr>
            </w:pPr>
            <w:r w:rsidRPr="002A6C3F">
              <w:rPr>
                <w:rFonts w:asciiTheme="minorHAnsi" w:eastAsia="Times New Roman" w:hAnsiTheme="minorHAnsi" w:cstheme="minorHAnsi"/>
                <w:sz w:val="20"/>
                <w:szCs w:val="20"/>
              </w:rPr>
              <w:t xml:space="preserve">Metering and billing for the cities of </w:t>
            </w:r>
            <w:proofErr w:type="spellStart"/>
            <w:r w:rsidRPr="002A6C3F">
              <w:rPr>
                <w:rFonts w:asciiTheme="minorHAnsi" w:eastAsia="Times New Roman" w:hAnsiTheme="minorHAnsi" w:cstheme="minorHAnsi"/>
                <w:sz w:val="20"/>
                <w:szCs w:val="20"/>
              </w:rPr>
              <w:t>Istaravshan</w:t>
            </w:r>
            <w:proofErr w:type="spellEnd"/>
            <w:r w:rsidRPr="002A6C3F">
              <w:rPr>
                <w:rFonts w:asciiTheme="minorHAnsi" w:eastAsia="Times New Roman" w:hAnsiTheme="minorHAnsi" w:cstheme="minorHAnsi"/>
                <w:sz w:val="20"/>
                <w:szCs w:val="20"/>
              </w:rPr>
              <w:t xml:space="preserve">, Isfara, and </w:t>
            </w:r>
            <w:proofErr w:type="spellStart"/>
            <w:r w:rsidRPr="002A6C3F">
              <w:rPr>
                <w:rFonts w:asciiTheme="minorHAnsi" w:eastAsia="Times New Roman" w:hAnsiTheme="minorHAnsi" w:cstheme="minorHAnsi"/>
                <w:sz w:val="20"/>
                <w:szCs w:val="20"/>
              </w:rPr>
              <w:t>Konibodom</w:t>
            </w:r>
            <w:proofErr w:type="spellEnd"/>
          </w:p>
        </w:tc>
        <w:tc>
          <w:tcPr>
            <w:tcW w:w="1000" w:type="pct"/>
            <w:shd w:val="clear" w:color="auto" w:fill="auto"/>
            <w:noWrap/>
            <w:vAlign w:val="center"/>
            <w:hideMark/>
          </w:tcPr>
          <w:p w14:paraId="52C2A807" w14:textId="77777777" w:rsidR="002A6C3F" w:rsidRPr="002A6C3F" w:rsidRDefault="002A6C3F" w:rsidP="007B44F6">
            <w:pPr>
              <w:jc w:val="center"/>
              <w:rPr>
                <w:rFonts w:asciiTheme="minorHAnsi" w:eastAsia="Times New Roman" w:hAnsiTheme="minorHAnsi" w:cstheme="minorHAnsi"/>
                <w:sz w:val="20"/>
                <w:szCs w:val="20"/>
              </w:rPr>
            </w:pPr>
            <w:r w:rsidRPr="002A6C3F">
              <w:rPr>
                <w:rFonts w:asciiTheme="minorHAnsi" w:eastAsia="Times New Roman" w:hAnsiTheme="minorHAnsi" w:cstheme="minorHAnsi"/>
                <w:sz w:val="20"/>
                <w:szCs w:val="20"/>
              </w:rPr>
              <w:t>23,979,758</w:t>
            </w:r>
          </w:p>
        </w:tc>
        <w:tc>
          <w:tcPr>
            <w:tcW w:w="1000" w:type="pct"/>
            <w:shd w:val="clear" w:color="auto" w:fill="auto"/>
            <w:noWrap/>
            <w:vAlign w:val="center"/>
            <w:hideMark/>
          </w:tcPr>
          <w:p w14:paraId="10B50743" w14:textId="77777777" w:rsidR="002A6C3F" w:rsidRPr="002A6C3F" w:rsidRDefault="002A6C3F" w:rsidP="007B44F6">
            <w:pPr>
              <w:jc w:val="center"/>
              <w:rPr>
                <w:rFonts w:asciiTheme="minorHAnsi" w:eastAsia="Times New Roman" w:hAnsiTheme="minorHAnsi" w:cstheme="minorHAnsi"/>
                <w:sz w:val="20"/>
                <w:szCs w:val="20"/>
              </w:rPr>
            </w:pPr>
            <w:r w:rsidRPr="002A6C3F">
              <w:rPr>
                <w:rFonts w:asciiTheme="minorHAnsi" w:eastAsia="Times New Roman" w:hAnsiTheme="minorHAnsi" w:cstheme="minorHAnsi"/>
                <w:sz w:val="20"/>
                <w:szCs w:val="20"/>
              </w:rPr>
              <w:t>0</w:t>
            </w:r>
          </w:p>
        </w:tc>
        <w:tc>
          <w:tcPr>
            <w:tcW w:w="913" w:type="pct"/>
            <w:shd w:val="clear" w:color="auto" w:fill="auto"/>
            <w:noWrap/>
            <w:vAlign w:val="center"/>
            <w:hideMark/>
          </w:tcPr>
          <w:p w14:paraId="0BE44C57" w14:textId="77777777" w:rsidR="002A6C3F" w:rsidRPr="002A6C3F" w:rsidRDefault="002A6C3F" w:rsidP="007B44F6">
            <w:pPr>
              <w:jc w:val="center"/>
              <w:rPr>
                <w:rFonts w:asciiTheme="minorHAnsi" w:eastAsia="Times New Roman" w:hAnsiTheme="minorHAnsi" w:cstheme="minorHAnsi"/>
                <w:sz w:val="20"/>
                <w:szCs w:val="20"/>
              </w:rPr>
            </w:pPr>
            <w:r w:rsidRPr="002A6C3F">
              <w:rPr>
                <w:rFonts w:asciiTheme="minorHAnsi" w:eastAsia="Times New Roman" w:hAnsiTheme="minorHAnsi" w:cstheme="minorHAnsi"/>
                <w:sz w:val="20"/>
                <w:szCs w:val="20"/>
              </w:rPr>
              <w:t>0</w:t>
            </w:r>
          </w:p>
        </w:tc>
      </w:tr>
      <w:tr w:rsidR="002A6C3F" w:rsidRPr="002A6C3F" w14:paraId="49AC3BEB" w14:textId="77777777" w:rsidTr="007B44F6">
        <w:trPr>
          <w:trHeight w:val="290"/>
        </w:trPr>
        <w:tc>
          <w:tcPr>
            <w:tcW w:w="2087" w:type="pct"/>
            <w:shd w:val="clear" w:color="auto" w:fill="auto"/>
            <w:noWrap/>
            <w:vAlign w:val="center"/>
            <w:hideMark/>
          </w:tcPr>
          <w:p w14:paraId="5DB076D5" w14:textId="77777777" w:rsidR="002A6C3F" w:rsidRPr="002A6C3F" w:rsidRDefault="002A6C3F" w:rsidP="007B44F6">
            <w:pPr>
              <w:jc w:val="right"/>
              <w:rPr>
                <w:rFonts w:asciiTheme="minorHAnsi" w:eastAsia="Times New Roman" w:hAnsiTheme="minorHAnsi" w:cstheme="minorHAnsi"/>
                <w:i/>
                <w:iCs/>
                <w:sz w:val="20"/>
                <w:szCs w:val="20"/>
              </w:rPr>
            </w:pPr>
            <w:r w:rsidRPr="002A6C3F">
              <w:rPr>
                <w:rFonts w:asciiTheme="minorHAnsi" w:eastAsia="Times New Roman" w:hAnsiTheme="minorHAnsi" w:cstheme="minorHAnsi"/>
                <w:i/>
                <w:iCs/>
                <w:sz w:val="20"/>
                <w:szCs w:val="20"/>
              </w:rPr>
              <w:t>Equipment and materials</w:t>
            </w:r>
          </w:p>
        </w:tc>
        <w:tc>
          <w:tcPr>
            <w:tcW w:w="1000" w:type="pct"/>
            <w:shd w:val="clear" w:color="auto" w:fill="auto"/>
            <w:noWrap/>
            <w:vAlign w:val="center"/>
            <w:hideMark/>
          </w:tcPr>
          <w:p w14:paraId="55CBA936" w14:textId="77777777" w:rsidR="002A6C3F" w:rsidRPr="002A6C3F" w:rsidRDefault="002A6C3F" w:rsidP="007B44F6">
            <w:pPr>
              <w:jc w:val="center"/>
              <w:rPr>
                <w:rFonts w:asciiTheme="minorHAnsi" w:eastAsia="Times New Roman" w:hAnsiTheme="minorHAnsi" w:cstheme="minorHAnsi"/>
                <w:i/>
                <w:iCs/>
                <w:sz w:val="20"/>
                <w:szCs w:val="20"/>
              </w:rPr>
            </w:pPr>
            <w:r w:rsidRPr="002A6C3F">
              <w:rPr>
                <w:rFonts w:asciiTheme="minorHAnsi" w:eastAsia="Times New Roman" w:hAnsiTheme="minorHAnsi" w:cstheme="minorHAnsi"/>
                <w:i/>
                <w:iCs/>
                <w:sz w:val="20"/>
                <w:szCs w:val="20"/>
              </w:rPr>
              <w:t>16,084,143</w:t>
            </w:r>
          </w:p>
        </w:tc>
        <w:tc>
          <w:tcPr>
            <w:tcW w:w="1000" w:type="pct"/>
            <w:shd w:val="clear" w:color="auto" w:fill="auto"/>
            <w:noWrap/>
            <w:vAlign w:val="center"/>
            <w:hideMark/>
          </w:tcPr>
          <w:p w14:paraId="012762AC" w14:textId="77777777" w:rsidR="002A6C3F" w:rsidRPr="002A6C3F" w:rsidRDefault="002A6C3F" w:rsidP="007B44F6">
            <w:pPr>
              <w:jc w:val="center"/>
              <w:rPr>
                <w:rFonts w:asciiTheme="minorHAnsi" w:eastAsia="Times New Roman" w:hAnsiTheme="minorHAnsi" w:cstheme="minorHAnsi"/>
                <w:i/>
                <w:iCs/>
                <w:sz w:val="20"/>
                <w:szCs w:val="20"/>
              </w:rPr>
            </w:pPr>
            <w:r w:rsidRPr="002A6C3F">
              <w:rPr>
                <w:rFonts w:asciiTheme="minorHAnsi" w:eastAsia="Times New Roman" w:hAnsiTheme="minorHAnsi" w:cstheme="minorHAnsi"/>
                <w:i/>
                <w:iCs/>
                <w:sz w:val="20"/>
                <w:szCs w:val="20"/>
              </w:rPr>
              <w:t>0</w:t>
            </w:r>
          </w:p>
        </w:tc>
        <w:tc>
          <w:tcPr>
            <w:tcW w:w="913" w:type="pct"/>
            <w:shd w:val="clear" w:color="auto" w:fill="auto"/>
            <w:noWrap/>
            <w:vAlign w:val="center"/>
            <w:hideMark/>
          </w:tcPr>
          <w:p w14:paraId="5F012318" w14:textId="77777777" w:rsidR="002A6C3F" w:rsidRPr="002A6C3F" w:rsidRDefault="002A6C3F" w:rsidP="007B44F6">
            <w:pPr>
              <w:jc w:val="center"/>
              <w:rPr>
                <w:rFonts w:asciiTheme="minorHAnsi" w:eastAsia="Times New Roman" w:hAnsiTheme="minorHAnsi" w:cstheme="minorHAnsi"/>
                <w:i/>
                <w:iCs/>
                <w:sz w:val="20"/>
                <w:szCs w:val="20"/>
              </w:rPr>
            </w:pPr>
            <w:r w:rsidRPr="002A6C3F">
              <w:rPr>
                <w:rFonts w:asciiTheme="minorHAnsi" w:eastAsia="Times New Roman" w:hAnsiTheme="minorHAnsi" w:cstheme="minorHAnsi"/>
                <w:i/>
                <w:iCs/>
                <w:sz w:val="20"/>
                <w:szCs w:val="20"/>
              </w:rPr>
              <w:t>0</w:t>
            </w:r>
          </w:p>
        </w:tc>
      </w:tr>
      <w:tr w:rsidR="002A6C3F" w:rsidRPr="002A6C3F" w14:paraId="3CBA9BD1" w14:textId="77777777" w:rsidTr="007B44F6">
        <w:trPr>
          <w:trHeight w:val="290"/>
        </w:trPr>
        <w:tc>
          <w:tcPr>
            <w:tcW w:w="2087" w:type="pct"/>
            <w:shd w:val="clear" w:color="auto" w:fill="auto"/>
            <w:noWrap/>
            <w:vAlign w:val="center"/>
            <w:hideMark/>
          </w:tcPr>
          <w:p w14:paraId="6F837066" w14:textId="77777777" w:rsidR="002A6C3F" w:rsidRPr="002A6C3F" w:rsidRDefault="002A6C3F" w:rsidP="007B44F6">
            <w:pPr>
              <w:jc w:val="right"/>
              <w:rPr>
                <w:rFonts w:asciiTheme="minorHAnsi" w:eastAsia="Times New Roman" w:hAnsiTheme="minorHAnsi" w:cstheme="minorHAnsi"/>
                <w:i/>
                <w:iCs/>
                <w:sz w:val="20"/>
                <w:szCs w:val="20"/>
              </w:rPr>
            </w:pPr>
            <w:r w:rsidRPr="002A6C3F">
              <w:rPr>
                <w:rFonts w:asciiTheme="minorHAnsi" w:eastAsia="Times New Roman" w:hAnsiTheme="minorHAnsi" w:cstheme="minorHAnsi"/>
                <w:i/>
                <w:iCs/>
                <w:sz w:val="20"/>
                <w:szCs w:val="20"/>
              </w:rPr>
              <w:t xml:space="preserve">Installation and other services </w:t>
            </w:r>
          </w:p>
        </w:tc>
        <w:tc>
          <w:tcPr>
            <w:tcW w:w="1000" w:type="pct"/>
            <w:shd w:val="clear" w:color="auto" w:fill="auto"/>
            <w:noWrap/>
            <w:vAlign w:val="center"/>
            <w:hideMark/>
          </w:tcPr>
          <w:p w14:paraId="207BE494" w14:textId="77777777" w:rsidR="002A6C3F" w:rsidRPr="002A6C3F" w:rsidRDefault="002A6C3F" w:rsidP="007B44F6">
            <w:pPr>
              <w:jc w:val="center"/>
              <w:rPr>
                <w:rFonts w:asciiTheme="minorHAnsi" w:eastAsia="Times New Roman" w:hAnsiTheme="minorHAnsi" w:cstheme="minorHAnsi"/>
                <w:i/>
                <w:iCs/>
                <w:sz w:val="20"/>
                <w:szCs w:val="20"/>
              </w:rPr>
            </w:pPr>
            <w:r w:rsidRPr="002A6C3F">
              <w:rPr>
                <w:rFonts w:asciiTheme="minorHAnsi" w:eastAsia="Times New Roman" w:hAnsiTheme="minorHAnsi" w:cstheme="minorHAnsi"/>
                <w:i/>
                <w:iCs/>
                <w:sz w:val="20"/>
                <w:szCs w:val="20"/>
              </w:rPr>
              <w:t>5,126,522</w:t>
            </w:r>
          </w:p>
        </w:tc>
        <w:tc>
          <w:tcPr>
            <w:tcW w:w="1000" w:type="pct"/>
            <w:shd w:val="clear" w:color="auto" w:fill="auto"/>
            <w:noWrap/>
            <w:vAlign w:val="center"/>
            <w:hideMark/>
          </w:tcPr>
          <w:p w14:paraId="4BFCCE6B" w14:textId="77777777" w:rsidR="002A6C3F" w:rsidRPr="002A6C3F" w:rsidRDefault="002A6C3F" w:rsidP="007B44F6">
            <w:pPr>
              <w:jc w:val="center"/>
              <w:rPr>
                <w:rFonts w:asciiTheme="minorHAnsi" w:eastAsia="Times New Roman" w:hAnsiTheme="minorHAnsi" w:cstheme="minorHAnsi"/>
                <w:i/>
                <w:iCs/>
                <w:sz w:val="20"/>
                <w:szCs w:val="20"/>
              </w:rPr>
            </w:pPr>
            <w:r w:rsidRPr="002A6C3F">
              <w:rPr>
                <w:rFonts w:asciiTheme="minorHAnsi" w:eastAsia="Times New Roman" w:hAnsiTheme="minorHAnsi" w:cstheme="minorHAnsi"/>
                <w:i/>
                <w:iCs/>
                <w:sz w:val="20"/>
                <w:szCs w:val="20"/>
              </w:rPr>
              <w:t>0</w:t>
            </w:r>
          </w:p>
        </w:tc>
        <w:tc>
          <w:tcPr>
            <w:tcW w:w="913" w:type="pct"/>
            <w:shd w:val="clear" w:color="auto" w:fill="auto"/>
            <w:noWrap/>
            <w:vAlign w:val="center"/>
            <w:hideMark/>
          </w:tcPr>
          <w:p w14:paraId="3C87B1BE" w14:textId="77777777" w:rsidR="002A6C3F" w:rsidRPr="002A6C3F" w:rsidRDefault="002A6C3F" w:rsidP="007B44F6">
            <w:pPr>
              <w:jc w:val="center"/>
              <w:rPr>
                <w:rFonts w:asciiTheme="minorHAnsi" w:eastAsia="Times New Roman" w:hAnsiTheme="minorHAnsi" w:cstheme="minorHAnsi"/>
                <w:i/>
                <w:iCs/>
                <w:sz w:val="20"/>
                <w:szCs w:val="20"/>
              </w:rPr>
            </w:pPr>
            <w:r w:rsidRPr="002A6C3F">
              <w:rPr>
                <w:rFonts w:asciiTheme="minorHAnsi" w:eastAsia="Times New Roman" w:hAnsiTheme="minorHAnsi" w:cstheme="minorHAnsi"/>
                <w:i/>
                <w:iCs/>
                <w:sz w:val="20"/>
                <w:szCs w:val="20"/>
              </w:rPr>
              <w:t>0</w:t>
            </w:r>
          </w:p>
        </w:tc>
      </w:tr>
      <w:tr w:rsidR="002A6C3F" w:rsidRPr="002A6C3F" w14:paraId="232C23A8" w14:textId="77777777" w:rsidTr="007B44F6">
        <w:trPr>
          <w:trHeight w:val="290"/>
        </w:trPr>
        <w:tc>
          <w:tcPr>
            <w:tcW w:w="2087" w:type="pct"/>
            <w:shd w:val="clear" w:color="auto" w:fill="auto"/>
            <w:noWrap/>
            <w:vAlign w:val="center"/>
            <w:hideMark/>
          </w:tcPr>
          <w:p w14:paraId="5DF879F0" w14:textId="77777777" w:rsidR="002A6C3F" w:rsidRPr="002A6C3F" w:rsidRDefault="002A6C3F" w:rsidP="007B44F6">
            <w:pPr>
              <w:jc w:val="right"/>
              <w:rPr>
                <w:rFonts w:asciiTheme="minorHAnsi" w:eastAsia="Times New Roman" w:hAnsiTheme="minorHAnsi" w:cstheme="minorHAnsi"/>
                <w:i/>
                <w:iCs/>
                <w:sz w:val="20"/>
                <w:szCs w:val="20"/>
              </w:rPr>
            </w:pPr>
            <w:r w:rsidRPr="002A6C3F">
              <w:rPr>
                <w:rFonts w:asciiTheme="minorHAnsi" w:eastAsia="Times New Roman" w:hAnsiTheme="minorHAnsi" w:cstheme="minorHAnsi"/>
                <w:i/>
                <w:iCs/>
                <w:sz w:val="20"/>
                <w:szCs w:val="20"/>
              </w:rPr>
              <w:t>Shipment, Insurance and Contingencies</w:t>
            </w:r>
          </w:p>
        </w:tc>
        <w:tc>
          <w:tcPr>
            <w:tcW w:w="1000" w:type="pct"/>
            <w:shd w:val="clear" w:color="auto" w:fill="auto"/>
            <w:noWrap/>
            <w:vAlign w:val="center"/>
            <w:hideMark/>
          </w:tcPr>
          <w:p w14:paraId="206AE44D" w14:textId="77777777" w:rsidR="002A6C3F" w:rsidRPr="002A6C3F" w:rsidRDefault="002A6C3F" w:rsidP="007B44F6">
            <w:pPr>
              <w:jc w:val="center"/>
              <w:rPr>
                <w:rFonts w:asciiTheme="minorHAnsi" w:eastAsia="Times New Roman" w:hAnsiTheme="minorHAnsi" w:cstheme="minorHAnsi"/>
                <w:i/>
                <w:iCs/>
                <w:sz w:val="20"/>
                <w:szCs w:val="20"/>
              </w:rPr>
            </w:pPr>
            <w:r w:rsidRPr="002A6C3F">
              <w:rPr>
                <w:rFonts w:asciiTheme="minorHAnsi" w:eastAsia="Times New Roman" w:hAnsiTheme="minorHAnsi" w:cstheme="minorHAnsi"/>
                <w:i/>
                <w:iCs/>
                <w:sz w:val="20"/>
                <w:szCs w:val="20"/>
              </w:rPr>
              <w:t>2,572,152</w:t>
            </w:r>
          </w:p>
        </w:tc>
        <w:tc>
          <w:tcPr>
            <w:tcW w:w="1000" w:type="pct"/>
            <w:shd w:val="clear" w:color="auto" w:fill="auto"/>
            <w:noWrap/>
            <w:vAlign w:val="center"/>
            <w:hideMark/>
          </w:tcPr>
          <w:p w14:paraId="3FC517F8" w14:textId="77777777" w:rsidR="002A6C3F" w:rsidRPr="002A6C3F" w:rsidRDefault="002A6C3F" w:rsidP="007B44F6">
            <w:pPr>
              <w:jc w:val="center"/>
              <w:rPr>
                <w:rFonts w:asciiTheme="minorHAnsi" w:eastAsia="Times New Roman" w:hAnsiTheme="minorHAnsi" w:cstheme="minorHAnsi"/>
                <w:i/>
                <w:iCs/>
                <w:sz w:val="20"/>
                <w:szCs w:val="20"/>
              </w:rPr>
            </w:pPr>
            <w:r w:rsidRPr="002A6C3F">
              <w:rPr>
                <w:rFonts w:asciiTheme="minorHAnsi" w:eastAsia="Times New Roman" w:hAnsiTheme="minorHAnsi" w:cstheme="minorHAnsi"/>
                <w:i/>
                <w:iCs/>
                <w:sz w:val="20"/>
                <w:szCs w:val="20"/>
              </w:rPr>
              <w:t>0</w:t>
            </w:r>
          </w:p>
        </w:tc>
        <w:tc>
          <w:tcPr>
            <w:tcW w:w="913" w:type="pct"/>
            <w:shd w:val="clear" w:color="auto" w:fill="auto"/>
            <w:noWrap/>
            <w:vAlign w:val="center"/>
            <w:hideMark/>
          </w:tcPr>
          <w:p w14:paraId="07354F34" w14:textId="77777777" w:rsidR="002A6C3F" w:rsidRPr="002A6C3F" w:rsidRDefault="002A6C3F" w:rsidP="007B44F6">
            <w:pPr>
              <w:jc w:val="center"/>
              <w:rPr>
                <w:rFonts w:asciiTheme="minorHAnsi" w:eastAsia="Times New Roman" w:hAnsiTheme="minorHAnsi" w:cstheme="minorHAnsi"/>
                <w:i/>
                <w:iCs/>
                <w:sz w:val="20"/>
                <w:szCs w:val="20"/>
              </w:rPr>
            </w:pPr>
            <w:r w:rsidRPr="002A6C3F">
              <w:rPr>
                <w:rFonts w:asciiTheme="minorHAnsi" w:eastAsia="Times New Roman" w:hAnsiTheme="minorHAnsi" w:cstheme="minorHAnsi"/>
                <w:i/>
                <w:iCs/>
                <w:sz w:val="20"/>
                <w:szCs w:val="20"/>
              </w:rPr>
              <w:t>0</w:t>
            </w:r>
          </w:p>
        </w:tc>
      </w:tr>
      <w:tr w:rsidR="002A6C3F" w:rsidRPr="002A6C3F" w14:paraId="68E090CD" w14:textId="77777777" w:rsidTr="007B44F6">
        <w:trPr>
          <w:trHeight w:val="520"/>
        </w:trPr>
        <w:tc>
          <w:tcPr>
            <w:tcW w:w="2087" w:type="pct"/>
            <w:shd w:val="clear" w:color="auto" w:fill="auto"/>
            <w:vAlign w:val="center"/>
            <w:hideMark/>
          </w:tcPr>
          <w:p w14:paraId="6F60AC7C" w14:textId="77777777" w:rsidR="002A6C3F" w:rsidRPr="002A6C3F" w:rsidRDefault="002A6C3F" w:rsidP="007B44F6">
            <w:pPr>
              <w:jc w:val="right"/>
              <w:rPr>
                <w:rFonts w:asciiTheme="minorHAnsi" w:eastAsia="Times New Roman" w:hAnsiTheme="minorHAnsi" w:cstheme="minorHAnsi"/>
                <w:i/>
                <w:iCs/>
                <w:sz w:val="20"/>
                <w:szCs w:val="20"/>
              </w:rPr>
            </w:pPr>
            <w:r w:rsidRPr="002A6C3F">
              <w:rPr>
                <w:rFonts w:asciiTheme="minorHAnsi" w:eastAsia="Times New Roman" w:hAnsiTheme="minorHAnsi" w:cstheme="minorHAnsi"/>
                <w:i/>
                <w:iCs/>
                <w:sz w:val="20"/>
                <w:szCs w:val="20"/>
              </w:rPr>
              <w:t>Salaries of Economic and Forecasting Unit and Central Accounting Unit</w:t>
            </w:r>
          </w:p>
        </w:tc>
        <w:tc>
          <w:tcPr>
            <w:tcW w:w="1000" w:type="pct"/>
            <w:shd w:val="clear" w:color="auto" w:fill="auto"/>
            <w:noWrap/>
            <w:vAlign w:val="center"/>
            <w:hideMark/>
          </w:tcPr>
          <w:p w14:paraId="6AC603AF" w14:textId="77777777" w:rsidR="002A6C3F" w:rsidRPr="002A6C3F" w:rsidRDefault="002A6C3F" w:rsidP="007B44F6">
            <w:pPr>
              <w:jc w:val="center"/>
              <w:rPr>
                <w:rFonts w:asciiTheme="minorHAnsi" w:eastAsia="Times New Roman" w:hAnsiTheme="minorHAnsi" w:cstheme="minorHAnsi"/>
                <w:i/>
                <w:iCs/>
                <w:sz w:val="20"/>
                <w:szCs w:val="20"/>
              </w:rPr>
            </w:pPr>
            <w:r w:rsidRPr="002A6C3F">
              <w:rPr>
                <w:rFonts w:asciiTheme="minorHAnsi" w:eastAsia="Times New Roman" w:hAnsiTheme="minorHAnsi" w:cstheme="minorHAnsi"/>
                <w:i/>
                <w:iCs/>
                <w:sz w:val="20"/>
                <w:szCs w:val="20"/>
              </w:rPr>
              <w:t>196,941</w:t>
            </w:r>
          </w:p>
        </w:tc>
        <w:tc>
          <w:tcPr>
            <w:tcW w:w="1000" w:type="pct"/>
            <w:shd w:val="clear" w:color="auto" w:fill="auto"/>
            <w:noWrap/>
            <w:vAlign w:val="center"/>
            <w:hideMark/>
          </w:tcPr>
          <w:p w14:paraId="49884D7B" w14:textId="77777777" w:rsidR="002A6C3F" w:rsidRPr="002A6C3F" w:rsidRDefault="002A6C3F" w:rsidP="007B44F6">
            <w:pPr>
              <w:jc w:val="center"/>
              <w:rPr>
                <w:rFonts w:asciiTheme="minorHAnsi" w:eastAsia="Times New Roman" w:hAnsiTheme="minorHAnsi" w:cstheme="minorHAnsi"/>
                <w:i/>
                <w:iCs/>
                <w:sz w:val="20"/>
                <w:szCs w:val="20"/>
              </w:rPr>
            </w:pPr>
            <w:r w:rsidRPr="002A6C3F">
              <w:rPr>
                <w:rFonts w:asciiTheme="minorHAnsi" w:eastAsia="Times New Roman" w:hAnsiTheme="minorHAnsi" w:cstheme="minorHAnsi"/>
                <w:i/>
                <w:iCs/>
                <w:sz w:val="20"/>
                <w:szCs w:val="20"/>
              </w:rPr>
              <w:t>0</w:t>
            </w:r>
          </w:p>
        </w:tc>
        <w:tc>
          <w:tcPr>
            <w:tcW w:w="913" w:type="pct"/>
            <w:shd w:val="clear" w:color="auto" w:fill="auto"/>
            <w:noWrap/>
            <w:vAlign w:val="center"/>
            <w:hideMark/>
          </w:tcPr>
          <w:p w14:paraId="0D1139BC" w14:textId="77777777" w:rsidR="002A6C3F" w:rsidRPr="002A6C3F" w:rsidRDefault="002A6C3F" w:rsidP="007B44F6">
            <w:pPr>
              <w:jc w:val="center"/>
              <w:rPr>
                <w:rFonts w:asciiTheme="minorHAnsi" w:eastAsia="Times New Roman" w:hAnsiTheme="minorHAnsi" w:cstheme="minorHAnsi"/>
                <w:i/>
                <w:iCs/>
                <w:sz w:val="20"/>
                <w:szCs w:val="20"/>
              </w:rPr>
            </w:pPr>
            <w:r w:rsidRPr="002A6C3F">
              <w:rPr>
                <w:rFonts w:asciiTheme="minorHAnsi" w:eastAsia="Times New Roman" w:hAnsiTheme="minorHAnsi" w:cstheme="minorHAnsi"/>
                <w:i/>
                <w:iCs/>
                <w:sz w:val="20"/>
                <w:szCs w:val="20"/>
              </w:rPr>
              <w:t>0</w:t>
            </w:r>
          </w:p>
        </w:tc>
      </w:tr>
      <w:tr w:rsidR="002A6C3F" w:rsidRPr="002A6C3F" w14:paraId="49EF3E45" w14:textId="77777777" w:rsidTr="007B44F6">
        <w:trPr>
          <w:trHeight w:val="780"/>
        </w:trPr>
        <w:tc>
          <w:tcPr>
            <w:tcW w:w="2087" w:type="pct"/>
            <w:shd w:val="clear" w:color="auto" w:fill="auto"/>
            <w:vAlign w:val="center"/>
            <w:hideMark/>
          </w:tcPr>
          <w:p w14:paraId="0A1FE876" w14:textId="77777777" w:rsidR="002A6C3F" w:rsidRPr="002A6C3F" w:rsidRDefault="002A6C3F" w:rsidP="007B44F6">
            <w:pPr>
              <w:rPr>
                <w:rFonts w:asciiTheme="minorHAnsi" w:eastAsia="Times New Roman" w:hAnsiTheme="minorHAnsi" w:cstheme="minorHAnsi"/>
                <w:sz w:val="20"/>
                <w:szCs w:val="20"/>
              </w:rPr>
            </w:pPr>
            <w:r w:rsidRPr="002A6C3F">
              <w:rPr>
                <w:rFonts w:asciiTheme="minorHAnsi" w:eastAsia="Times New Roman" w:hAnsiTheme="minorHAnsi" w:cstheme="minorHAnsi"/>
                <w:sz w:val="20"/>
                <w:szCs w:val="20"/>
              </w:rPr>
              <w:t>Consultancy services, including for capacity building on social protection measures for MOF and other relevant government bodies</w:t>
            </w:r>
          </w:p>
        </w:tc>
        <w:tc>
          <w:tcPr>
            <w:tcW w:w="1000" w:type="pct"/>
            <w:shd w:val="clear" w:color="auto" w:fill="auto"/>
            <w:noWrap/>
            <w:vAlign w:val="center"/>
            <w:hideMark/>
          </w:tcPr>
          <w:p w14:paraId="05259E22" w14:textId="77777777" w:rsidR="002A6C3F" w:rsidRPr="002A6C3F" w:rsidRDefault="002A6C3F" w:rsidP="007B44F6">
            <w:pPr>
              <w:jc w:val="center"/>
              <w:rPr>
                <w:rFonts w:asciiTheme="minorHAnsi" w:eastAsia="Times New Roman" w:hAnsiTheme="minorHAnsi" w:cstheme="minorHAnsi"/>
                <w:sz w:val="20"/>
                <w:szCs w:val="20"/>
              </w:rPr>
            </w:pPr>
            <w:r w:rsidRPr="002A6C3F">
              <w:rPr>
                <w:rFonts w:asciiTheme="minorHAnsi" w:eastAsia="Times New Roman" w:hAnsiTheme="minorHAnsi" w:cstheme="minorHAnsi"/>
                <w:sz w:val="20"/>
                <w:szCs w:val="20"/>
              </w:rPr>
              <w:t>2,360,000</w:t>
            </w:r>
          </w:p>
        </w:tc>
        <w:tc>
          <w:tcPr>
            <w:tcW w:w="1000" w:type="pct"/>
            <w:shd w:val="clear" w:color="auto" w:fill="auto"/>
            <w:noWrap/>
            <w:vAlign w:val="center"/>
            <w:hideMark/>
          </w:tcPr>
          <w:p w14:paraId="0F3038B9" w14:textId="77777777" w:rsidR="002A6C3F" w:rsidRPr="002A6C3F" w:rsidRDefault="002A6C3F" w:rsidP="007B44F6">
            <w:pPr>
              <w:jc w:val="center"/>
              <w:rPr>
                <w:rFonts w:asciiTheme="minorHAnsi" w:eastAsia="Times New Roman" w:hAnsiTheme="minorHAnsi" w:cstheme="minorHAnsi"/>
                <w:sz w:val="20"/>
                <w:szCs w:val="20"/>
              </w:rPr>
            </w:pPr>
            <w:r w:rsidRPr="002A6C3F">
              <w:rPr>
                <w:rFonts w:asciiTheme="minorHAnsi" w:eastAsia="Times New Roman" w:hAnsiTheme="minorHAnsi" w:cstheme="minorHAnsi"/>
                <w:sz w:val="20"/>
                <w:szCs w:val="20"/>
              </w:rPr>
              <w:t>0</w:t>
            </w:r>
          </w:p>
        </w:tc>
        <w:tc>
          <w:tcPr>
            <w:tcW w:w="913" w:type="pct"/>
            <w:shd w:val="clear" w:color="auto" w:fill="auto"/>
            <w:noWrap/>
            <w:vAlign w:val="center"/>
            <w:hideMark/>
          </w:tcPr>
          <w:p w14:paraId="47FCD7CA" w14:textId="77777777" w:rsidR="002A6C3F" w:rsidRPr="002A6C3F" w:rsidRDefault="002A6C3F" w:rsidP="007B44F6">
            <w:pPr>
              <w:jc w:val="center"/>
              <w:rPr>
                <w:rFonts w:asciiTheme="minorHAnsi" w:eastAsia="Times New Roman" w:hAnsiTheme="minorHAnsi" w:cstheme="minorHAnsi"/>
                <w:sz w:val="20"/>
                <w:szCs w:val="20"/>
              </w:rPr>
            </w:pPr>
            <w:r w:rsidRPr="002A6C3F">
              <w:rPr>
                <w:rFonts w:asciiTheme="minorHAnsi" w:eastAsia="Times New Roman" w:hAnsiTheme="minorHAnsi" w:cstheme="minorHAnsi"/>
                <w:sz w:val="20"/>
                <w:szCs w:val="20"/>
              </w:rPr>
              <w:t>2,260,000</w:t>
            </w:r>
          </w:p>
        </w:tc>
      </w:tr>
      <w:tr w:rsidR="002A6C3F" w:rsidRPr="002A6C3F" w14:paraId="3E2D3E9D" w14:textId="77777777" w:rsidTr="007B44F6">
        <w:trPr>
          <w:trHeight w:val="290"/>
        </w:trPr>
        <w:tc>
          <w:tcPr>
            <w:tcW w:w="2087" w:type="pct"/>
            <w:shd w:val="clear" w:color="auto" w:fill="auto"/>
            <w:noWrap/>
            <w:vAlign w:val="center"/>
            <w:hideMark/>
          </w:tcPr>
          <w:p w14:paraId="7A34A764" w14:textId="77777777" w:rsidR="002A6C3F" w:rsidRPr="002A6C3F" w:rsidRDefault="002A6C3F" w:rsidP="007B44F6">
            <w:pPr>
              <w:rPr>
                <w:rFonts w:asciiTheme="minorHAnsi" w:eastAsia="Times New Roman" w:hAnsiTheme="minorHAnsi" w:cstheme="minorHAnsi"/>
                <w:b/>
                <w:bCs/>
                <w:sz w:val="20"/>
                <w:szCs w:val="20"/>
              </w:rPr>
            </w:pPr>
            <w:r w:rsidRPr="002A6C3F">
              <w:rPr>
                <w:rFonts w:asciiTheme="minorHAnsi" w:eastAsia="Times New Roman" w:hAnsiTheme="minorHAnsi" w:cstheme="minorHAnsi"/>
                <w:b/>
                <w:bCs/>
                <w:sz w:val="20"/>
                <w:szCs w:val="20"/>
              </w:rPr>
              <w:t>Total</w:t>
            </w:r>
          </w:p>
        </w:tc>
        <w:tc>
          <w:tcPr>
            <w:tcW w:w="1000" w:type="pct"/>
            <w:shd w:val="clear" w:color="auto" w:fill="auto"/>
            <w:noWrap/>
            <w:vAlign w:val="center"/>
            <w:hideMark/>
          </w:tcPr>
          <w:p w14:paraId="5106AEB9" w14:textId="77777777" w:rsidR="002A6C3F" w:rsidRPr="002A6C3F" w:rsidRDefault="002A6C3F" w:rsidP="007B44F6">
            <w:pPr>
              <w:jc w:val="center"/>
              <w:rPr>
                <w:rFonts w:asciiTheme="minorHAnsi" w:eastAsia="Times New Roman" w:hAnsiTheme="minorHAnsi" w:cstheme="minorHAnsi"/>
                <w:b/>
                <w:bCs/>
                <w:sz w:val="20"/>
                <w:szCs w:val="20"/>
              </w:rPr>
            </w:pPr>
            <w:r w:rsidRPr="002A6C3F">
              <w:rPr>
                <w:rFonts w:asciiTheme="minorHAnsi" w:eastAsia="Times New Roman" w:hAnsiTheme="minorHAnsi" w:cstheme="minorHAnsi"/>
                <w:b/>
                <w:bCs/>
                <w:sz w:val="20"/>
                <w:szCs w:val="20"/>
              </w:rPr>
              <w:t>479,100,043</w:t>
            </w:r>
          </w:p>
        </w:tc>
        <w:tc>
          <w:tcPr>
            <w:tcW w:w="1000" w:type="pct"/>
            <w:shd w:val="clear" w:color="auto" w:fill="auto"/>
            <w:noWrap/>
            <w:vAlign w:val="center"/>
            <w:hideMark/>
          </w:tcPr>
          <w:p w14:paraId="0869D1BE" w14:textId="77777777" w:rsidR="002A6C3F" w:rsidRPr="002A6C3F" w:rsidRDefault="002A6C3F" w:rsidP="007B44F6">
            <w:pPr>
              <w:jc w:val="center"/>
              <w:rPr>
                <w:rFonts w:asciiTheme="minorHAnsi" w:eastAsia="Times New Roman" w:hAnsiTheme="minorHAnsi" w:cstheme="minorHAnsi"/>
                <w:b/>
                <w:bCs/>
                <w:sz w:val="20"/>
                <w:szCs w:val="20"/>
              </w:rPr>
            </w:pPr>
            <w:r w:rsidRPr="002A6C3F">
              <w:rPr>
                <w:rFonts w:asciiTheme="minorHAnsi" w:eastAsia="Times New Roman" w:hAnsiTheme="minorHAnsi" w:cstheme="minorHAnsi"/>
                <w:b/>
                <w:bCs/>
                <w:sz w:val="20"/>
                <w:szCs w:val="20"/>
              </w:rPr>
              <w:t>83,018,445</w:t>
            </w:r>
          </w:p>
        </w:tc>
        <w:tc>
          <w:tcPr>
            <w:tcW w:w="913" w:type="pct"/>
            <w:shd w:val="clear" w:color="auto" w:fill="auto"/>
            <w:noWrap/>
            <w:vAlign w:val="center"/>
            <w:hideMark/>
          </w:tcPr>
          <w:p w14:paraId="5EA01407" w14:textId="77777777" w:rsidR="002A6C3F" w:rsidRPr="002A6C3F" w:rsidRDefault="002A6C3F" w:rsidP="007B44F6">
            <w:pPr>
              <w:jc w:val="center"/>
              <w:rPr>
                <w:rFonts w:asciiTheme="minorHAnsi" w:eastAsia="Times New Roman" w:hAnsiTheme="minorHAnsi" w:cstheme="minorHAnsi"/>
                <w:b/>
                <w:bCs/>
                <w:sz w:val="20"/>
                <w:szCs w:val="20"/>
              </w:rPr>
            </w:pPr>
            <w:r w:rsidRPr="002A6C3F">
              <w:rPr>
                <w:rFonts w:asciiTheme="minorHAnsi" w:eastAsia="Times New Roman" w:hAnsiTheme="minorHAnsi" w:cstheme="minorHAnsi"/>
                <w:b/>
                <w:bCs/>
                <w:sz w:val="20"/>
                <w:szCs w:val="20"/>
              </w:rPr>
              <w:t>479,100,043</w:t>
            </w:r>
          </w:p>
        </w:tc>
      </w:tr>
    </w:tbl>
    <w:p w14:paraId="5D2820F4" w14:textId="51B0FC72" w:rsidR="00875DBA" w:rsidRPr="003117BC" w:rsidRDefault="00875DBA" w:rsidP="00875DBA">
      <w:pPr>
        <w:pStyle w:val="ListParagraph"/>
        <w:widowControl/>
        <w:numPr>
          <w:ilvl w:val="0"/>
          <w:numId w:val="3"/>
        </w:numPr>
        <w:tabs>
          <w:tab w:val="left" w:pos="0"/>
        </w:tabs>
        <w:autoSpaceDE/>
        <w:autoSpaceDN/>
        <w:adjustRightInd/>
        <w:spacing w:before="120" w:after="120"/>
        <w:ind w:left="-360" w:firstLine="0"/>
        <w:contextualSpacing w:val="0"/>
        <w:jc w:val="both"/>
        <w:rPr>
          <w:rFonts w:asciiTheme="minorHAnsi" w:hAnsiTheme="minorHAnsi" w:cstheme="minorHAnsi"/>
          <w:sz w:val="22"/>
          <w:szCs w:val="22"/>
        </w:rPr>
      </w:pPr>
      <w:r>
        <w:rPr>
          <w:rFonts w:asciiTheme="minorHAnsi" w:hAnsiTheme="minorHAnsi" w:cstheme="minorHAnsi"/>
          <w:b/>
          <w:bCs/>
          <w:sz w:val="22"/>
          <w:szCs w:val="22"/>
        </w:rPr>
        <w:t xml:space="preserve">Expenditure use to date. </w:t>
      </w:r>
      <w:r w:rsidRPr="00875DBA">
        <w:rPr>
          <w:rFonts w:asciiTheme="minorHAnsi" w:hAnsiTheme="minorHAnsi" w:cstheme="minorHAnsi"/>
          <w:sz w:val="22"/>
          <w:szCs w:val="22"/>
        </w:rPr>
        <w:t>The overall efficacy of execution of the Program expenditures is adequate</w:t>
      </w:r>
      <w:r w:rsidRPr="00774130">
        <w:rPr>
          <w:rFonts w:asciiTheme="minorHAnsi" w:hAnsiTheme="minorHAnsi" w:cstheme="minorHAnsi"/>
          <w:sz w:val="22"/>
          <w:szCs w:val="22"/>
        </w:rPr>
        <w:t>.</w:t>
      </w:r>
      <w:r>
        <w:rPr>
          <w:rFonts w:asciiTheme="minorHAnsi" w:hAnsiTheme="minorHAnsi" w:cstheme="minorHAnsi"/>
          <w:sz w:val="22"/>
          <w:szCs w:val="22"/>
        </w:rPr>
        <w:t xml:space="preserve"> The overall efficacy of the execution is adequate with total expenditures from July 1, </w:t>
      </w:r>
      <w:proofErr w:type="gramStart"/>
      <w:r>
        <w:rPr>
          <w:rFonts w:asciiTheme="minorHAnsi" w:hAnsiTheme="minorHAnsi" w:cstheme="minorHAnsi"/>
          <w:sz w:val="22"/>
          <w:szCs w:val="22"/>
        </w:rPr>
        <w:t>2020</w:t>
      </w:r>
      <w:proofErr w:type="gramEnd"/>
      <w:r>
        <w:rPr>
          <w:rFonts w:asciiTheme="minorHAnsi" w:hAnsiTheme="minorHAnsi" w:cstheme="minorHAnsi"/>
          <w:sz w:val="22"/>
          <w:szCs w:val="22"/>
        </w:rPr>
        <w:t xml:space="preserve"> to December 31, 2021 reaching US$83 million. Purchases of electricity from Sangtuda-1 IPP and rehabilitation and upgrade of T&amp;D assets account for all those expenditures. Overall, the expenditures under the Program and the financing of billing and metering activities from other financiers would allow the achievement of the Program objectives and indicators by the revised closing date of the project.</w:t>
      </w:r>
    </w:p>
    <w:p w14:paraId="7FCEC863" w14:textId="77777777" w:rsidR="00875DBA" w:rsidRDefault="00875DBA" w:rsidP="00875DBA">
      <w:pPr>
        <w:pStyle w:val="ListParagraph"/>
        <w:widowControl/>
        <w:numPr>
          <w:ilvl w:val="0"/>
          <w:numId w:val="3"/>
        </w:numPr>
        <w:tabs>
          <w:tab w:val="left" w:pos="0"/>
        </w:tabs>
        <w:autoSpaceDE/>
        <w:autoSpaceDN/>
        <w:adjustRightInd/>
        <w:spacing w:before="120" w:after="120"/>
        <w:ind w:left="-360" w:firstLine="0"/>
        <w:contextualSpacing w:val="0"/>
        <w:jc w:val="both"/>
        <w:rPr>
          <w:rFonts w:asciiTheme="minorHAnsi" w:hAnsiTheme="minorHAnsi" w:cstheme="minorHAnsi"/>
          <w:sz w:val="22"/>
          <w:szCs w:val="22"/>
        </w:rPr>
      </w:pPr>
      <w:r w:rsidRPr="000F5FE0">
        <w:rPr>
          <w:rFonts w:asciiTheme="minorHAnsi" w:hAnsiTheme="minorHAnsi" w:cstheme="minorHAnsi"/>
          <w:b/>
          <w:bCs/>
          <w:sz w:val="22"/>
          <w:szCs w:val="22"/>
        </w:rPr>
        <w:t>Program Financing</w:t>
      </w:r>
      <w:r w:rsidRPr="000F5FE0">
        <w:rPr>
          <w:rFonts w:asciiTheme="minorHAnsi" w:hAnsiTheme="minorHAnsi" w:cstheme="minorHAnsi"/>
          <w:sz w:val="22"/>
          <w:szCs w:val="22"/>
        </w:rPr>
        <w:t xml:space="preserve">. The Program would be financed with combination of own resources of BT and IDA. </w:t>
      </w:r>
      <w:r>
        <w:rPr>
          <w:rFonts w:asciiTheme="minorHAnsi" w:hAnsiTheme="minorHAnsi" w:cstheme="minorHAnsi"/>
          <w:sz w:val="22"/>
          <w:szCs w:val="22"/>
        </w:rPr>
        <w:t>As presented earlier, BT’s financing of the Program fell short of the level projected during appraisal of the parent project due to external shocks</w:t>
      </w:r>
      <w:r w:rsidRPr="000F5FE0">
        <w:rPr>
          <w:rFonts w:asciiTheme="minorHAnsi" w:hAnsiTheme="minorHAnsi" w:cstheme="minorHAnsi"/>
          <w:sz w:val="22"/>
          <w:szCs w:val="22"/>
        </w:rPr>
        <w:t xml:space="preserve">. </w:t>
      </w:r>
    </w:p>
    <w:p w14:paraId="624AFD35" w14:textId="29B6C399" w:rsidR="002A6C3F" w:rsidRPr="00875DBA" w:rsidRDefault="00875DBA" w:rsidP="00875DBA">
      <w:pPr>
        <w:pStyle w:val="Caption"/>
        <w:spacing w:after="0"/>
        <w:ind w:left="-360"/>
        <w:rPr>
          <w:rFonts w:cstheme="minorHAnsi"/>
          <w:b/>
          <w:bCs/>
          <w:i w:val="0"/>
          <w:iCs w:val="0"/>
          <w:color w:val="auto"/>
          <w:sz w:val="22"/>
          <w:szCs w:val="22"/>
        </w:rPr>
      </w:pPr>
      <w:r w:rsidRPr="00875DBA">
        <w:rPr>
          <w:b/>
          <w:bCs/>
          <w:i w:val="0"/>
          <w:iCs w:val="0"/>
          <w:color w:val="auto"/>
          <w:sz w:val="22"/>
          <w:szCs w:val="22"/>
        </w:rPr>
        <w:t xml:space="preserve">Table </w:t>
      </w:r>
      <w:r w:rsidRPr="00875DBA">
        <w:rPr>
          <w:b/>
          <w:bCs/>
          <w:i w:val="0"/>
          <w:iCs w:val="0"/>
          <w:color w:val="auto"/>
          <w:sz w:val="22"/>
          <w:szCs w:val="22"/>
        </w:rPr>
        <w:fldChar w:fldCharType="begin"/>
      </w:r>
      <w:r w:rsidRPr="00875DBA">
        <w:rPr>
          <w:b/>
          <w:bCs/>
          <w:i w:val="0"/>
          <w:iCs w:val="0"/>
          <w:color w:val="auto"/>
          <w:sz w:val="22"/>
          <w:szCs w:val="22"/>
        </w:rPr>
        <w:instrText xml:space="preserve"> SEQ Table \* ARABIC </w:instrText>
      </w:r>
      <w:r w:rsidRPr="00875DBA">
        <w:rPr>
          <w:b/>
          <w:bCs/>
          <w:i w:val="0"/>
          <w:iCs w:val="0"/>
          <w:color w:val="auto"/>
          <w:sz w:val="22"/>
          <w:szCs w:val="22"/>
        </w:rPr>
        <w:fldChar w:fldCharType="separate"/>
      </w:r>
      <w:r w:rsidRPr="00875DBA">
        <w:rPr>
          <w:b/>
          <w:bCs/>
          <w:i w:val="0"/>
          <w:iCs w:val="0"/>
          <w:noProof/>
          <w:color w:val="auto"/>
          <w:sz w:val="22"/>
          <w:szCs w:val="22"/>
        </w:rPr>
        <w:t>5</w:t>
      </w:r>
      <w:r w:rsidRPr="00875DBA">
        <w:rPr>
          <w:b/>
          <w:bCs/>
          <w:i w:val="0"/>
          <w:iCs w:val="0"/>
          <w:color w:val="auto"/>
          <w:sz w:val="22"/>
          <w:szCs w:val="22"/>
        </w:rPr>
        <w:fldChar w:fldCharType="end"/>
      </w:r>
      <w:r w:rsidRPr="00875DBA">
        <w:rPr>
          <w:b/>
          <w:bCs/>
          <w:i w:val="0"/>
          <w:iCs w:val="0"/>
          <w:color w:val="auto"/>
          <w:sz w:val="22"/>
          <w:szCs w:val="22"/>
        </w:rPr>
        <w:t xml:space="preserve">: </w:t>
      </w:r>
      <w:r w:rsidRPr="00875DBA">
        <w:rPr>
          <w:rFonts w:cstheme="minorHAnsi"/>
          <w:b/>
          <w:bCs/>
          <w:i w:val="0"/>
          <w:iCs w:val="0"/>
          <w:color w:val="auto"/>
          <w:sz w:val="22"/>
          <w:szCs w:val="22"/>
        </w:rPr>
        <w:t>Financing Sources of the Program</w:t>
      </w:r>
    </w:p>
    <w:tbl>
      <w:tblPr>
        <w:tblW w:w="84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890"/>
        <w:gridCol w:w="1530"/>
        <w:gridCol w:w="2070"/>
      </w:tblGrid>
      <w:tr w:rsidR="00875DBA" w:rsidRPr="00875DBA" w14:paraId="43818C19" w14:textId="77777777" w:rsidTr="007B44F6">
        <w:trPr>
          <w:trHeight w:val="290"/>
        </w:trPr>
        <w:tc>
          <w:tcPr>
            <w:tcW w:w="2970" w:type="dxa"/>
            <w:shd w:val="clear" w:color="000000" w:fill="D9D9D9"/>
            <w:noWrap/>
            <w:hideMark/>
          </w:tcPr>
          <w:p w14:paraId="7FB22847" w14:textId="77777777" w:rsidR="00875DBA" w:rsidRPr="00875DBA" w:rsidRDefault="00875DBA" w:rsidP="007B44F6">
            <w:pPr>
              <w:rPr>
                <w:rFonts w:asciiTheme="minorHAnsi" w:eastAsia="Times New Roman" w:hAnsiTheme="minorHAnsi" w:cstheme="minorHAnsi"/>
                <w:b/>
                <w:bCs/>
                <w:sz w:val="20"/>
              </w:rPr>
            </w:pPr>
            <w:r w:rsidRPr="00875DBA">
              <w:rPr>
                <w:rFonts w:asciiTheme="minorHAnsi" w:eastAsia="Times New Roman" w:hAnsiTheme="minorHAnsi" w:cstheme="minorHAnsi"/>
                <w:b/>
                <w:bCs/>
                <w:sz w:val="20"/>
              </w:rPr>
              <w:t>Source</w:t>
            </w:r>
          </w:p>
        </w:tc>
        <w:tc>
          <w:tcPr>
            <w:tcW w:w="1890" w:type="dxa"/>
            <w:shd w:val="clear" w:color="000000" w:fill="D9D9D9"/>
            <w:noWrap/>
            <w:hideMark/>
          </w:tcPr>
          <w:p w14:paraId="70C01D88" w14:textId="77777777" w:rsidR="00875DBA" w:rsidRPr="00875DBA" w:rsidRDefault="00875DBA" w:rsidP="007B44F6">
            <w:pPr>
              <w:jc w:val="center"/>
              <w:rPr>
                <w:rFonts w:asciiTheme="minorHAnsi" w:eastAsia="Times New Roman" w:hAnsiTheme="minorHAnsi" w:cstheme="minorHAnsi"/>
                <w:b/>
                <w:bCs/>
                <w:sz w:val="20"/>
              </w:rPr>
            </w:pPr>
            <w:r w:rsidRPr="00875DBA">
              <w:rPr>
                <w:rFonts w:asciiTheme="minorHAnsi" w:eastAsia="Times New Roman" w:hAnsiTheme="minorHAnsi" w:cstheme="minorHAnsi"/>
                <w:b/>
                <w:bCs/>
                <w:sz w:val="20"/>
              </w:rPr>
              <w:t xml:space="preserve">Original </w:t>
            </w:r>
            <w:proofErr w:type="spellStart"/>
            <w:r w:rsidRPr="00875DBA">
              <w:rPr>
                <w:rFonts w:asciiTheme="minorHAnsi" w:eastAsia="Times New Roman" w:hAnsiTheme="minorHAnsi" w:cstheme="minorHAnsi"/>
                <w:b/>
                <w:bCs/>
                <w:sz w:val="20"/>
              </w:rPr>
              <w:t>PforR</w:t>
            </w:r>
            <w:proofErr w:type="spellEnd"/>
            <w:r w:rsidRPr="00875DBA">
              <w:rPr>
                <w:rFonts w:asciiTheme="minorHAnsi" w:eastAsia="Times New Roman" w:hAnsiTheme="minorHAnsi" w:cstheme="minorHAnsi"/>
                <w:b/>
                <w:bCs/>
                <w:sz w:val="20"/>
              </w:rPr>
              <w:t xml:space="preserve"> (US$)</w:t>
            </w:r>
          </w:p>
        </w:tc>
        <w:tc>
          <w:tcPr>
            <w:tcW w:w="1530" w:type="dxa"/>
            <w:shd w:val="clear" w:color="000000" w:fill="D9D9D9"/>
            <w:noWrap/>
          </w:tcPr>
          <w:p w14:paraId="1539E06C" w14:textId="77777777" w:rsidR="00875DBA" w:rsidRPr="00875DBA" w:rsidRDefault="00875DBA" w:rsidP="007B44F6">
            <w:pPr>
              <w:jc w:val="center"/>
              <w:rPr>
                <w:rFonts w:asciiTheme="minorHAnsi" w:eastAsia="Times New Roman" w:hAnsiTheme="minorHAnsi" w:cstheme="minorHAnsi"/>
                <w:b/>
                <w:sz w:val="20"/>
              </w:rPr>
            </w:pPr>
            <w:r w:rsidRPr="00875DBA">
              <w:rPr>
                <w:rFonts w:asciiTheme="minorHAnsi" w:eastAsia="Times New Roman" w:hAnsiTheme="minorHAnsi" w:cstheme="minorHAnsi"/>
                <w:b/>
                <w:sz w:val="20"/>
              </w:rPr>
              <w:t>AF (US$)</w:t>
            </w:r>
          </w:p>
        </w:tc>
        <w:tc>
          <w:tcPr>
            <w:tcW w:w="2070" w:type="dxa"/>
            <w:shd w:val="clear" w:color="000000" w:fill="D9D9D9"/>
          </w:tcPr>
          <w:p w14:paraId="68634601" w14:textId="77777777" w:rsidR="00875DBA" w:rsidRPr="00875DBA" w:rsidRDefault="00875DBA" w:rsidP="007B44F6">
            <w:pPr>
              <w:jc w:val="center"/>
              <w:rPr>
                <w:rFonts w:asciiTheme="minorHAnsi" w:eastAsia="Times New Roman" w:hAnsiTheme="minorHAnsi" w:cstheme="minorHAnsi"/>
                <w:b/>
                <w:sz w:val="20"/>
              </w:rPr>
            </w:pPr>
            <w:r w:rsidRPr="00875DBA">
              <w:rPr>
                <w:rFonts w:asciiTheme="minorHAnsi" w:eastAsia="Times New Roman" w:hAnsiTheme="minorHAnsi" w:cstheme="minorHAnsi"/>
                <w:b/>
                <w:sz w:val="20"/>
              </w:rPr>
              <w:t>Updated with AF US$)</w:t>
            </w:r>
          </w:p>
        </w:tc>
      </w:tr>
      <w:tr w:rsidR="00875DBA" w:rsidRPr="00875DBA" w14:paraId="5BD77E51" w14:textId="77777777" w:rsidTr="007B44F6">
        <w:trPr>
          <w:trHeight w:val="134"/>
        </w:trPr>
        <w:tc>
          <w:tcPr>
            <w:tcW w:w="2970" w:type="dxa"/>
            <w:shd w:val="clear" w:color="auto" w:fill="auto"/>
            <w:noWrap/>
            <w:vAlign w:val="bottom"/>
            <w:hideMark/>
          </w:tcPr>
          <w:p w14:paraId="5BE87EF6" w14:textId="77777777" w:rsidR="00875DBA" w:rsidRPr="00875DBA" w:rsidRDefault="00875DBA" w:rsidP="007B44F6">
            <w:pPr>
              <w:rPr>
                <w:rFonts w:asciiTheme="minorHAnsi" w:eastAsia="Times New Roman" w:hAnsiTheme="minorHAnsi" w:cstheme="minorHAnsi"/>
                <w:sz w:val="20"/>
              </w:rPr>
            </w:pPr>
            <w:r w:rsidRPr="00875DBA">
              <w:rPr>
                <w:rFonts w:asciiTheme="minorHAnsi" w:eastAsia="Times New Roman" w:hAnsiTheme="minorHAnsi" w:cstheme="minorHAnsi"/>
                <w:sz w:val="20"/>
              </w:rPr>
              <w:t>BT own funds (tariff-regulated revenue)</w:t>
            </w:r>
          </w:p>
        </w:tc>
        <w:tc>
          <w:tcPr>
            <w:tcW w:w="1890" w:type="dxa"/>
            <w:shd w:val="clear" w:color="auto" w:fill="auto"/>
            <w:noWrap/>
            <w:vAlign w:val="center"/>
            <w:hideMark/>
          </w:tcPr>
          <w:p w14:paraId="015B8215" w14:textId="77777777" w:rsidR="00875DBA" w:rsidRPr="00875DBA" w:rsidRDefault="00875DBA" w:rsidP="007B44F6">
            <w:pPr>
              <w:jc w:val="center"/>
              <w:rPr>
                <w:rFonts w:asciiTheme="minorHAnsi" w:eastAsia="Times New Roman" w:hAnsiTheme="minorHAnsi" w:cstheme="minorHAnsi"/>
                <w:sz w:val="20"/>
              </w:rPr>
            </w:pPr>
            <w:r w:rsidRPr="00875DBA">
              <w:rPr>
                <w:rFonts w:asciiTheme="minorHAnsi" w:eastAsia="Times New Roman" w:hAnsiTheme="minorHAnsi" w:cstheme="minorHAnsi"/>
                <w:sz w:val="20"/>
              </w:rPr>
              <w:t>305,100,043</w:t>
            </w:r>
          </w:p>
        </w:tc>
        <w:tc>
          <w:tcPr>
            <w:tcW w:w="1530" w:type="dxa"/>
            <w:shd w:val="clear" w:color="auto" w:fill="auto"/>
            <w:noWrap/>
            <w:vAlign w:val="center"/>
          </w:tcPr>
          <w:p w14:paraId="2E9A0385" w14:textId="77777777" w:rsidR="00875DBA" w:rsidRPr="00875DBA" w:rsidRDefault="00875DBA" w:rsidP="007B44F6">
            <w:pPr>
              <w:jc w:val="center"/>
              <w:rPr>
                <w:rFonts w:asciiTheme="minorHAnsi" w:eastAsia="Times New Roman" w:hAnsiTheme="minorHAnsi" w:cstheme="minorHAnsi"/>
                <w:sz w:val="20"/>
              </w:rPr>
            </w:pPr>
            <w:r w:rsidRPr="00875DBA">
              <w:rPr>
                <w:rFonts w:asciiTheme="minorHAnsi" w:eastAsia="Times New Roman" w:hAnsiTheme="minorHAnsi" w:cstheme="minorHAnsi"/>
                <w:sz w:val="20"/>
              </w:rPr>
              <w:t>-</w:t>
            </w:r>
          </w:p>
        </w:tc>
        <w:tc>
          <w:tcPr>
            <w:tcW w:w="2070" w:type="dxa"/>
            <w:vAlign w:val="center"/>
          </w:tcPr>
          <w:p w14:paraId="6585DF61" w14:textId="77777777" w:rsidR="00875DBA" w:rsidRPr="00875DBA" w:rsidRDefault="00875DBA" w:rsidP="007B44F6">
            <w:pPr>
              <w:jc w:val="center"/>
              <w:rPr>
                <w:rFonts w:asciiTheme="minorHAnsi" w:eastAsia="Times New Roman" w:hAnsiTheme="minorHAnsi" w:cstheme="minorHAnsi"/>
                <w:sz w:val="20"/>
              </w:rPr>
            </w:pPr>
            <w:r w:rsidRPr="00875DBA">
              <w:rPr>
                <w:rFonts w:asciiTheme="minorHAnsi" w:eastAsia="Times New Roman" w:hAnsiTheme="minorHAnsi" w:cstheme="minorHAnsi"/>
                <w:sz w:val="20"/>
              </w:rPr>
              <w:t>265,100,043</w:t>
            </w:r>
          </w:p>
        </w:tc>
      </w:tr>
      <w:tr w:rsidR="00875DBA" w:rsidRPr="00875DBA" w14:paraId="77248753" w14:textId="77777777" w:rsidTr="007B44F6">
        <w:trPr>
          <w:trHeight w:val="242"/>
        </w:trPr>
        <w:tc>
          <w:tcPr>
            <w:tcW w:w="2970" w:type="dxa"/>
            <w:shd w:val="clear" w:color="auto" w:fill="auto"/>
            <w:noWrap/>
            <w:vAlign w:val="bottom"/>
            <w:hideMark/>
          </w:tcPr>
          <w:p w14:paraId="7515C523" w14:textId="77777777" w:rsidR="00875DBA" w:rsidRPr="00875DBA" w:rsidRDefault="00875DBA" w:rsidP="007B44F6">
            <w:pPr>
              <w:rPr>
                <w:rFonts w:asciiTheme="minorHAnsi" w:eastAsia="Times New Roman" w:hAnsiTheme="minorHAnsi" w:cstheme="minorHAnsi"/>
                <w:sz w:val="20"/>
              </w:rPr>
            </w:pPr>
            <w:r w:rsidRPr="00875DBA">
              <w:rPr>
                <w:rFonts w:asciiTheme="minorHAnsi" w:eastAsia="Times New Roman" w:hAnsiTheme="minorHAnsi" w:cstheme="minorHAnsi"/>
                <w:sz w:val="20"/>
              </w:rPr>
              <w:t>IDA (</w:t>
            </w:r>
            <w:proofErr w:type="spellStart"/>
            <w:r w:rsidRPr="00875DBA">
              <w:rPr>
                <w:rFonts w:asciiTheme="minorHAnsi" w:eastAsia="Times New Roman" w:hAnsiTheme="minorHAnsi" w:cstheme="minorHAnsi"/>
                <w:sz w:val="20"/>
              </w:rPr>
              <w:t>PforR</w:t>
            </w:r>
            <w:proofErr w:type="spellEnd"/>
            <w:r w:rsidRPr="00875DBA">
              <w:rPr>
                <w:rFonts w:asciiTheme="minorHAnsi" w:eastAsia="Times New Roman" w:hAnsiTheme="minorHAnsi" w:cstheme="minorHAnsi"/>
                <w:sz w:val="20"/>
              </w:rPr>
              <w:t xml:space="preserve"> funding)</w:t>
            </w:r>
          </w:p>
        </w:tc>
        <w:tc>
          <w:tcPr>
            <w:tcW w:w="1890" w:type="dxa"/>
            <w:shd w:val="clear" w:color="auto" w:fill="auto"/>
            <w:noWrap/>
            <w:vAlign w:val="center"/>
            <w:hideMark/>
          </w:tcPr>
          <w:p w14:paraId="5F38B624" w14:textId="77777777" w:rsidR="00875DBA" w:rsidRPr="00875DBA" w:rsidRDefault="00875DBA" w:rsidP="007B44F6">
            <w:pPr>
              <w:jc w:val="center"/>
              <w:rPr>
                <w:rFonts w:asciiTheme="minorHAnsi" w:eastAsia="Times New Roman" w:hAnsiTheme="minorHAnsi" w:cstheme="minorHAnsi"/>
                <w:sz w:val="20"/>
              </w:rPr>
            </w:pPr>
            <w:r w:rsidRPr="00875DBA">
              <w:rPr>
                <w:rFonts w:asciiTheme="minorHAnsi" w:eastAsia="Times New Roman" w:hAnsiTheme="minorHAnsi" w:cstheme="minorHAnsi"/>
                <w:sz w:val="20"/>
              </w:rPr>
              <w:t>134,000,000</w:t>
            </w:r>
          </w:p>
        </w:tc>
        <w:tc>
          <w:tcPr>
            <w:tcW w:w="1530" w:type="dxa"/>
            <w:shd w:val="clear" w:color="auto" w:fill="auto"/>
            <w:noWrap/>
            <w:vAlign w:val="center"/>
          </w:tcPr>
          <w:p w14:paraId="1DB0689C" w14:textId="77777777" w:rsidR="00875DBA" w:rsidRPr="00875DBA" w:rsidRDefault="00875DBA" w:rsidP="007B44F6">
            <w:pPr>
              <w:jc w:val="center"/>
              <w:rPr>
                <w:rFonts w:asciiTheme="minorHAnsi" w:eastAsia="Times New Roman" w:hAnsiTheme="minorHAnsi" w:cstheme="minorHAnsi"/>
                <w:sz w:val="20"/>
              </w:rPr>
            </w:pPr>
            <w:r w:rsidRPr="00875DBA">
              <w:rPr>
                <w:rFonts w:asciiTheme="minorHAnsi" w:eastAsia="Times New Roman" w:hAnsiTheme="minorHAnsi" w:cstheme="minorHAnsi"/>
                <w:sz w:val="20"/>
              </w:rPr>
              <w:t>80,000,000</w:t>
            </w:r>
          </w:p>
        </w:tc>
        <w:tc>
          <w:tcPr>
            <w:tcW w:w="2070" w:type="dxa"/>
            <w:vAlign w:val="center"/>
          </w:tcPr>
          <w:p w14:paraId="13A9E0DF" w14:textId="77777777" w:rsidR="00875DBA" w:rsidRPr="00875DBA" w:rsidRDefault="00875DBA" w:rsidP="007B44F6">
            <w:pPr>
              <w:jc w:val="center"/>
              <w:rPr>
                <w:rFonts w:asciiTheme="minorHAnsi" w:eastAsia="Times New Roman" w:hAnsiTheme="minorHAnsi" w:cstheme="minorHAnsi"/>
                <w:sz w:val="20"/>
              </w:rPr>
            </w:pPr>
            <w:r w:rsidRPr="00875DBA">
              <w:rPr>
                <w:rFonts w:asciiTheme="minorHAnsi" w:eastAsia="Times New Roman" w:hAnsiTheme="minorHAnsi" w:cstheme="minorHAnsi"/>
                <w:sz w:val="20"/>
              </w:rPr>
              <w:t>214,000,000</w:t>
            </w:r>
          </w:p>
        </w:tc>
      </w:tr>
      <w:tr w:rsidR="00875DBA" w:rsidRPr="00875DBA" w14:paraId="0C27716F" w14:textId="77777777" w:rsidTr="007B44F6">
        <w:trPr>
          <w:trHeight w:val="161"/>
        </w:trPr>
        <w:tc>
          <w:tcPr>
            <w:tcW w:w="2970" w:type="dxa"/>
            <w:shd w:val="clear" w:color="auto" w:fill="auto"/>
            <w:noWrap/>
            <w:vAlign w:val="bottom"/>
            <w:hideMark/>
          </w:tcPr>
          <w:p w14:paraId="4F6883D2" w14:textId="77777777" w:rsidR="00875DBA" w:rsidRPr="00875DBA" w:rsidRDefault="00875DBA" w:rsidP="007B44F6">
            <w:pPr>
              <w:rPr>
                <w:rFonts w:asciiTheme="minorHAnsi" w:eastAsia="Times New Roman" w:hAnsiTheme="minorHAnsi" w:cstheme="minorHAnsi"/>
                <w:sz w:val="20"/>
              </w:rPr>
            </w:pPr>
            <w:r w:rsidRPr="00875DBA">
              <w:rPr>
                <w:rFonts w:asciiTheme="minorHAnsi" w:eastAsia="Times New Roman" w:hAnsiTheme="minorHAnsi" w:cstheme="minorHAnsi"/>
                <w:sz w:val="20"/>
              </w:rPr>
              <w:t>Financing gap</w:t>
            </w:r>
          </w:p>
        </w:tc>
        <w:tc>
          <w:tcPr>
            <w:tcW w:w="1890" w:type="dxa"/>
            <w:shd w:val="clear" w:color="auto" w:fill="auto"/>
            <w:noWrap/>
            <w:vAlign w:val="center"/>
            <w:hideMark/>
          </w:tcPr>
          <w:p w14:paraId="7795F51D" w14:textId="77777777" w:rsidR="00875DBA" w:rsidRPr="00875DBA" w:rsidRDefault="00875DBA" w:rsidP="007B44F6">
            <w:pPr>
              <w:jc w:val="center"/>
              <w:rPr>
                <w:rFonts w:asciiTheme="minorHAnsi" w:eastAsia="Times New Roman" w:hAnsiTheme="minorHAnsi" w:cstheme="minorHAnsi"/>
                <w:sz w:val="20"/>
              </w:rPr>
            </w:pPr>
            <w:r w:rsidRPr="00875DBA">
              <w:rPr>
                <w:rFonts w:asciiTheme="minorHAnsi" w:eastAsia="Times New Roman" w:hAnsiTheme="minorHAnsi" w:cstheme="minorHAnsi"/>
                <w:sz w:val="20"/>
              </w:rPr>
              <w:t>40,000,000</w:t>
            </w:r>
          </w:p>
        </w:tc>
        <w:tc>
          <w:tcPr>
            <w:tcW w:w="1530" w:type="dxa"/>
            <w:shd w:val="clear" w:color="auto" w:fill="auto"/>
            <w:noWrap/>
            <w:vAlign w:val="center"/>
          </w:tcPr>
          <w:p w14:paraId="4EE953F8" w14:textId="77777777" w:rsidR="00875DBA" w:rsidRPr="00875DBA" w:rsidRDefault="00875DBA" w:rsidP="007B44F6">
            <w:pPr>
              <w:jc w:val="center"/>
              <w:rPr>
                <w:rFonts w:asciiTheme="minorHAnsi" w:eastAsia="Times New Roman" w:hAnsiTheme="minorHAnsi" w:cstheme="minorHAnsi"/>
                <w:sz w:val="20"/>
              </w:rPr>
            </w:pPr>
            <w:r w:rsidRPr="00875DBA">
              <w:rPr>
                <w:rFonts w:asciiTheme="minorHAnsi" w:eastAsia="Times New Roman" w:hAnsiTheme="minorHAnsi" w:cstheme="minorHAnsi"/>
                <w:sz w:val="20"/>
              </w:rPr>
              <w:t>-</w:t>
            </w:r>
          </w:p>
        </w:tc>
        <w:tc>
          <w:tcPr>
            <w:tcW w:w="2070" w:type="dxa"/>
            <w:vAlign w:val="center"/>
          </w:tcPr>
          <w:p w14:paraId="68472370" w14:textId="77777777" w:rsidR="00875DBA" w:rsidRPr="00875DBA" w:rsidRDefault="00875DBA" w:rsidP="007B44F6">
            <w:pPr>
              <w:jc w:val="center"/>
              <w:rPr>
                <w:rFonts w:asciiTheme="minorHAnsi" w:eastAsia="Times New Roman" w:hAnsiTheme="minorHAnsi" w:cstheme="minorHAnsi"/>
                <w:sz w:val="20"/>
              </w:rPr>
            </w:pPr>
            <w:r w:rsidRPr="00875DBA">
              <w:rPr>
                <w:rFonts w:asciiTheme="minorHAnsi" w:eastAsia="Times New Roman" w:hAnsiTheme="minorHAnsi" w:cstheme="minorHAnsi"/>
                <w:sz w:val="20"/>
              </w:rPr>
              <w:t>-</w:t>
            </w:r>
          </w:p>
        </w:tc>
      </w:tr>
      <w:tr w:rsidR="00875DBA" w:rsidRPr="00875DBA" w14:paraId="5BB85A23" w14:textId="77777777" w:rsidTr="007B44F6">
        <w:trPr>
          <w:trHeight w:val="179"/>
        </w:trPr>
        <w:tc>
          <w:tcPr>
            <w:tcW w:w="2970" w:type="dxa"/>
            <w:shd w:val="clear" w:color="auto" w:fill="auto"/>
            <w:noWrap/>
            <w:vAlign w:val="bottom"/>
          </w:tcPr>
          <w:p w14:paraId="60375875" w14:textId="77777777" w:rsidR="00875DBA" w:rsidRPr="00875DBA" w:rsidRDefault="00875DBA" w:rsidP="007B44F6">
            <w:pPr>
              <w:rPr>
                <w:rFonts w:asciiTheme="minorHAnsi" w:eastAsia="Times New Roman" w:hAnsiTheme="minorHAnsi" w:cstheme="minorHAnsi"/>
                <w:b/>
                <w:sz w:val="20"/>
              </w:rPr>
            </w:pPr>
            <w:r w:rsidRPr="00875DBA">
              <w:rPr>
                <w:rFonts w:asciiTheme="minorHAnsi" w:eastAsia="Times New Roman" w:hAnsiTheme="minorHAnsi" w:cstheme="minorHAnsi"/>
                <w:b/>
                <w:sz w:val="20"/>
              </w:rPr>
              <w:t>Total</w:t>
            </w:r>
          </w:p>
        </w:tc>
        <w:tc>
          <w:tcPr>
            <w:tcW w:w="1890" w:type="dxa"/>
            <w:shd w:val="clear" w:color="auto" w:fill="auto"/>
            <w:noWrap/>
            <w:vAlign w:val="center"/>
          </w:tcPr>
          <w:p w14:paraId="464975FE" w14:textId="77777777" w:rsidR="00875DBA" w:rsidRPr="00875DBA" w:rsidRDefault="00875DBA" w:rsidP="007B44F6">
            <w:pPr>
              <w:jc w:val="center"/>
              <w:rPr>
                <w:rFonts w:asciiTheme="minorHAnsi" w:eastAsia="Times New Roman" w:hAnsiTheme="minorHAnsi" w:cstheme="minorHAnsi"/>
                <w:b/>
                <w:sz w:val="20"/>
              </w:rPr>
            </w:pPr>
            <w:r w:rsidRPr="00875DBA">
              <w:rPr>
                <w:rFonts w:asciiTheme="minorHAnsi" w:eastAsia="Times New Roman" w:hAnsiTheme="minorHAnsi" w:cstheme="minorHAnsi"/>
                <w:b/>
                <w:sz w:val="20"/>
              </w:rPr>
              <w:t>479,100,043</w:t>
            </w:r>
          </w:p>
        </w:tc>
        <w:tc>
          <w:tcPr>
            <w:tcW w:w="1530" w:type="dxa"/>
            <w:shd w:val="clear" w:color="auto" w:fill="auto"/>
            <w:noWrap/>
            <w:vAlign w:val="center"/>
          </w:tcPr>
          <w:p w14:paraId="0B4063EC" w14:textId="77777777" w:rsidR="00875DBA" w:rsidRPr="00875DBA" w:rsidRDefault="00875DBA" w:rsidP="007B44F6">
            <w:pPr>
              <w:jc w:val="center"/>
              <w:rPr>
                <w:rFonts w:asciiTheme="minorHAnsi" w:eastAsia="Times New Roman" w:hAnsiTheme="minorHAnsi" w:cstheme="minorHAnsi"/>
                <w:b/>
                <w:sz w:val="20"/>
              </w:rPr>
            </w:pPr>
            <w:r w:rsidRPr="00875DBA">
              <w:rPr>
                <w:rFonts w:asciiTheme="minorHAnsi" w:eastAsia="Times New Roman" w:hAnsiTheme="minorHAnsi" w:cstheme="minorHAnsi"/>
                <w:b/>
                <w:sz w:val="20"/>
              </w:rPr>
              <w:t>-</w:t>
            </w:r>
          </w:p>
        </w:tc>
        <w:tc>
          <w:tcPr>
            <w:tcW w:w="2070" w:type="dxa"/>
            <w:vAlign w:val="center"/>
          </w:tcPr>
          <w:p w14:paraId="4046159F" w14:textId="77777777" w:rsidR="00875DBA" w:rsidRPr="00875DBA" w:rsidRDefault="00875DBA" w:rsidP="007B44F6">
            <w:pPr>
              <w:jc w:val="center"/>
              <w:rPr>
                <w:rFonts w:asciiTheme="minorHAnsi" w:eastAsia="Times New Roman" w:hAnsiTheme="minorHAnsi" w:cstheme="minorHAnsi"/>
                <w:b/>
                <w:sz w:val="20"/>
              </w:rPr>
            </w:pPr>
            <w:r w:rsidRPr="00875DBA">
              <w:rPr>
                <w:rFonts w:asciiTheme="minorHAnsi" w:eastAsia="Times New Roman" w:hAnsiTheme="minorHAnsi" w:cstheme="minorHAnsi"/>
                <w:b/>
                <w:sz w:val="20"/>
              </w:rPr>
              <w:t>479,100,043</w:t>
            </w:r>
          </w:p>
        </w:tc>
      </w:tr>
    </w:tbl>
    <w:p w14:paraId="28744068" w14:textId="1B558298" w:rsidR="008C7864" w:rsidRDefault="008C7864" w:rsidP="00902334">
      <w:pPr>
        <w:ind w:left="-540"/>
        <w:rPr>
          <w:rFonts w:asciiTheme="minorHAnsi" w:hAnsiTheme="minorHAnsi"/>
          <w:bCs/>
          <w:color w:val="auto"/>
          <w:sz w:val="22"/>
          <w:szCs w:val="22"/>
        </w:rPr>
      </w:pPr>
    </w:p>
    <w:p w14:paraId="3A7FB97E" w14:textId="3417E0EA" w:rsidR="00106144" w:rsidRDefault="00AA714C" w:rsidP="00DC44A8">
      <w:pPr>
        <w:pStyle w:val="ListParagraph"/>
        <w:numPr>
          <w:ilvl w:val="0"/>
          <w:numId w:val="3"/>
        </w:numPr>
        <w:tabs>
          <w:tab w:val="left" w:pos="0"/>
        </w:tabs>
        <w:spacing w:after="120"/>
        <w:ind w:left="-360" w:firstLine="0"/>
        <w:contextualSpacing w:val="0"/>
        <w:jc w:val="both"/>
        <w:rPr>
          <w:rFonts w:asciiTheme="minorHAnsi" w:hAnsiTheme="minorHAnsi"/>
          <w:bCs/>
          <w:color w:val="auto"/>
          <w:sz w:val="22"/>
          <w:szCs w:val="22"/>
        </w:rPr>
      </w:pPr>
      <w:r w:rsidRPr="00AA714C">
        <w:rPr>
          <w:rFonts w:asciiTheme="minorHAnsi" w:hAnsiTheme="minorHAnsi"/>
          <w:b/>
          <w:color w:val="auto"/>
          <w:sz w:val="22"/>
          <w:szCs w:val="22"/>
        </w:rPr>
        <w:t>Sustainability of the Program</w:t>
      </w:r>
      <w:r>
        <w:rPr>
          <w:rFonts w:asciiTheme="minorHAnsi" w:hAnsiTheme="minorHAnsi"/>
          <w:bCs/>
          <w:color w:val="auto"/>
          <w:sz w:val="22"/>
          <w:szCs w:val="22"/>
        </w:rPr>
        <w:t>. The sustainability of the Program results will be secured due to the following main factors.</w:t>
      </w:r>
    </w:p>
    <w:p w14:paraId="4860A5A1" w14:textId="4A96E105" w:rsidR="0093749E" w:rsidRPr="0093749E" w:rsidRDefault="0093749E" w:rsidP="00DC44A8">
      <w:pPr>
        <w:pStyle w:val="ListParagraph"/>
        <w:numPr>
          <w:ilvl w:val="1"/>
          <w:numId w:val="3"/>
        </w:numPr>
        <w:tabs>
          <w:tab w:val="left" w:pos="270"/>
        </w:tabs>
        <w:spacing w:after="120"/>
        <w:ind w:left="274" w:hanging="274"/>
        <w:contextualSpacing w:val="0"/>
        <w:jc w:val="both"/>
        <w:rPr>
          <w:rFonts w:asciiTheme="minorHAnsi" w:hAnsiTheme="minorHAnsi"/>
          <w:bCs/>
          <w:color w:val="auto"/>
          <w:sz w:val="22"/>
          <w:szCs w:val="22"/>
        </w:rPr>
      </w:pPr>
      <w:r w:rsidRPr="00DC44A8">
        <w:rPr>
          <w:rFonts w:asciiTheme="minorHAnsi" w:hAnsiTheme="minorHAnsi"/>
          <w:b/>
          <w:i/>
          <w:iCs/>
          <w:color w:val="auto"/>
          <w:sz w:val="22"/>
          <w:szCs w:val="22"/>
        </w:rPr>
        <w:t>Commitment to achieve cost-recovery electricity tariffs</w:t>
      </w:r>
      <w:r>
        <w:rPr>
          <w:rFonts w:asciiTheme="minorHAnsi" w:hAnsiTheme="minorHAnsi"/>
          <w:bCs/>
          <w:color w:val="auto"/>
          <w:sz w:val="22"/>
          <w:szCs w:val="22"/>
        </w:rPr>
        <w:t xml:space="preserve">. </w:t>
      </w:r>
      <w:r>
        <w:rPr>
          <w:rFonts w:asciiTheme="minorHAnsi" w:hAnsiTheme="minorHAnsi" w:cstheme="minorHAnsi"/>
          <w:sz w:val="22"/>
          <w:szCs w:val="22"/>
        </w:rPr>
        <w:t>T</w:t>
      </w:r>
      <w:r w:rsidRPr="0093749E">
        <w:rPr>
          <w:rFonts w:asciiTheme="minorHAnsi" w:hAnsiTheme="minorHAnsi" w:cstheme="minorHAnsi"/>
          <w:sz w:val="22"/>
          <w:szCs w:val="22"/>
        </w:rPr>
        <w:t xml:space="preserve">he Government is planning a tariff increase </w:t>
      </w:r>
      <w:r w:rsidRPr="0093749E">
        <w:rPr>
          <w:rFonts w:asciiTheme="minorHAnsi" w:hAnsiTheme="minorHAnsi" w:cstheme="minorHAnsi"/>
          <w:sz w:val="22"/>
          <w:szCs w:val="22"/>
        </w:rPr>
        <w:lastRenderedPageBreak/>
        <w:t>by the end of 2022, which would be a major contributor to increasing the sector’s cash flows.</w:t>
      </w:r>
      <w:r w:rsidR="00DC44A8">
        <w:rPr>
          <w:rFonts w:asciiTheme="minorHAnsi" w:hAnsiTheme="minorHAnsi" w:cstheme="minorHAnsi"/>
          <w:sz w:val="22"/>
          <w:szCs w:val="22"/>
        </w:rPr>
        <w:t xml:space="preserve"> Moreover, Government has demonstrated commitment to reaching cost recovery since 2017 with tariffs adjusted three times during the period of 2017-2019.</w:t>
      </w:r>
    </w:p>
    <w:p w14:paraId="13AC604E" w14:textId="0DB912CC" w:rsidR="00106144" w:rsidRDefault="0093749E" w:rsidP="00DC44A8">
      <w:pPr>
        <w:pStyle w:val="ListParagraph"/>
        <w:numPr>
          <w:ilvl w:val="1"/>
          <w:numId w:val="3"/>
        </w:numPr>
        <w:tabs>
          <w:tab w:val="left" w:pos="270"/>
        </w:tabs>
        <w:spacing w:after="120"/>
        <w:ind w:left="274" w:hanging="274"/>
        <w:contextualSpacing w:val="0"/>
        <w:jc w:val="both"/>
        <w:rPr>
          <w:rFonts w:asciiTheme="minorHAnsi" w:hAnsiTheme="minorHAnsi"/>
          <w:bCs/>
          <w:color w:val="auto"/>
          <w:sz w:val="22"/>
          <w:szCs w:val="22"/>
        </w:rPr>
      </w:pPr>
      <w:r w:rsidRPr="00DC44A8">
        <w:rPr>
          <w:rFonts w:asciiTheme="minorHAnsi" w:hAnsiTheme="minorHAnsi"/>
          <w:b/>
          <w:i/>
          <w:iCs/>
          <w:color w:val="auto"/>
          <w:sz w:val="22"/>
          <w:szCs w:val="22"/>
        </w:rPr>
        <w:t>Improvement of payment discipline by Afghanistan</w:t>
      </w:r>
      <w:r>
        <w:rPr>
          <w:rFonts w:asciiTheme="minorHAnsi" w:hAnsiTheme="minorHAnsi"/>
          <w:bCs/>
          <w:color w:val="auto"/>
          <w:sz w:val="22"/>
          <w:szCs w:val="22"/>
        </w:rPr>
        <w:t xml:space="preserve">. In </w:t>
      </w:r>
      <w:r w:rsidRPr="00164336">
        <w:rPr>
          <w:rFonts w:asciiTheme="minorHAnsi" w:hAnsiTheme="minorHAnsi"/>
          <w:bCs/>
          <w:color w:val="auto"/>
          <w:sz w:val="22"/>
          <w:szCs w:val="22"/>
        </w:rPr>
        <w:t>January - April 2022, BT exports to Afghanistan amounted to about US$</w:t>
      </w:r>
      <w:r w:rsidR="00DC44A8" w:rsidRPr="00164336">
        <w:rPr>
          <w:rFonts w:asciiTheme="minorHAnsi" w:hAnsiTheme="minorHAnsi"/>
          <w:bCs/>
          <w:color w:val="auto"/>
          <w:sz w:val="22"/>
          <w:szCs w:val="22"/>
        </w:rPr>
        <w:t>9.5</w:t>
      </w:r>
      <w:r w:rsidRPr="00164336">
        <w:rPr>
          <w:rFonts w:asciiTheme="minorHAnsi" w:hAnsiTheme="minorHAnsi"/>
          <w:bCs/>
          <w:color w:val="auto"/>
          <w:sz w:val="22"/>
          <w:szCs w:val="22"/>
        </w:rPr>
        <w:t xml:space="preserve"> million, but BT received about US$</w:t>
      </w:r>
      <w:r w:rsidR="00DC44A8" w:rsidRPr="00164336">
        <w:rPr>
          <w:rFonts w:asciiTheme="minorHAnsi" w:hAnsiTheme="minorHAnsi"/>
          <w:bCs/>
          <w:color w:val="auto"/>
          <w:sz w:val="22"/>
          <w:szCs w:val="22"/>
        </w:rPr>
        <w:t>21</w:t>
      </w:r>
      <w:r w:rsidRPr="00164336">
        <w:rPr>
          <w:rFonts w:asciiTheme="minorHAnsi" w:hAnsiTheme="minorHAnsi"/>
          <w:bCs/>
          <w:color w:val="auto"/>
          <w:sz w:val="22"/>
          <w:szCs w:val="22"/>
        </w:rPr>
        <w:t xml:space="preserve"> million which included payments for other overdue payables by Afghanistan. This has reduced the total payables of Afghanistan </w:t>
      </w:r>
      <w:r w:rsidR="00DC44A8" w:rsidRPr="00164336">
        <w:rPr>
          <w:rFonts w:asciiTheme="minorHAnsi" w:hAnsiTheme="minorHAnsi"/>
          <w:bCs/>
          <w:color w:val="auto"/>
          <w:sz w:val="22"/>
          <w:szCs w:val="22"/>
        </w:rPr>
        <w:t>to US$23 million</w:t>
      </w:r>
      <w:r w:rsidR="00A442F9" w:rsidRPr="00164336">
        <w:rPr>
          <w:rFonts w:asciiTheme="minorHAnsi" w:hAnsiTheme="minorHAnsi"/>
          <w:bCs/>
          <w:color w:val="auto"/>
          <w:sz w:val="22"/>
          <w:szCs w:val="22"/>
        </w:rPr>
        <w:t xml:space="preserve"> as of April 30, </w:t>
      </w:r>
      <w:proofErr w:type="gramStart"/>
      <w:r w:rsidR="00A442F9" w:rsidRPr="00164336">
        <w:rPr>
          <w:rFonts w:asciiTheme="minorHAnsi" w:hAnsiTheme="minorHAnsi"/>
          <w:bCs/>
          <w:color w:val="auto"/>
          <w:sz w:val="22"/>
          <w:szCs w:val="22"/>
        </w:rPr>
        <w:t>2022</w:t>
      </w:r>
      <w:proofErr w:type="gramEnd"/>
      <w:r w:rsidR="00A442F9" w:rsidRPr="00164336">
        <w:rPr>
          <w:rFonts w:asciiTheme="minorHAnsi" w:hAnsiTheme="minorHAnsi"/>
          <w:bCs/>
          <w:color w:val="auto"/>
          <w:sz w:val="22"/>
          <w:szCs w:val="22"/>
        </w:rPr>
        <w:t xml:space="preserve"> compared to US$</w:t>
      </w:r>
      <w:r w:rsidR="00164336" w:rsidRPr="00164336">
        <w:rPr>
          <w:rFonts w:asciiTheme="minorHAnsi" w:hAnsiTheme="minorHAnsi"/>
          <w:bCs/>
          <w:color w:val="auto"/>
          <w:sz w:val="22"/>
          <w:szCs w:val="22"/>
        </w:rPr>
        <w:t>36</w:t>
      </w:r>
      <w:r w:rsidR="00A442F9" w:rsidRPr="00164336">
        <w:rPr>
          <w:rFonts w:asciiTheme="minorHAnsi" w:hAnsiTheme="minorHAnsi"/>
          <w:bCs/>
          <w:color w:val="auto"/>
          <w:sz w:val="22"/>
          <w:szCs w:val="22"/>
        </w:rPr>
        <w:t xml:space="preserve"> million as of December</w:t>
      </w:r>
      <w:r w:rsidR="00A442F9">
        <w:rPr>
          <w:rFonts w:asciiTheme="minorHAnsi" w:hAnsiTheme="minorHAnsi"/>
          <w:bCs/>
          <w:color w:val="auto"/>
          <w:sz w:val="22"/>
          <w:szCs w:val="22"/>
        </w:rPr>
        <w:t xml:space="preserve"> 31, 2021.</w:t>
      </w:r>
    </w:p>
    <w:p w14:paraId="685B0C5D" w14:textId="28A3E8E2" w:rsidR="00106144" w:rsidRDefault="00DC44A8" w:rsidP="005158C5">
      <w:pPr>
        <w:pStyle w:val="ListParagraph"/>
        <w:numPr>
          <w:ilvl w:val="1"/>
          <w:numId w:val="3"/>
        </w:numPr>
        <w:tabs>
          <w:tab w:val="left" w:pos="270"/>
        </w:tabs>
        <w:spacing w:after="120"/>
        <w:ind w:left="274" w:hanging="274"/>
        <w:contextualSpacing w:val="0"/>
        <w:jc w:val="both"/>
        <w:rPr>
          <w:rFonts w:asciiTheme="minorHAnsi" w:hAnsiTheme="minorHAnsi"/>
          <w:bCs/>
          <w:color w:val="auto"/>
          <w:sz w:val="22"/>
          <w:szCs w:val="22"/>
        </w:rPr>
      </w:pPr>
      <w:r w:rsidRPr="005158C5">
        <w:rPr>
          <w:rFonts w:asciiTheme="minorHAnsi" w:hAnsiTheme="minorHAnsi"/>
          <w:b/>
          <w:i/>
          <w:iCs/>
          <w:color w:val="auto"/>
          <w:sz w:val="22"/>
          <w:szCs w:val="22"/>
        </w:rPr>
        <w:t>Continued focused on efficiency and transparency of electricity sector</w:t>
      </w:r>
      <w:r>
        <w:rPr>
          <w:rFonts w:asciiTheme="minorHAnsi" w:hAnsiTheme="minorHAnsi"/>
          <w:bCs/>
          <w:color w:val="auto"/>
          <w:sz w:val="22"/>
          <w:szCs w:val="22"/>
        </w:rPr>
        <w:t xml:space="preserve">. BT as well as the new companies have been optimizing the expenditures and continued to </w:t>
      </w:r>
      <w:proofErr w:type="gramStart"/>
      <w:r>
        <w:rPr>
          <w:rFonts w:asciiTheme="minorHAnsi" w:hAnsiTheme="minorHAnsi"/>
          <w:bCs/>
          <w:color w:val="auto"/>
          <w:sz w:val="22"/>
          <w:szCs w:val="22"/>
        </w:rPr>
        <w:t>reduce significantly</w:t>
      </w:r>
      <w:proofErr w:type="gramEnd"/>
      <w:r>
        <w:rPr>
          <w:rFonts w:asciiTheme="minorHAnsi" w:hAnsiTheme="minorHAnsi"/>
          <w:bCs/>
          <w:color w:val="auto"/>
          <w:sz w:val="22"/>
          <w:szCs w:val="22"/>
        </w:rPr>
        <w:t xml:space="preserve"> the purchases of inventory to match the ongoing needs. Moreover, the Government has adopted the new </w:t>
      </w:r>
      <w:r w:rsidR="005158C5">
        <w:rPr>
          <w:rFonts w:asciiTheme="minorHAnsi" w:hAnsiTheme="minorHAnsi"/>
          <w:bCs/>
          <w:color w:val="auto"/>
          <w:sz w:val="22"/>
          <w:szCs w:val="22"/>
        </w:rPr>
        <w:t>Escrow Account Regulations, which require establishment of the escrow account and its implementation to further improve predictability of cash flows for electricity sector companies as well as the transparency of the funds flow in the sector.</w:t>
      </w:r>
      <w:r w:rsidR="00406E14">
        <w:rPr>
          <w:rFonts w:asciiTheme="minorHAnsi" w:hAnsiTheme="minorHAnsi"/>
          <w:bCs/>
          <w:color w:val="auto"/>
          <w:sz w:val="22"/>
          <w:szCs w:val="22"/>
        </w:rPr>
        <w:t xml:space="preserve"> Moreover, the escrow account mechanism prioritizes payments of liabilities that are the most burdensome for the electricity sector.</w:t>
      </w:r>
    </w:p>
    <w:p w14:paraId="7904EFF1" w14:textId="60D37638" w:rsidR="005C1F1B" w:rsidRPr="005158C5" w:rsidRDefault="00546217" w:rsidP="005158C5">
      <w:pPr>
        <w:pStyle w:val="ListParagraph"/>
        <w:numPr>
          <w:ilvl w:val="1"/>
          <w:numId w:val="3"/>
        </w:numPr>
        <w:tabs>
          <w:tab w:val="left" w:pos="270"/>
        </w:tabs>
        <w:spacing w:after="120"/>
        <w:ind w:left="274" w:hanging="274"/>
        <w:contextualSpacing w:val="0"/>
        <w:jc w:val="both"/>
        <w:rPr>
          <w:rFonts w:asciiTheme="minorHAnsi" w:hAnsiTheme="minorHAnsi"/>
          <w:bCs/>
          <w:color w:val="auto"/>
          <w:sz w:val="22"/>
          <w:szCs w:val="22"/>
        </w:rPr>
      </w:pPr>
      <w:r>
        <w:rPr>
          <w:rFonts w:asciiTheme="minorHAnsi" w:hAnsiTheme="minorHAnsi"/>
          <w:b/>
          <w:i/>
          <w:iCs/>
          <w:color w:val="auto"/>
          <w:sz w:val="22"/>
          <w:szCs w:val="22"/>
        </w:rPr>
        <w:t xml:space="preserve">Focus on promotion of regional electricity trade. </w:t>
      </w:r>
      <w:r w:rsidRPr="00546217">
        <w:rPr>
          <w:rFonts w:asciiTheme="minorHAnsi" w:hAnsiTheme="minorHAnsi"/>
          <w:bCs/>
          <w:color w:val="auto"/>
          <w:sz w:val="22"/>
          <w:szCs w:val="22"/>
        </w:rPr>
        <w:t>The Government has been making progress to further increase the exports of clean electricity to Central Asia region. Specifically, a Memorandum of Understanding (MOU) was signed with Uzbekistan to significantly increase exports of electricity and another MOU is in final stages of discussion with Kazakhstan. As a next step, the Government will start the negotiations of the long-term power purchase agreements (PPAs).</w:t>
      </w:r>
    </w:p>
    <w:p w14:paraId="467AD303" w14:textId="77777777" w:rsidR="00106144" w:rsidRDefault="00106144" w:rsidP="00902334">
      <w:pPr>
        <w:ind w:left="-540"/>
        <w:rPr>
          <w:rFonts w:asciiTheme="minorHAnsi" w:hAnsiTheme="minorHAnsi"/>
          <w:bCs/>
          <w:color w:val="auto"/>
          <w:sz w:val="22"/>
          <w:szCs w:val="22"/>
        </w:rPr>
      </w:pPr>
    </w:p>
    <w:tbl>
      <w:tblPr>
        <w:tblStyle w:val="TableGrid3"/>
        <w:tblW w:w="10714" w:type="dxa"/>
        <w:tblInd w:w="-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C"/>
        <w:tblLayout w:type="fixed"/>
        <w:tblLook w:val="04A0" w:firstRow="1" w:lastRow="0" w:firstColumn="1" w:lastColumn="0" w:noHBand="0" w:noVBand="1"/>
      </w:tblPr>
      <w:tblGrid>
        <w:gridCol w:w="10714"/>
      </w:tblGrid>
      <w:tr w:rsidR="004F0F3F" w14:paraId="0506A1D3" w14:textId="77777777" w:rsidTr="00514C31">
        <w:trPr>
          <w:trHeight w:val="432"/>
        </w:trPr>
        <w:tc>
          <w:tcPr>
            <w:tcW w:w="10714" w:type="dxa"/>
            <w:shd w:val="clear" w:color="auto" w:fill="F2F7FC"/>
            <w:vAlign w:val="center"/>
          </w:tcPr>
          <w:p w14:paraId="3C0E20A1" w14:textId="77777777" w:rsidR="00CF07BA" w:rsidRPr="00DD5666" w:rsidRDefault="00880CEC" w:rsidP="00CB0465">
            <w:pPr>
              <w:pStyle w:val="NoSpacing"/>
              <w:numPr>
                <w:ilvl w:val="0"/>
                <w:numId w:val="29"/>
              </w:numPr>
              <w:ind w:left="346" w:hanging="374"/>
              <w:outlineLvl w:val="0"/>
              <w:rPr>
                <w:rFonts w:asciiTheme="minorHAnsi" w:hAnsiTheme="minorHAnsi"/>
                <w:b/>
                <w:sz w:val="22"/>
                <w:szCs w:val="22"/>
              </w:rPr>
            </w:pPr>
            <w:bookmarkStart w:id="7" w:name="_Toc256000003"/>
            <w:bookmarkStart w:id="8" w:name="_Toc517269159"/>
            <w:bookmarkStart w:id="9" w:name="_Toc520325354"/>
            <w:bookmarkStart w:id="10" w:name="_Toc104869133"/>
            <w:r w:rsidRPr="00850119">
              <w:rPr>
                <w:rFonts w:ascii="Calibri" w:hAnsi="Calibri"/>
                <w:b/>
                <w:color w:val="auto"/>
                <w:sz w:val="22"/>
                <w:szCs w:val="22"/>
              </w:rPr>
              <w:t>APPRAISAL SUMMARY</w:t>
            </w:r>
            <w:bookmarkEnd w:id="7"/>
            <w:bookmarkEnd w:id="8"/>
            <w:bookmarkEnd w:id="9"/>
            <w:bookmarkEnd w:id="10"/>
          </w:p>
        </w:tc>
      </w:tr>
    </w:tbl>
    <w:p w14:paraId="042119E6" w14:textId="77777777" w:rsidR="00CF07BA" w:rsidRDefault="00880CEC" w:rsidP="00880CEC">
      <w:pPr>
        <w:numPr>
          <w:ilvl w:val="0"/>
          <w:numId w:val="2"/>
        </w:numPr>
        <w:ind w:left="-180"/>
        <w:rPr>
          <w:rFonts w:ascii="Calibri" w:hAnsi="Calibri"/>
          <w:b/>
          <w:color w:val="172D5D"/>
          <w:sz w:val="22"/>
          <w:szCs w:val="22"/>
        </w:rPr>
      </w:pPr>
      <w:r w:rsidRPr="00C64741">
        <w:rPr>
          <w:rFonts w:ascii="Calibri" w:hAnsi="Calibri"/>
          <w:b/>
          <w:color w:val="172D5D"/>
          <w:sz w:val="22"/>
          <w:szCs w:val="22"/>
        </w:rPr>
        <w:t>Technical</w:t>
      </w:r>
    </w:p>
    <w:p w14:paraId="02F1A292" w14:textId="63F08010" w:rsidR="00EC7B0C" w:rsidRPr="00EC7B0C" w:rsidRDefault="00EC7B0C" w:rsidP="00EC7B0C">
      <w:pPr>
        <w:pStyle w:val="ListParagraph"/>
        <w:widowControl/>
        <w:tabs>
          <w:tab w:val="left" w:pos="0"/>
        </w:tabs>
        <w:autoSpaceDE/>
        <w:autoSpaceDN/>
        <w:adjustRightInd/>
        <w:spacing w:before="120" w:after="120"/>
        <w:ind w:left="-360"/>
        <w:contextualSpacing w:val="0"/>
        <w:jc w:val="both"/>
        <w:rPr>
          <w:rFonts w:asciiTheme="minorHAnsi" w:hAnsiTheme="minorHAnsi" w:cstheme="minorHAnsi"/>
          <w:b/>
          <w:bCs/>
          <w:color w:val="auto"/>
          <w:sz w:val="22"/>
          <w:szCs w:val="22"/>
        </w:rPr>
      </w:pPr>
      <w:bookmarkStart w:id="11" w:name="_Hlk103994423"/>
      <w:r w:rsidRPr="00EC7B0C">
        <w:rPr>
          <w:rFonts w:asciiTheme="minorHAnsi" w:hAnsiTheme="minorHAnsi" w:cstheme="minorHAnsi"/>
          <w:b/>
          <w:bCs/>
          <w:color w:val="auto"/>
          <w:sz w:val="22"/>
          <w:szCs w:val="22"/>
        </w:rPr>
        <w:t>Technical Assessment of Additional Measures included in the Program</w:t>
      </w:r>
    </w:p>
    <w:p w14:paraId="7607C32D" w14:textId="53BE4162" w:rsidR="00EC7B0C" w:rsidRDefault="00EC7B0C" w:rsidP="00875DBA">
      <w:pPr>
        <w:pStyle w:val="ListParagraph"/>
        <w:widowControl/>
        <w:numPr>
          <w:ilvl w:val="0"/>
          <w:numId w:val="3"/>
        </w:numPr>
        <w:tabs>
          <w:tab w:val="left" w:pos="0"/>
        </w:tabs>
        <w:autoSpaceDE/>
        <w:autoSpaceDN/>
        <w:adjustRightInd/>
        <w:spacing w:before="120" w:after="120"/>
        <w:ind w:left="-360" w:firstLine="0"/>
        <w:contextualSpacing w:val="0"/>
        <w:jc w:val="both"/>
        <w:rPr>
          <w:rFonts w:asciiTheme="minorHAnsi" w:hAnsiTheme="minorHAnsi" w:cstheme="minorHAnsi"/>
          <w:sz w:val="22"/>
          <w:szCs w:val="22"/>
        </w:rPr>
      </w:pPr>
      <w:r w:rsidRPr="00710C18">
        <w:rPr>
          <w:rFonts w:asciiTheme="minorHAnsi" w:hAnsiTheme="minorHAnsi" w:cstheme="minorHAnsi"/>
          <w:b/>
          <w:bCs/>
          <w:sz w:val="22"/>
          <w:szCs w:val="22"/>
        </w:rPr>
        <w:t xml:space="preserve">The </w:t>
      </w:r>
      <w:r w:rsidR="00271B04" w:rsidRPr="00710C18">
        <w:rPr>
          <w:rFonts w:asciiTheme="minorHAnsi" w:hAnsiTheme="minorHAnsi" w:cstheme="minorHAnsi"/>
          <w:b/>
          <w:bCs/>
          <w:sz w:val="22"/>
          <w:szCs w:val="22"/>
        </w:rPr>
        <w:t xml:space="preserve">additional measures related to further optimization of </w:t>
      </w:r>
      <w:r w:rsidR="003C70AD" w:rsidRPr="00710C18">
        <w:rPr>
          <w:rFonts w:asciiTheme="minorHAnsi" w:hAnsiTheme="minorHAnsi" w:cstheme="minorHAnsi"/>
          <w:b/>
          <w:bCs/>
          <w:sz w:val="22"/>
          <w:szCs w:val="22"/>
        </w:rPr>
        <w:t>electricity sector costs and improvement of predictability as well as transparency of revenue allocation is important</w:t>
      </w:r>
      <w:r w:rsidR="003C70AD">
        <w:rPr>
          <w:rFonts w:asciiTheme="minorHAnsi" w:hAnsiTheme="minorHAnsi" w:cstheme="minorHAnsi"/>
          <w:sz w:val="22"/>
          <w:szCs w:val="22"/>
        </w:rPr>
        <w:t>. The Government does not have untapped reserves and options to return the sector to the path of financial viability</w:t>
      </w:r>
      <w:r w:rsidR="00C951DE">
        <w:rPr>
          <w:rFonts w:asciiTheme="minorHAnsi" w:hAnsiTheme="minorHAnsi" w:cstheme="minorHAnsi"/>
          <w:sz w:val="22"/>
          <w:szCs w:val="22"/>
        </w:rPr>
        <w:t>.</w:t>
      </w:r>
      <w:r w:rsidR="003C70AD">
        <w:rPr>
          <w:rFonts w:asciiTheme="minorHAnsi" w:hAnsiTheme="minorHAnsi" w:cstheme="minorHAnsi"/>
          <w:sz w:val="22"/>
          <w:szCs w:val="22"/>
        </w:rPr>
        <w:t xml:space="preserve"> </w:t>
      </w:r>
      <w:r w:rsidR="00C951DE">
        <w:rPr>
          <w:rFonts w:asciiTheme="minorHAnsi" w:hAnsiTheme="minorHAnsi" w:cstheme="minorHAnsi"/>
          <w:sz w:val="22"/>
          <w:szCs w:val="22"/>
        </w:rPr>
        <w:t>Di</w:t>
      </w:r>
      <w:r w:rsidR="003C70AD">
        <w:rPr>
          <w:rFonts w:asciiTheme="minorHAnsi" w:hAnsiTheme="minorHAnsi" w:cstheme="minorHAnsi"/>
          <w:sz w:val="22"/>
          <w:szCs w:val="22"/>
        </w:rPr>
        <w:t xml:space="preserve">fficult macroeconomic situation would not allow for larger-than-planned end-user electricity tariff increases </w:t>
      </w:r>
      <w:r w:rsidR="00C951DE">
        <w:rPr>
          <w:rFonts w:asciiTheme="minorHAnsi" w:hAnsiTheme="minorHAnsi" w:cstheme="minorHAnsi"/>
          <w:sz w:val="22"/>
          <w:szCs w:val="22"/>
        </w:rPr>
        <w:t>and</w:t>
      </w:r>
      <w:r w:rsidR="003C70AD">
        <w:rPr>
          <w:rFonts w:asciiTheme="minorHAnsi" w:hAnsiTheme="minorHAnsi" w:cstheme="minorHAnsi"/>
          <w:sz w:val="22"/>
          <w:szCs w:val="22"/>
        </w:rPr>
        <w:t xml:space="preserve"> provision of state budget financing to BT to close the </w:t>
      </w:r>
      <w:r w:rsidR="00C951DE">
        <w:rPr>
          <w:rFonts w:asciiTheme="minorHAnsi" w:hAnsiTheme="minorHAnsi" w:cstheme="minorHAnsi"/>
          <w:sz w:val="22"/>
          <w:szCs w:val="22"/>
        </w:rPr>
        <w:t>financing gap is not feasible. Therefore, further optimization of costs becomes a priority even if the impacts of those measures may not be very significant.</w:t>
      </w:r>
    </w:p>
    <w:p w14:paraId="1B43E2C9" w14:textId="53E28BFB" w:rsidR="009744D2" w:rsidRDefault="00C951DE" w:rsidP="00875DBA">
      <w:pPr>
        <w:pStyle w:val="ListParagraph"/>
        <w:widowControl/>
        <w:numPr>
          <w:ilvl w:val="0"/>
          <w:numId w:val="3"/>
        </w:numPr>
        <w:tabs>
          <w:tab w:val="left" w:pos="0"/>
        </w:tabs>
        <w:autoSpaceDE/>
        <w:autoSpaceDN/>
        <w:adjustRightInd/>
        <w:spacing w:before="120" w:after="120"/>
        <w:ind w:left="-360" w:firstLine="0"/>
        <w:contextualSpacing w:val="0"/>
        <w:jc w:val="both"/>
        <w:rPr>
          <w:rFonts w:asciiTheme="minorHAnsi" w:hAnsiTheme="minorHAnsi" w:cstheme="minorHAnsi"/>
          <w:sz w:val="22"/>
          <w:szCs w:val="22"/>
        </w:rPr>
      </w:pPr>
      <w:r w:rsidRPr="00710C18">
        <w:rPr>
          <w:rFonts w:asciiTheme="minorHAnsi" w:hAnsiTheme="minorHAnsi" w:cstheme="minorHAnsi"/>
          <w:b/>
          <w:bCs/>
          <w:sz w:val="22"/>
          <w:szCs w:val="22"/>
        </w:rPr>
        <w:t>The identified cost saving measures related to further reduction of fuel costs, expenditures on materials, selling costs, as well as general and administrative expenditures</w:t>
      </w:r>
      <w:r>
        <w:rPr>
          <w:rFonts w:asciiTheme="minorHAnsi" w:hAnsiTheme="minorHAnsi" w:cstheme="minorHAnsi"/>
          <w:sz w:val="22"/>
          <w:szCs w:val="22"/>
        </w:rPr>
        <w:t xml:space="preserve">. BT’s main fuel costs include heavy fuel oil (HFO) purchases for Dushanbe-1 CHP and two district-level boiler houses for district heating and coal (mined in Tajikistan) used for Dushanbe-2 CHP. </w:t>
      </w:r>
      <w:r w:rsidR="000F0736">
        <w:rPr>
          <w:rFonts w:asciiTheme="minorHAnsi" w:hAnsiTheme="minorHAnsi" w:cstheme="minorHAnsi"/>
          <w:sz w:val="22"/>
          <w:szCs w:val="22"/>
        </w:rPr>
        <w:t>Given the availability of natural gas from</w:t>
      </w:r>
      <w:r>
        <w:rPr>
          <w:rFonts w:asciiTheme="minorHAnsi" w:hAnsiTheme="minorHAnsi" w:cstheme="minorHAnsi"/>
          <w:sz w:val="22"/>
          <w:szCs w:val="22"/>
        </w:rPr>
        <w:t xml:space="preserve"> Uzbekistan</w:t>
      </w:r>
      <w:r w:rsidR="000F0736">
        <w:rPr>
          <w:rFonts w:asciiTheme="minorHAnsi" w:hAnsiTheme="minorHAnsi" w:cstheme="minorHAnsi"/>
          <w:sz w:val="22"/>
          <w:szCs w:val="22"/>
        </w:rPr>
        <w:t xml:space="preserve"> and an existing stock of HFO of </w:t>
      </w:r>
      <w:r w:rsidR="000F0736" w:rsidRPr="00164336">
        <w:rPr>
          <w:rFonts w:asciiTheme="minorHAnsi" w:hAnsiTheme="minorHAnsi" w:cstheme="minorHAnsi"/>
          <w:sz w:val="22"/>
          <w:szCs w:val="22"/>
        </w:rPr>
        <w:t>about 24,000 tons</w:t>
      </w:r>
      <w:r w:rsidRPr="00164336">
        <w:rPr>
          <w:rFonts w:asciiTheme="minorHAnsi" w:hAnsiTheme="minorHAnsi" w:cstheme="minorHAnsi"/>
          <w:sz w:val="22"/>
          <w:szCs w:val="22"/>
        </w:rPr>
        <w:t xml:space="preserve">, </w:t>
      </w:r>
      <w:r w:rsidR="000F0736" w:rsidRPr="00164336">
        <w:rPr>
          <w:rFonts w:asciiTheme="minorHAnsi" w:hAnsiTheme="minorHAnsi" w:cstheme="minorHAnsi"/>
          <w:sz w:val="22"/>
          <w:szCs w:val="22"/>
        </w:rPr>
        <w:t xml:space="preserve">BT did not purchase any HFO in 2021. Going forward, the expenditures on HFO </w:t>
      </w:r>
      <w:r w:rsidR="009744D2" w:rsidRPr="00164336">
        <w:rPr>
          <w:rFonts w:asciiTheme="minorHAnsi" w:hAnsiTheme="minorHAnsi" w:cstheme="minorHAnsi"/>
          <w:sz w:val="22"/>
          <w:szCs w:val="22"/>
        </w:rPr>
        <w:t>will be</w:t>
      </w:r>
      <w:r w:rsidR="000F0736" w:rsidRPr="00164336">
        <w:rPr>
          <w:rFonts w:asciiTheme="minorHAnsi" w:hAnsiTheme="minorHAnsi" w:cstheme="minorHAnsi"/>
          <w:sz w:val="22"/>
          <w:szCs w:val="22"/>
        </w:rPr>
        <w:t xml:space="preserve"> further optimized</w:t>
      </w:r>
      <w:r w:rsidR="009744D2" w:rsidRPr="00164336">
        <w:rPr>
          <w:rFonts w:asciiTheme="minorHAnsi" w:hAnsiTheme="minorHAnsi" w:cstheme="minorHAnsi"/>
          <w:sz w:val="22"/>
          <w:szCs w:val="22"/>
        </w:rPr>
        <w:t xml:space="preserve"> to: (a) allow for no more than 21 days of emergency heat supply which is estimated at </w:t>
      </w:r>
      <w:r w:rsidR="00164336" w:rsidRPr="00164336">
        <w:rPr>
          <w:rFonts w:asciiTheme="minorHAnsi" w:hAnsiTheme="minorHAnsi" w:cstheme="minorHAnsi"/>
          <w:sz w:val="22"/>
          <w:szCs w:val="22"/>
        </w:rPr>
        <w:t>2</w:t>
      </w:r>
      <w:r w:rsidR="00B52CC6">
        <w:rPr>
          <w:rFonts w:asciiTheme="minorHAnsi" w:hAnsiTheme="minorHAnsi" w:cstheme="minorHAnsi"/>
          <w:sz w:val="22"/>
          <w:szCs w:val="22"/>
        </w:rPr>
        <w:t>4</w:t>
      </w:r>
      <w:r w:rsidR="00164336" w:rsidRPr="00164336">
        <w:rPr>
          <w:rFonts w:asciiTheme="minorHAnsi" w:hAnsiTheme="minorHAnsi" w:cstheme="minorHAnsi"/>
          <w:sz w:val="22"/>
          <w:szCs w:val="22"/>
        </w:rPr>
        <w:t>,000</w:t>
      </w:r>
      <w:r w:rsidR="009744D2" w:rsidRPr="00164336">
        <w:rPr>
          <w:rFonts w:asciiTheme="minorHAnsi" w:hAnsiTheme="minorHAnsi" w:cstheme="minorHAnsi"/>
          <w:sz w:val="22"/>
          <w:szCs w:val="22"/>
        </w:rPr>
        <w:t xml:space="preserve"> tons;</w:t>
      </w:r>
      <w:r w:rsidR="009744D2">
        <w:rPr>
          <w:rFonts w:asciiTheme="minorHAnsi" w:hAnsiTheme="minorHAnsi" w:cstheme="minorHAnsi"/>
          <w:sz w:val="22"/>
          <w:szCs w:val="22"/>
        </w:rPr>
        <w:t xml:space="preserve"> and (b) </w:t>
      </w:r>
      <w:r w:rsidR="00B52CC6">
        <w:rPr>
          <w:rFonts w:asciiTheme="minorHAnsi" w:hAnsiTheme="minorHAnsi" w:cstheme="minorHAnsi"/>
          <w:sz w:val="22"/>
          <w:szCs w:val="22"/>
        </w:rPr>
        <w:t>follow</w:t>
      </w:r>
      <w:r w:rsidR="009744D2">
        <w:rPr>
          <w:rFonts w:asciiTheme="minorHAnsi" w:hAnsiTheme="minorHAnsi" w:cstheme="minorHAnsi"/>
          <w:sz w:val="22"/>
          <w:szCs w:val="22"/>
        </w:rPr>
        <w:t xml:space="preserve"> international competitive procurement </w:t>
      </w:r>
      <w:r w:rsidR="00B52CC6">
        <w:rPr>
          <w:rFonts w:asciiTheme="minorHAnsi" w:hAnsiTheme="minorHAnsi" w:cstheme="minorHAnsi"/>
          <w:sz w:val="22"/>
          <w:szCs w:val="22"/>
        </w:rPr>
        <w:t>so that the</w:t>
      </w:r>
      <w:r w:rsidR="009744D2">
        <w:rPr>
          <w:rFonts w:asciiTheme="minorHAnsi" w:hAnsiTheme="minorHAnsi" w:cstheme="minorHAnsi"/>
          <w:sz w:val="22"/>
          <w:szCs w:val="22"/>
        </w:rPr>
        <w:t xml:space="preserve"> purchase price </w:t>
      </w:r>
      <w:r w:rsidR="00B52CC6">
        <w:rPr>
          <w:rFonts w:asciiTheme="minorHAnsi" w:hAnsiTheme="minorHAnsi" w:cstheme="minorHAnsi"/>
          <w:sz w:val="22"/>
          <w:szCs w:val="22"/>
        </w:rPr>
        <w:t>is comparable to international trade price of fuel oil</w:t>
      </w:r>
      <w:r w:rsidR="009744D2">
        <w:rPr>
          <w:rFonts w:asciiTheme="minorHAnsi" w:hAnsiTheme="minorHAnsi" w:cstheme="minorHAnsi"/>
          <w:sz w:val="22"/>
          <w:szCs w:val="22"/>
        </w:rPr>
        <w:t>.</w:t>
      </w:r>
    </w:p>
    <w:p w14:paraId="193E7739" w14:textId="122208B2" w:rsidR="00D871E4" w:rsidRDefault="00750D11" w:rsidP="00875DBA">
      <w:pPr>
        <w:pStyle w:val="ListParagraph"/>
        <w:widowControl/>
        <w:numPr>
          <w:ilvl w:val="0"/>
          <w:numId w:val="3"/>
        </w:numPr>
        <w:tabs>
          <w:tab w:val="left" w:pos="0"/>
        </w:tabs>
        <w:autoSpaceDE/>
        <w:autoSpaceDN/>
        <w:adjustRightInd/>
        <w:spacing w:before="120" w:after="120"/>
        <w:ind w:left="-360" w:firstLine="0"/>
        <w:contextualSpacing w:val="0"/>
        <w:jc w:val="both"/>
        <w:rPr>
          <w:rFonts w:asciiTheme="minorHAnsi" w:hAnsiTheme="minorHAnsi" w:cstheme="minorHAnsi"/>
          <w:sz w:val="22"/>
          <w:szCs w:val="22"/>
        </w:rPr>
      </w:pPr>
      <w:r w:rsidRPr="00750D11">
        <w:rPr>
          <w:rFonts w:asciiTheme="minorHAnsi" w:hAnsiTheme="minorHAnsi" w:cstheme="minorHAnsi"/>
          <w:sz w:val="22"/>
          <w:szCs w:val="22"/>
        </w:rPr>
        <w:t>The</w:t>
      </w:r>
      <w:r w:rsidR="00552E98">
        <w:rPr>
          <w:rFonts w:asciiTheme="minorHAnsi" w:hAnsiTheme="minorHAnsi" w:cstheme="minorHAnsi"/>
          <w:sz w:val="22"/>
          <w:szCs w:val="22"/>
        </w:rPr>
        <w:t xml:space="preserve"> Government program identified some </w:t>
      </w:r>
      <w:r w:rsidR="00276D33">
        <w:rPr>
          <w:rFonts w:asciiTheme="minorHAnsi" w:hAnsiTheme="minorHAnsi" w:cstheme="minorHAnsi"/>
          <w:sz w:val="22"/>
          <w:szCs w:val="22"/>
        </w:rPr>
        <w:t>costs that the electricity sector companies may further reduce considering the current economic situation in the country. Those include</w:t>
      </w:r>
      <w:r w:rsidR="00E77095">
        <w:rPr>
          <w:rFonts w:asciiTheme="minorHAnsi" w:hAnsiTheme="minorHAnsi" w:cstheme="minorHAnsi"/>
          <w:sz w:val="22"/>
          <w:szCs w:val="22"/>
        </w:rPr>
        <w:t xml:space="preserve"> </w:t>
      </w:r>
      <w:r w:rsidR="00276D33">
        <w:rPr>
          <w:rFonts w:asciiTheme="minorHAnsi" w:hAnsiTheme="minorHAnsi" w:cstheme="minorHAnsi"/>
          <w:sz w:val="22"/>
          <w:szCs w:val="22"/>
        </w:rPr>
        <w:t>reduction of the cost of materials (excluding fuel costs)</w:t>
      </w:r>
      <w:r w:rsidR="00E77095">
        <w:rPr>
          <w:rFonts w:asciiTheme="minorHAnsi" w:hAnsiTheme="minorHAnsi" w:cstheme="minorHAnsi"/>
          <w:sz w:val="22"/>
          <w:szCs w:val="22"/>
        </w:rPr>
        <w:t xml:space="preserve">, fixed asset maintenance, and services. Electricity sector made good progress with </w:t>
      </w:r>
      <w:r w:rsidR="00D871E4">
        <w:rPr>
          <w:rFonts w:asciiTheme="minorHAnsi" w:hAnsiTheme="minorHAnsi" w:cstheme="minorHAnsi"/>
          <w:sz w:val="22"/>
          <w:szCs w:val="22"/>
        </w:rPr>
        <w:t xml:space="preserve">reduction of costs due to some optimization of inventory purchases. However, potential for further reduction </w:t>
      </w:r>
      <w:r w:rsidR="00D871E4">
        <w:rPr>
          <w:rFonts w:asciiTheme="minorHAnsi" w:hAnsiTheme="minorHAnsi" w:cstheme="minorHAnsi"/>
          <w:sz w:val="22"/>
          <w:szCs w:val="22"/>
        </w:rPr>
        <w:lastRenderedPageBreak/>
        <w:t>has been identified to allow the sector to weather through the difficult economic times by additional improvements in inventory management, deferral and improved prioritization of rehabilitation and asset upgrade costs, and reduction of the purchases of services for the needs of the sector. After energy purchases, the cost of materials is the largest item. The 2019 and 2020 costs that need to be optimized further are summarized below and those are based on the audited financial statements of BT when it was vertically integrated company.</w:t>
      </w:r>
      <w:r w:rsidR="00B52CC6">
        <w:rPr>
          <w:rFonts w:asciiTheme="minorHAnsi" w:hAnsiTheme="minorHAnsi" w:cstheme="minorHAnsi"/>
          <w:sz w:val="22"/>
          <w:szCs w:val="22"/>
        </w:rPr>
        <w:t xml:space="preserve"> Specifically, it is estimated that those costs can be further reduced by 15 percent, 5 percent, and 10 percent at BT, SIB, and STB respectively.</w:t>
      </w:r>
    </w:p>
    <w:p w14:paraId="105D276D" w14:textId="5422E1BF" w:rsidR="00D871E4" w:rsidRPr="00D871E4" w:rsidRDefault="00D871E4" w:rsidP="00D871E4">
      <w:pPr>
        <w:pStyle w:val="Caption"/>
        <w:spacing w:after="0"/>
        <w:ind w:left="-360"/>
        <w:rPr>
          <w:rFonts w:cstheme="minorHAnsi"/>
          <w:b/>
          <w:bCs/>
          <w:i w:val="0"/>
          <w:iCs w:val="0"/>
          <w:color w:val="auto"/>
          <w:sz w:val="22"/>
          <w:szCs w:val="22"/>
        </w:rPr>
      </w:pPr>
      <w:r w:rsidRPr="00D871E4">
        <w:rPr>
          <w:b/>
          <w:bCs/>
          <w:i w:val="0"/>
          <w:iCs w:val="0"/>
          <w:color w:val="auto"/>
          <w:sz w:val="22"/>
          <w:szCs w:val="22"/>
        </w:rPr>
        <w:t xml:space="preserve">Table </w:t>
      </w:r>
      <w:r w:rsidRPr="00D871E4">
        <w:rPr>
          <w:b/>
          <w:bCs/>
          <w:i w:val="0"/>
          <w:iCs w:val="0"/>
          <w:color w:val="auto"/>
          <w:sz w:val="22"/>
          <w:szCs w:val="22"/>
        </w:rPr>
        <w:fldChar w:fldCharType="begin"/>
      </w:r>
      <w:r w:rsidRPr="00D871E4">
        <w:rPr>
          <w:b/>
          <w:bCs/>
          <w:i w:val="0"/>
          <w:iCs w:val="0"/>
          <w:color w:val="auto"/>
          <w:sz w:val="22"/>
          <w:szCs w:val="22"/>
        </w:rPr>
        <w:instrText xml:space="preserve"> SEQ Table \* ARABIC </w:instrText>
      </w:r>
      <w:r w:rsidRPr="00D871E4">
        <w:rPr>
          <w:b/>
          <w:bCs/>
          <w:i w:val="0"/>
          <w:iCs w:val="0"/>
          <w:color w:val="auto"/>
          <w:sz w:val="22"/>
          <w:szCs w:val="22"/>
        </w:rPr>
        <w:fldChar w:fldCharType="separate"/>
      </w:r>
      <w:r w:rsidR="00875DBA">
        <w:rPr>
          <w:b/>
          <w:bCs/>
          <w:i w:val="0"/>
          <w:iCs w:val="0"/>
          <w:noProof/>
          <w:color w:val="auto"/>
          <w:sz w:val="22"/>
          <w:szCs w:val="22"/>
        </w:rPr>
        <w:t>10</w:t>
      </w:r>
      <w:r w:rsidRPr="00D871E4">
        <w:rPr>
          <w:b/>
          <w:bCs/>
          <w:i w:val="0"/>
          <w:iCs w:val="0"/>
          <w:color w:val="auto"/>
          <w:sz w:val="22"/>
          <w:szCs w:val="22"/>
        </w:rPr>
        <w:fldChar w:fldCharType="end"/>
      </w:r>
      <w:r w:rsidRPr="00D871E4">
        <w:rPr>
          <w:b/>
          <w:bCs/>
          <w:i w:val="0"/>
          <w:iCs w:val="0"/>
          <w:color w:val="auto"/>
          <w:sz w:val="22"/>
          <w:szCs w:val="22"/>
        </w:rPr>
        <w:t xml:space="preserve">: </w:t>
      </w:r>
      <w:r w:rsidR="00937B1C">
        <w:rPr>
          <w:b/>
          <w:bCs/>
          <w:i w:val="0"/>
          <w:iCs w:val="0"/>
          <w:color w:val="auto"/>
          <w:sz w:val="22"/>
          <w:szCs w:val="22"/>
        </w:rPr>
        <w:t>Costs of Materials, Services and Asset Maintenance</w:t>
      </w:r>
    </w:p>
    <w:tbl>
      <w:tblPr>
        <w:tblStyle w:val="TableGrid"/>
        <w:tblW w:w="0" w:type="auto"/>
        <w:tblInd w:w="-360" w:type="dxa"/>
        <w:tblLook w:val="04A0" w:firstRow="1" w:lastRow="0" w:firstColumn="1" w:lastColumn="0" w:noHBand="0" w:noVBand="1"/>
      </w:tblPr>
      <w:tblGrid>
        <w:gridCol w:w="4225"/>
        <w:gridCol w:w="1080"/>
        <w:gridCol w:w="1170"/>
      </w:tblGrid>
      <w:tr w:rsidR="00D871E4" w:rsidRPr="00D871E4" w14:paraId="13B6960A" w14:textId="77777777" w:rsidTr="00D871E4">
        <w:tc>
          <w:tcPr>
            <w:tcW w:w="4225" w:type="dxa"/>
            <w:shd w:val="clear" w:color="auto" w:fill="D9D9D9" w:themeFill="background1" w:themeFillShade="D9"/>
          </w:tcPr>
          <w:p w14:paraId="5C0E236B" w14:textId="5FB455FB" w:rsidR="00D871E4" w:rsidRPr="00D871E4" w:rsidRDefault="00D871E4" w:rsidP="00D871E4">
            <w:pPr>
              <w:pStyle w:val="ListParagraph"/>
              <w:widowControl/>
              <w:tabs>
                <w:tab w:val="left" w:pos="0"/>
              </w:tabs>
              <w:autoSpaceDE/>
              <w:autoSpaceDN/>
              <w:adjustRightInd/>
              <w:ind w:left="0"/>
              <w:contextualSpacing w:val="0"/>
              <w:jc w:val="both"/>
              <w:rPr>
                <w:rFonts w:asciiTheme="minorHAnsi" w:hAnsiTheme="minorHAnsi" w:cstheme="minorHAnsi"/>
                <w:b/>
                <w:bCs/>
                <w:sz w:val="20"/>
                <w:szCs w:val="20"/>
              </w:rPr>
            </w:pPr>
            <w:r w:rsidRPr="00D871E4">
              <w:rPr>
                <w:rFonts w:asciiTheme="minorHAnsi" w:hAnsiTheme="minorHAnsi" w:cstheme="minorHAnsi"/>
                <w:b/>
                <w:bCs/>
                <w:sz w:val="20"/>
                <w:szCs w:val="20"/>
              </w:rPr>
              <w:t>Thousand TJS</w:t>
            </w:r>
          </w:p>
        </w:tc>
        <w:tc>
          <w:tcPr>
            <w:tcW w:w="1080" w:type="dxa"/>
            <w:shd w:val="clear" w:color="auto" w:fill="D9D9D9" w:themeFill="background1" w:themeFillShade="D9"/>
          </w:tcPr>
          <w:p w14:paraId="2571B2E3" w14:textId="461B4B31" w:rsidR="00D871E4" w:rsidRPr="00D871E4" w:rsidRDefault="00D871E4" w:rsidP="00D871E4">
            <w:pPr>
              <w:pStyle w:val="ListParagraph"/>
              <w:widowControl/>
              <w:tabs>
                <w:tab w:val="left" w:pos="0"/>
              </w:tabs>
              <w:autoSpaceDE/>
              <w:autoSpaceDN/>
              <w:adjustRightInd/>
              <w:ind w:left="0"/>
              <w:contextualSpacing w:val="0"/>
              <w:jc w:val="both"/>
              <w:rPr>
                <w:rFonts w:asciiTheme="minorHAnsi" w:hAnsiTheme="minorHAnsi" w:cstheme="minorHAnsi"/>
                <w:b/>
                <w:bCs/>
                <w:sz w:val="20"/>
                <w:szCs w:val="20"/>
              </w:rPr>
            </w:pPr>
            <w:r w:rsidRPr="00D871E4">
              <w:rPr>
                <w:rFonts w:asciiTheme="minorHAnsi" w:hAnsiTheme="minorHAnsi" w:cstheme="minorHAnsi"/>
                <w:b/>
                <w:bCs/>
                <w:sz w:val="20"/>
                <w:szCs w:val="20"/>
              </w:rPr>
              <w:t>2019</w:t>
            </w:r>
          </w:p>
        </w:tc>
        <w:tc>
          <w:tcPr>
            <w:tcW w:w="1170" w:type="dxa"/>
            <w:shd w:val="clear" w:color="auto" w:fill="D9D9D9" w:themeFill="background1" w:themeFillShade="D9"/>
          </w:tcPr>
          <w:p w14:paraId="15E88157" w14:textId="1A9ECD70" w:rsidR="00D871E4" w:rsidRPr="00D871E4" w:rsidRDefault="00D871E4" w:rsidP="00D871E4">
            <w:pPr>
              <w:pStyle w:val="ListParagraph"/>
              <w:widowControl/>
              <w:tabs>
                <w:tab w:val="left" w:pos="0"/>
              </w:tabs>
              <w:autoSpaceDE/>
              <w:autoSpaceDN/>
              <w:adjustRightInd/>
              <w:ind w:left="0"/>
              <w:contextualSpacing w:val="0"/>
              <w:jc w:val="both"/>
              <w:rPr>
                <w:rFonts w:asciiTheme="minorHAnsi" w:hAnsiTheme="minorHAnsi" w:cstheme="minorHAnsi"/>
                <w:b/>
                <w:bCs/>
                <w:sz w:val="20"/>
                <w:szCs w:val="20"/>
              </w:rPr>
            </w:pPr>
            <w:r w:rsidRPr="00D871E4">
              <w:rPr>
                <w:rFonts w:asciiTheme="minorHAnsi" w:hAnsiTheme="minorHAnsi" w:cstheme="minorHAnsi"/>
                <w:b/>
                <w:bCs/>
                <w:sz w:val="20"/>
                <w:szCs w:val="20"/>
              </w:rPr>
              <w:t>2020</w:t>
            </w:r>
          </w:p>
        </w:tc>
      </w:tr>
      <w:tr w:rsidR="00D871E4" w:rsidRPr="00D871E4" w14:paraId="0F991EEB" w14:textId="77777777" w:rsidTr="00D871E4">
        <w:tc>
          <w:tcPr>
            <w:tcW w:w="4225" w:type="dxa"/>
          </w:tcPr>
          <w:p w14:paraId="5EA6B048" w14:textId="45FDBA03" w:rsidR="00D871E4" w:rsidRPr="00D871E4" w:rsidRDefault="00D871E4" w:rsidP="00D871E4">
            <w:pPr>
              <w:pStyle w:val="ListParagraph"/>
              <w:widowControl/>
              <w:tabs>
                <w:tab w:val="left" w:pos="0"/>
              </w:tabs>
              <w:autoSpaceDE/>
              <w:autoSpaceDN/>
              <w:adjustRightInd/>
              <w:ind w:left="0"/>
              <w:contextualSpacing w:val="0"/>
              <w:jc w:val="both"/>
              <w:rPr>
                <w:rFonts w:asciiTheme="minorHAnsi" w:hAnsiTheme="minorHAnsi" w:cstheme="minorHAnsi"/>
                <w:sz w:val="20"/>
                <w:szCs w:val="20"/>
              </w:rPr>
            </w:pPr>
            <w:r>
              <w:rPr>
                <w:rFonts w:asciiTheme="minorHAnsi" w:hAnsiTheme="minorHAnsi" w:cstheme="minorHAnsi"/>
                <w:sz w:val="20"/>
                <w:szCs w:val="20"/>
              </w:rPr>
              <w:t>Estimated cost of materials (excluding fuel)</w:t>
            </w:r>
            <w:r>
              <w:rPr>
                <w:rStyle w:val="FootnoteReference"/>
                <w:rFonts w:asciiTheme="minorHAnsi" w:hAnsiTheme="minorHAnsi" w:cstheme="minorHAnsi"/>
                <w:sz w:val="20"/>
                <w:szCs w:val="20"/>
              </w:rPr>
              <w:footnoteReference w:id="10"/>
            </w:r>
          </w:p>
        </w:tc>
        <w:tc>
          <w:tcPr>
            <w:tcW w:w="1080" w:type="dxa"/>
          </w:tcPr>
          <w:p w14:paraId="3BC5B244" w14:textId="599D7F2D" w:rsidR="00D871E4" w:rsidRPr="00D871E4" w:rsidRDefault="00D871E4" w:rsidP="00D871E4">
            <w:pPr>
              <w:pStyle w:val="ListParagraph"/>
              <w:widowControl/>
              <w:tabs>
                <w:tab w:val="left" w:pos="0"/>
              </w:tabs>
              <w:autoSpaceDE/>
              <w:autoSpaceDN/>
              <w:adjustRightInd/>
              <w:ind w:left="0"/>
              <w:contextualSpacing w:val="0"/>
              <w:jc w:val="both"/>
              <w:rPr>
                <w:rFonts w:asciiTheme="minorHAnsi" w:hAnsiTheme="minorHAnsi" w:cstheme="minorHAnsi"/>
                <w:sz w:val="20"/>
                <w:szCs w:val="20"/>
              </w:rPr>
            </w:pPr>
            <w:r>
              <w:rPr>
                <w:rFonts w:asciiTheme="minorHAnsi" w:hAnsiTheme="minorHAnsi" w:cstheme="minorHAnsi"/>
                <w:sz w:val="20"/>
                <w:szCs w:val="20"/>
              </w:rPr>
              <w:t>277,410</w:t>
            </w:r>
          </w:p>
        </w:tc>
        <w:tc>
          <w:tcPr>
            <w:tcW w:w="1170" w:type="dxa"/>
          </w:tcPr>
          <w:p w14:paraId="2A54BB10" w14:textId="43B35344" w:rsidR="00D871E4" w:rsidRPr="00D871E4" w:rsidRDefault="00D871E4" w:rsidP="00D871E4">
            <w:pPr>
              <w:pStyle w:val="ListParagraph"/>
              <w:widowControl/>
              <w:tabs>
                <w:tab w:val="left" w:pos="0"/>
              </w:tabs>
              <w:autoSpaceDE/>
              <w:autoSpaceDN/>
              <w:adjustRightInd/>
              <w:ind w:left="0"/>
              <w:contextualSpacing w:val="0"/>
              <w:jc w:val="both"/>
              <w:rPr>
                <w:rFonts w:asciiTheme="minorHAnsi" w:hAnsiTheme="minorHAnsi" w:cstheme="minorHAnsi"/>
                <w:sz w:val="20"/>
                <w:szCs w:val="20"/>
              </w:rPr>
            </w:pPr>
            <w:r>
              <w:rPr>
                <w:rFonts w:asciiTheme="minorHAnsi" w:hAnsiTheme="minorHAnsi" w:cstheme="minorHAnsi"/>
                <w:sz w:val="20"/>
                <w:szCs w:val="20"/>
              </w:rPr>
              <w:t>427,514</w:t>
            </w:r>
          </w:p>
        </w:tc>
      </w:tr>
      <w:tr w:rsidR="00D871E4" w:rsidRPr="00D871E4" w14:paraId="5E97F8EF" w14:textId="77777777" w:rsidTr="00D871E4">
        <w:tc>
          <w:tcPr>
            <w:tcW w:w="4225" w:type="dxa"/>
          </w:tcPr>
          <w:p w14:paraId="0043E981" w14:textId="53EA37CF" w:rsidR="00D871E4" w:rsidRPr="00D871E4" w:rsidRDefault="00D871E4" w:rsidP="00D871E4">
            <w:pPr>
              <w:pStyle w:val="ListParagraph"/>
              <w:widowControl/>
              <w:tabs>
                <w:tab w:val="left" w:pos="0"/>
              </w:tabs>
              <w:autoSpaceDE/>
              <w:autoSpaceDN/>
              <w:adjustRightInd/>
              <w:ind w:left="0"/>
              <w:contextualSpacing w:val="0"/>
              <w:jc w:val="both"/>
              <w:rPr>
                <w:rFonts w:asciiTheme="minorHAnsi" w:hAnsiTheme="minorHAnsi" w:cstheme="minorHAnsi"/>
                <w:sz w:val="20"/>
                <w:szCs w:val="20"/>
              </w:rPr>
            </w:pPr>
            <w:r>
              <w:rPr>
                <w:rFonts w:asciiTheme="minorHAnsi" w:hAnsiTheme="minorHAnsi" w:cstheme="minorHAnsi"/>
                <w:sz w:val="20"/>
                <w:szCs w:val="20"/>
              </w:rPr>
              <w:t>Services</w:t>
            </w:r>
          </w:p>
        </w:tc>
        <w:tc>
          <w:tcPr>
            <w:tcW w:w="1080" w:type="dxa"/>
          </w:tcPr>
          <w:p w14:paraId="48619BF5" w14:textId="2E675203" w:rsidR="00D871E4" w:rsidRPr="00D871E4" w:rsidRDefault="00D871E4" w:rsidP="00D871E4">
            <w:pPr>
              <w:pStyle w:val="ListParagraph"/>
              <w:widowControl/>
              <w:tabs>
                <w:tab w:val="left" w:pos="0"/>
              </w:tabs>
              <w:autoSpaceDE/>
              <w:autoSpaceDN/>
              <w:adjustRightInd/>
              <w:ind w:left="0"/>
              <w:contextualSpacing w:val="0"/>
              <w:jc w:val="both"/>
              <w:rPr>
                <w:rFonts w:asciiTheme="minorHAnsi" w:hAnsiTheme="minorHAnsi" w:cstheme="minorHAnsi"/>
                <w:sz w:val="20"/>
                <w:szCs w:val="20"/>
              </w:rPr>
            </w:pPr>
            <w:r>
              <w:rPr>
                <w:rFonts w:asciiTheme="minorHAnsi" w:hAnsiTheme="minorHAnsi" w:cstheme="minorHAnsi"/>
                <w:sz w:val="20"/>
                <w:szCs w:val="20"/>
              </w:rPr>
              <w:t>45,824</w:t>
            </w:r>
          </w:p>
        </w:tc>
        <w:tc>
          <w:tcPr>
            <w:tcW w:w="1170" w:type="dxa"/>
          </w:tcPr>
          <w:p w14:paraId="63A8D248" w14:textId="1DFFE801" w:rsidR="00D871E4" w:rsidRPr="00D871E4" w:rsidRDefault="00D871E4" w:rsidP="00D871E4">
            <w:pPr>
              <w:pStyle w:val="ListParagraph"/>
              <w:widowControl/>
              <w:tabs>
                <w:tab w:val="left" w:pos="0"/>
              </w:tabs>
              <w:autoSpaceDE/>
              <w:autoSpaceDN/>
              <w:adjustRightInd/>
              <w:ind w:left="0"/>
              <w:contextualSpacing w:val="0"/>
              <w:jc w:val="both"/>
              <w:rPr>
                <w:rFonts w:asciiTheme="minorHAnsi" w:hAnsiTheme="minorHAnsi" w:cstheme="minorHAnsi"/>
                <w:sz w:val="20"/>
                <w:szCs w:val="20"/>
              </w:rPr>
            </w:pPr>
            <w:r>
              <w:rPr>
                <w:rFonts w:asciiTheme="minorHAnsi" w:hAnsiTheme="minorHAnsi" w:cstheme="minorHAnsi"/>
                <w:sz w:val="20"/>
                <w:szCs w:val="20"/>
              </w:rPr>
              <w:t>53,225</w:t>
            </w:r>
          </w:p>
        </w:tc>
      </w:tr>
      <w:tr w:rsidR="00D871E4" w:rsidRPr="00D871E4" w14:paraId="6A3A08C1" w14:textId="77777777" w:rsidTr="00D871E4">
        <w:tc>
          <w:tcPr>
            <w:tcW w:w="4225" w:type="dxa"/>
          </w:tcPr>
          <w:p w14:paraId="0735CE6E" w14:textId="70A17CA3" w:rsidR="00D871E4" w:rsidRPr="00D871E4" w:rsidRDefault="00D871E4" w:rsidP="00D871E4">
            <w:pPr>
              <w:pStyle w:val="ListParagraph"/>
              <w:widowControl/>
              <w:tabs>
                <w:tab w:val="left" w:pos="0"/>
              </w:tabs>
              <w:autoSpaceDE/>
              <w:autoSpaceDN/>
              <w:adjustRightInd/>
              <w:ind w:left="0"/>
              <w:contextualSpacing w:val="0"/>
              <w:jc w:val="both"/>
              <w:rPr>
                <w:rFonts w:asciiTheme="minorHAnsi" w:hAnsiTheme="minorHAnsi" w:cstheme="minorHAnsi"/>
                <w:sz w:val="20"/>
                <w:szCs w:val="20"/>
              </w:rPr>
            </w:pPr>
            <w:r>
              <w:rPr>
                <w:rFonts w:asciiTheme="minorHAnsi" w:hAnsiTheme="minorHAnsi" w:cstheme="minorHAnsi"/>
                <w:sz w:val="20"/>
                <w:szCs w:val="20"/>
              </w:rPr>
              <w:t>Fixed asset maintenance</w:t>
            </w:r>
          </w:p>
        </w:tc>
        <w:tc>
          <w:tcPr>
            <w:tcW w:w="1080" w:type="dxa"/>
          </w:tcPr>
          <w:p w14:paraId="363D1120" w14:textId="575F75F6" w:rsidR="00D871E4" w:rsidRPr="00D871E4" w:rsidRDefault="00D871E4" w:rsidP="00D871E4">
            <w:pPr>
              <w:pStyle w:val="ListParagraph"/>
              <w:widowControl/>
              <w:tabs>
                <w:tab w:val="left" w:pos="0"/>
              </w:tabs>
              <w:autoSpaceDE/>
              <w:autoSpaceDN/>
              <w:adjustRightInd/>
              <w:ind w:left="0"/>
              <w:contextualSpacing w:val="0"/>
              <w:jc w:val="both"/>
              <w:rPr>
                <w:rFonts w:asciiTheme="minorHAnsi" w:hAnsiTheme="minorHAnsi" w:cstheme="minorHAnsi"/>
                <w:sz w:val="20"/>
                <w:szCs w:val="20"/>
              </w:rPr>
            </w:pPr>
            <w:r>
              <w:rPr>
                <w:rFonts w:asciiTheme="minorHAnsi" w:hAnsiTheme="minorHAnsi" w:cstheme="minorHAnsi"/>
                <w:sz w:val="20"/>
                <w:szCs w:val="20"/>
              </w:rPr>
              <w:t>18,285</w:t>
            </w:r>
          </w:p>
        </w:tc>
        <w:tc>
          <w:tcPr>
            <w:tcW w:w="1170" w:type="dxa"/>
          </w:tcPr>
          <w:p w14:paraId="5FC6D72F" w14:textId="16142021" w:rsidR="00D871E4" w:rsidRPr="00D871E4" w:rsidRDefault="00D871E4" w:rsidP="00D871E4">
            <w:pPr>
              <w:pStyle w:val="ListParagraph"/>
              <w:widowControl/>
              <w:tabs>
                <w:tab w:val="left" w:pos="0"/>
              </w:tabs>
              <w:autoSpaceDE/>
              <w:autoSpaceDN/>
              <w:adjustRightInd/>
              <w:ind w:left="0"/>
              <w:contextualSpacing w:val="0"/>
              <w:jc w:val="both"/>
              <w:rPr>
                <w:rFonts w:asciiTheme="minorHAnsi" w:hAnsiTheme="minorHAnsi" w:cstheme="minorHAnsi"/>
                <w:sz w:val="20"/>
                <w:szCs w:val="20"/>
              </w:rPr>
            </w:pPr>
            <w:r>
              <w:rPr>
                <w:rFonts w:asciiTheme="minorHAnsi" w:hAnsiTheme="minorHAnsi" w:cstheme="minorHAnsi"/>
                <w:sz w:val="20"/>
                <w:szCs w:val="20"/>
              </w:rPr>
              <w:t>20,487</w:t>
            </w:r>
          </w:p>
        </w:tc>
      </w:tr>
    </w:tbl>
    <w:p w14:paraId="506695B7" w14:textId="2DC9DF20" w:rsidR="00D871E4" w:rsidRDefault="00D871E4" w:rsidP="00D871E4">
      <w:pPr>
        <w:pStyle w:val="ListParagraph"/>
        <w:widowControl/>
        <w:pBdr>
          <w:bottom w:val="single" w:sz="12" w:space="1" w:color="auto"/>
        </w:pBdr>
        <w:tabs>
          <w:tab w:val="left" w:pos="0"/>
        </w:tabs>
        <w:autoSpaceDE/>
        <w:autoSpaceDN/>
        <w:adjustRightInd/>
        <w:ind w:left="-360"/>
        <w:contextualSpacing w:val="0"/>
        <w:jc w:val="both"/>
        <w:rPr>
          <w:rFonts w:asciiTheme="minorHAnsi" w:hAnsiTheme="minorHAnsi" w:cstheme="minorHAnsi"/>
          <w:sz w:val="18"/>
          <w:szCs w:val="18"/>
        </w:rPr>
      </w:pPr>
      <w:r w:rsidRPr="00D871E4">
        <w:rPr>
          <w:rFonts w:asciiTheme="minorHAnsi" w:hAnsiTheme="minorHAnsi" w:cstheme="minorHAnsi"/>
          <w:sz w:val="18"/>
          <w:szCs w:val="18"/>
        </w:rPr>
        <w:t>Source: BT Annual Audit Report and Bank team estimate.</w:t>
      </w:r>
    </w:p>
    <w:p w14:paraId="2872AC7E" w14:textId="690142D6" w:rsidR="009C5159" w:rsidRDefault="009C5159" w:rsidP="00875DBA">
      <w:pPr>
        <w:pStyle w:val="ListParagraph"/>
        <w:widowControl/>
        <w:numPr>
          <w:ilvl w:val="0"/>
          <w:numId w:val="3"/>
        </w:numPr>
        <w:tabs>
          <w:tab w:val="left" w:pos="0"/>
        </w:tabs>
        <w:autoSpaceDE/>
        <w:autoSpaceDN/>
        <w:adjustRightInd/>
        <w:spacing w:before="120" w:after="120"/>
        <w:ind w:left="-360" w:firstLine="0"/>
        <w:contextualSpacing w:val="0"/>
        <w:jc w:val="both"/>
        <w:rPr>
          <w:rFonts w:asciiTheme="minorHAnsi" w:hAnsiTheme="minorHAnsi" w:cstheme="minorHAnsi"/>
          <w:sz w:val="22"/>
          <w:szCs w:val="22"/>
        </w:rPr>
      </w:pPr>
      <w:r w:rsidRPr="005D626D">
        <w:rPr>
          <w:rFonts w:asciiTheme="minorHAnsi" w:hAnsiTheme="minorHAnsi" w:cstheme="minorHAnsi"/>
          <w:b/>
          <w:bCs/>
          <w:sz w:val="22"/>
          <w:szCs w:val="22"/>
        </w:rPr>
        <w:t>The Government has recently adopted the rules for establishment, use, and management of the escrow account for the</w:t>
      </w:r>
      <w:r w:rsidR="005D626D" w:rsidRPr="005D626D">
        <w:rPr>
          <w:rFonts w:asciiTheme="minorHAnsi" w:hAnsiTheme="minorHAnsi" w:cstheme="minorHAnsi"/>
          <w:b/>
          <w:bCs/>
          <w:sz w:val="22"/>
          <w:szCs w:val="22"/>
        </w:rPr>
        <w:t xml:space="preserve"> following key electricity sector companies – BT, SIB, and STB</w:t>
      </w:r>
      <w:r>
        <w:rPr>
          <w:rFonts w:asciiTheme="minorHAnsi" w:hAnsiTheme="minorHAnsi" w:cstheme="minorHAnsi"/>
          <w:sz w:val="22"/>
          <w:szCs w:val="22"/>
        </w:rPr>
        <w:t xml:space="preserve">. </w:t>
      </w:r>
      <w:r w:rsidR="005F4ACA">
        <w:rPr>
          <w:rFonts w:asciiTheme="minorHAnsi" w:hAnsiTheme="minorHAnsi" w:cstheme="minorHAnsi"/>
          <w:sz w:val="22"/>
          <w:szCs w:val="22"/>
        </w:rPr>
        <w:t xml:space="preserve">The escrow account </w:t>
      </w:r>
      <w:r w:rsidR="00363E47">
        <w:rPr>
          <w:rFonts w:asciiTheme="minorHAnsi" w:hAnsiTheme="minorHAnsi" w:cstheme="minorHAnsi"/>
          <w:sz w:val="22"/>
          <w:szCs w:val="22"/>
        </w:rPr>
        <w:t xml:space="preserve">will be used only for the purposes of distribution of revenues from domestic electricity sales and </w:t>
      </w:r>
      <w:r w:rsidR="005D626D">
        <w:rPr>
          <w:rFonts w:asciiTheme="minorHAnsi" w:hAnsiTheme="minorHAnsi" w:cstheme="minorHAnsi"/>
          <w:sz w:val="22"/>
          <w:szCs w:val="22"/>
        </w:rPr>
        <w:t>will</w:t>
      </w:r>
      <w:r w:rsidR="005F4ACA">
        <w:rPr>
          <w:rFonts w:asciiTheme="minorHAnsi" w:hAnsiTheme="minorHAnsi" w:cstheme="minorHAnsi"/>
          <w:sz w:val="22"/>
          <w:szCs w:val="22"/>
        </w:rPr>
        <w:t xml:space="preserve"> be </w:t>
      </w:r>
      <w:r w:rsidR="005D626D">
        <w:rPr>
          <w:rFonts w:asciiTheme="minorHAnsi" w:hAnsiTheme="minorHAnsi" w:cstheme="minorHAnsi"/>
          <w:sz w:val="22"/>
          <w:szCs w:val="22"/>
        </w:rPr>
        <w:t>opened</w:t>
      </w:r>
      <w:r w:rsidR="005F4ACA">
        <w:rPr>
          <w:rFonts w:asciiTheme="minorHAnsi" w:hAnsiTheme="minorHAnsi" w:cstheme="minorHAnsi"/>
          <w:sz w:val="22"/>
          <w:szCs w:val="22"/>
        </w:rPr>
        <w:t xml:space="preserve"> </w:t>
      </w:r>
      <w:proofErr w:type="spellStart"/>
      <w:r w:rsidR="005F4ACA">
        <w:rPr>
          <w:rFonts w:asciiTheme="minorHAnsi" w:hAnsiTheme="minorHAnsi" w:cstheme="minorHAnsi"/>
          <w:sz w:val="22"/>
          <w:szCs w:val="22"/>
        </w:rPr>
        <w:t>Amonatbank</w:t>
      </w:r>
      <w:proofErr w:type="spellEnd"/>
      <w:r w:rsidR="005F4ACA">
        <w:rPr>
          <w:rFonts w:asciiTheme="minorHAnsi" w:hAnsiTheme="minorHAnsi" w:cstheme="minorHAnsi"/>
          <w:sz w:val="22"/>
          <w:szCs w:val="22"/>
        </w:rPr>
        <w:t xml:space="preserve">. </w:t>
      </w:r>
      <w:r>
        <w:rPr>
          <w:rFonts w:asciiTheme="minorHAnsi" w:hAnsiTheme="minorHAnsi" w:cstheme="minorHAnsi"/>
          <w:sz w:val="22"/>
          <w:szCs w:val="22"/>
        </w:rPr>
        <w:t xml:space="preserve">The </w:t>
      </w:r>
      <w:r w:rsidR="005F4ACA">
        <w:rPr>
          <w:rFonts w:asciiTheme="minorHAnsi" w:hAnsiTheme="minorHAnsi" w:cstheme="minorHAnsi"/>
          <w:sz w:val="22"/>
          <w:szCs w:val="22"/>
        </w:rPr>
        <w:t>objectives of the escrow account mechanism are the following.</w:t>
      </w:r>
    </w:p>
    <w:p w14:paraId="25A87EDB" w14:textId="54397AE1" w:rsidR="005F4ACA" w:rsidRDefault="005D626D" w:rsidP="00CB0465">
      <w:pPr>
        <w:pStyle w:val="ListParagraph"/>
        <w:widowControl/>
        <w:numPr>
          <w:ilvl w:val="1"/>
          <w:numId w:val="9"/>
        </w:numPr>
        <w:tabs>
          <w:tab w:val="left" w:pos="270"/>
        </w:tabs>
        <w:autoSpaceDE/>
        <w:autoSpaceDN/>
        <w:adjustRightInd/>
        <w:spacing w:before="120" w:after="120"/>
        <w:ind w:left="270" w:hanging="270"/>
        <w:contextualSpacing w:val="0"/>
        <w:jc w:val="both"/>
        <w:rPr>
          <w:rFonts w:asciiTheme="minorHAnsi" w:hAnsiTheme="minorHAnsi" w:cstheme="minorHAnsi"/>
          <w:sz w:val="22"/>
          <w:szCs w:val="22"/>
        </w:rPr>
      </w:pPr>
      <w:r>
        <w:rPr>
          <w:rFonts w:asciiTheme="minorHAnsi" w:hAnsiTheme="minorHAnsi" w:cstheme="minorHAnsi"/>
          <w:sz w:val="22"/>
          <w:szCs w:val="22"/>
        </w:rPr>
        <w:t>Rules-based distribution of revenues among electricity sector companies</w:t>
      </w:r>
      <w:r w:rsidR="00363E47">
        <w:rPr>
          <w:rFonts w:asciiTheme="minorHAnsi" w:hAnsiTheme="minorHAnsi" w:cstheme="minorHAnsi"/>
          <w:sz w:val="22"/>
          <w:szCs w:val="22"/>
        </w:rPr>
        <w:t xml:space="preserve"> according to their share of revenues as per approved relevant company-level tariffs. If the collected revenues are below 100 percent of billed sales, then each company will get the specified percentage of the available resources, but there will be prioritization of payments towards liabilities</w:t>
      </w:r>
      <w:r w:rsidR="00033AB9">
        <w:rPr>
          <w:rFonts w:asciiTheme="minorHAnsi" w:hAnsiTheme="minorHAnsi" w:cstheme="minorHAnsi"/>
          <w:sz w:val="22"/>
          <w:szCs w:val="22"/>
        </w:rPr>
        <w:t>,</w:t>
      </w:r>
    </w:p>
    <w:p w14:paraId="41D468AD" w14:textId="603AC967" w:rsidR="005D626D" w:rsidRDefault="005D626D" w:rsidP="00CB0465">
      <w:pPr>
        <w:pStyle w:val="ListParagraph"/>
        <w:widowControl/>
        <w:numPr>
          <w:ilvl w:val="1"/>
          <w:numId w:val="9"/>
        </w:numPr>
        <w:tabs>
          <w:tab w:val="left" w:pos="270"/>
        </w:tabs>
        <w:autoSpaceDE/>
        <w:autoSpaceDN/>
        <w:adjustRightInd/>
        <w:spacing w:before="120" w:after="120"/>
        <w:ind w:left="270" w:hanging="270"/>
        <w:contextualSpacing w:val="0"/>
        <w:jc w:val="both"/>
        <w:rPr>
          <w:rFonts w:asciiTheme="minorHAnsi" w:hAnsiTheme="minorHAnsi" w:cstheme="minorHAnsi"/>
          <w:sz w:val="22"/>
          <w:szCs w:val="22"/>
        </w:rPr>
      </w:pPr>
      <w:r>
        <w:rPr>
          <w:rFonts w:asciiTheme="minorHAnsi" w:hAnsiTheme="minorHAnsi" w:cstheme="minorHAnsi"/>
          <w:sz w:val="22"/>
          <w:szCs w:val="22"/>
        </w:rPr>
        <w:t>Reduction of possibility of non-justified use of revenues,</w:t>
      </w:r>
    </w:p>
    <w:p w14:paraId="05EFF9A4" w14:textId="1F28CCDF" w:rsidR="005D626D" w:rsidRDefault="005D626D" w:rsidP="00CB0465">
      <w:pPr>
        <w:pStyle w:val="ListParagraph"/>
        <w:widowControl/>
        <w:numPr>
          <w:ilvl w:val="1"/>
          <w:numId w:val="9"/>
        </w:numPr>
        <w:tabs>
          <w:tab w:val="left" w:pos="270"/>
        </w:tabs>
        <w:autoSpaceDE/>
        <w:autoSpaceDN/>
        <w:adjustRightInd/>
        <w:spacing w:before="120" w:after="120"/>
        <w:ind w:left="270" w:hanging="270"/>
        <w:contextualSpacing w:val="0"/>
        <w:jc w:val="both"/>
        <w:rPr>
          <w:rFonts w:asciiTheme="minorHAnsi" w:hAnsiTheme="minorHAnsi" w:cstheme="minorHAnsi"/>
          <w:sz w:val="22"/>
          <w:szCs w:val="22"/>
        </w:rPr>
      </w:pPr>
      <w:r>
        <w:rPr>
          <w:rFonts w:asciiTheme="minorHAnsi" w:hAnsiTheme="minorHAnsi" w:cstheme="minorHAnsi"/>
          <w:sz w:val="22"/>
          <w:szCs w:val="22"/>
        </w:rPr>
        <w:t>Allowing for gradual repayment of all debts of BT, and</w:t>
      </w:r>
    </w:p>
    <w:p w14:paraId="5C12A72B" w14:textId="7601766C" w:rsidR="005D626D" w:rsidRDefault="005D626D" w:rsidP="00CB0465">
      <w:pPr>
        <w:pStyle w:val="ListParagraph"/>
        <w:widowControl/>
        <w:numPr>
          <w:ilvl w:val="1"/>
          <w:numId w:val="9"/>
        </w:numPr>
        <w:tabs>
          <w:tab w:val="left" w:pos="270"/>
        </w:tabs>
        <w:autoSpaceDE/>
        <w:autoSpaceDN/>
        <w:adjustRightInd/>
        <w:spacing w:before="120" w:after="120"/>
        <w:ind w:left="270" w:hanging="270"/>
        <w:contextualSpacing w:val="0"/>
        <w:jc w:val="both"/>
        <w:rPr>
          <w:rFonts w:asciiTheme="minorHAnsi" w:hAnsiTheme="minorHAnsi" w:cstheme="minorHAnsi"/>
          <w:sz w:val="22"/>
          <w:szCs w:val="22"/>
        </w:rPr>
      </w:pPr>
      <w:r>
        <w:rPr>
          <w:rFonts w:asciiTheme="minorHAnsi" w:hAnsiTheme="minorHAnsi" w:cstheme="minorHAnsi"/>
          <w:sz w:val="22"/>
          <w:szCs w:val="22"/>
        </w:rPr>
        <w:t>Further strengthening of discipline and the elements of corporate governance that were introduced at BT, SIB, and STB.</w:t>
      </w:r>
    </w:p>
    <w:p w14:paraId="31290C2A" w14:textId="51746689" w:rsidR="005D626D" w:rsidRDefault="00033AB9" w:rsidP="00875DBA">
      <w:pPr>
        <w:pStyle w:val="ListParagraph"/>
        <w:widowControl/>
        <w:numPr>
          <w:ilvl w:val="0"/>
          <w:numId w:val="3"/>
        </w:numPr>
        <w:tabs>
          <w:tab w:val="left" w:pos="0"/>
        </w:tabs>
        <w:autoSpaceDE/>
        <w:autoSpaceDN/>
        <w:adjustRightInd/>
        <w:spacing w:before="120" w:after="120"/>
        <w:ind w:left="-360" w:firstLine="0"/>
        <w:contextualSpacing w:val="0"/>
        <w:jc w:val="both"/>
        <w:rPr>
          <w:rFonts w:asciiTheme="minorHAnsi" w:hAnsiTheme="minorHAnsi" w:cstheme="minorHAnsi"/>
          <w:sz w:val="22"/>
          <w:szCs w:val="22"/>
        </w:rPr>
      </w:pPr>
      <w:r>
        <w:rPr>
          <w:rFonts w:asciiTheme="minorHAnsi" w:hAnsiTheme="minorHAnsi" w:cstheme="minorHAnsi"/>
          <w:sz w:val="22"/>
          <w:szCs w:val="22"/>
        </w:rPr>
        <w:t>The rules for use of the account are overall sound and consistent with good practices for escrow account management.</w:t>
      </w:r>
      <w:r w:rsidR="00212B49">
        <w:rPr>
          <w:rFonts w:asciiTheme="minorHAnsi" w:hAnsiTheme="minorHAnsi" w:cstheme="minorHAnsi"/>
          <w:sz w:val="22"/>
          <w:szCs w:val="22"/>
        </w:rPr>
        <w:t xml:space="preserve"> BT, as the market operator</w:t>
      </w:r>
      <w:r w:rsidR="004729D9">
        <w:rPr>
          <w:rFonts w:asciiTheme="minorHAnsi" w:hAnsiTheme="minorHAnsi" w:cstheme="minorHAnsi"/>
          <w:sz w:val="22"/>
          <w:szCs w:val="22"/>
        </w:rPr>
        <w:t xml:space="preserve"> and based on the decision of the escrow account Supervisory Board (SB),</w:t>
      </w:r>
      <w:r w:rsidR="00212B49">
        <w:rPr>
          <w:rFonts w:asciiTheme="minorHAnsi" w:hAnsiTheme="minorHAnsi" w:cstheme="minorHAnsi"/>
          <w:sz w:val="22"/>
          <w:szCs w:val="22"/>
        </w:rPr>
        <w:t xml:space="preserve"> will be submitting monthly payment orders to </w:t>
      </w:r>
      <w:proofErr w:type="spellStart"/>
      <w:r w:rsidR="00212B49">
        <w:rPr>
          <w:rFonts w:asciiTheme="minorHAnsi" w:hAnsiTheme="minorHAnsi" w:cstheme="minorHAnsi"/>
          <w:sz w:val="22"/>
          <w:szCs w:val="22"/>
        </w:rPr>
        <w:t>Amonatbank</w:t>
      </w:r>
      <w:proofErr w:type="spellEnd"/>
      <w:r w:rsidR="00212B49">
        <w:rPr>
          <w:rFonts w:asciiTheme="minorHAnsi" w:hAnsiTheme="minorHAnsi" w:cstheme="minorHAnsi"/>
          <w:sz w:val="22"/>
          <w:szCs w:val="22"/>
        </w:rPr>
        <w:t xml:space="preserve"> with details on electricity generation, transmission, and distribution data and the payables to each company as well as the expenditure plans of each company. The daily transfers from escrow account to each company’s banking account is done according to the following principles: (a) the size of quarterly mandatory and minimum payments required by each company should be consistent with each company’s expenditure plan; and (b) each company gets a share of the total revenues available on the escrow account consistent with the share of each company in the total revenue requirement of the sector.</w:t>
      </w:r>
    </w:p>
    <w:p w14:paraId="065CC787" w14:textId="2F3A1BE6" w:rsidR="00212B49" w:rsidRDefault="00212B49" w:rsidP="00875DBA">
      <w:pPr>
        <w:pStyle w:val="ListParagraph"/>
        <w:widowControl/>
        <w:numPr>
          <w:ilvl w:val="0"/>
          <w:numId w:val="3"/>
        </w:numPr>
        <w:tabs>
          <w:tab w:val="left" w:pos="0"/>
        </w:tabs>
        <w:autoSpaceDE/>
        <w:autoSpaceDN/>
        <w:adjustRightInd/>
        <w:spacing w:before="120" w:after="120"/>
        <w:ind w:left="-360" w:firstLine="0"/>
        <w:contextualSpacing w:val="0"/>
        <w:jc w:val="both"/>
        <w:rPr>
          <w:rFonts w:asciiTheme="minorHAnsi" w:hAnsiTheme="minorHAnsi" w:cstheme="minorHAnsi"/>
          <w:sz w:val="22"/>
          <w:szCs w:val="22"/>
        </w:rPr>
      </w:pPr>
      <w:r>
        <w:rPr>
          <w:rFonts w:asciiTheme="minorHAnsi" w:hAnsiTheme="minorHAnsi" w:cstheme="minorHAnsi"/>
          <w:sz w:val="22"/>
          <w:szCs w:val="22"/>
        </w:rPr>
        <w:t>The escrow account mechanism also specifies the mandatory and minimum payments that</w:t>
      </w:r>
      <w:r w:rsidR="00C572B3">
        <w:rPr>
          <w:rFonts w:asciiTheme="minorHAnsi" w:hAnsiTheme="minorHAnsi" w:cstheme="minorHAnsi"/>
          <w:sz w:val="22"/>
          <w:szCs w:val="22"/>
        </w:rPr>
        <w:t xml:space="preserve"> need to be made to</w:t>
      </w:r>
      <w:r>
        <w:rPr>
          <w:rFonts w:asciiTheme="minorHAnsi" w:hAnsiTheme="minorHAnsi" w:cstheme="minorHAnsi"/>
          <w:sz w:val="22"/>
          <w:szCs w:val="22"/>
        </w:rPr>
        <w:t xml:space="preserve"> BT, SIB, and STB </w:t>
      </w:r>
      <w:r w:rsidR="00C572B3">
        <w:rPr>
          <w:rFonts w:asciiTheme="minorHAnsi" w:hAnsiTheme="minorHAnsi" w:cstheme="minorHAnsi"/>
          <w:sz w:val="22"/>
          <w:szCs w:val="22"/>
        </w:rPr>
        <w:t xml:space="preserve">towards the following expenditures. The prioritization is robust with social focus, purchases of electricity which is essential for long-term reliability of electricity supply, and the focus on </w:t>
      </w:r>
      <w:r w:rsidR="00C572B3">
        <w:rPr>
          <w:rFonts w:asciiTheme="minorHAnsi" w:hAnsiTheme="minorHAnsi" w:cstheme="minorHAnsi"/>
          <w:sz w:val="22"/>
          <w:szCs w:val="22"/>
        </w:rPr>
        <w:lastRenderedPageBreak/>
        <w:t>meeting the liabilities that are the most expensive (</w:t>
      </w:r>
      <w:proofErr w:type="gramStart"/>
      <w:r w:rsidR="00C572B3">
        <w:rPr>
          <w:rFonts w:asciiTheme="minorHAnsi" w:hAnsiTheme="minorHAnsi" w:cstheme="minorHAnsi"/>
          <w:sz w:val="22"/>
          <w:szCs w:val="22"/>
        </w:rPr>
        <w:t>e.g.</w:t>
      </w:r>
      <w:proofErr w:type="gramEnd"/>
      <w:r w:rsidR="00C572B3">
        <w:rPr>
          <w:rFonts w:asciiTheme="minorHAnsi" w:hAnsiTheme="minorHAnsi" w:cstheme="minorHAnsi"/>
          <w:sz w:val="22"/>
          <w:szCs w:val="22"/>
        </w:rPr>
        <w:t xml:space="preserve"> servicing of commercial debt and overdue payments to IPPs).</w:t>
      </w:r>
    </w:p>
    <w:p w14:paraId="38ACC161" w14:textId="2A15606F" w:rsidR="00C572B3" w:rsidRDefault="00C572B3" w:rsidP="00CB0465">
      <w:pPr>
        <w:pStyle w:val="ListParagraph"/>
        <w:widowControl/>
        <w:numPr>
          <w:ilvl w:val="0"/>
          <w:numId w:val="10"/>
        </w:numPr>
        <w:tabs>
          <w:tab w:val="left" w:pos="270"/>
        </w:tabs>
        <w:autoSpaceDE/>
        <w:autoSpaceDN/>
        <w:adjustRightInd/>
        <w:spacing w:before="120" w:after="120"/>
        <w:ind w:left="270" w:hanging="270"/>
        <w:contextualSpacing w:val="0"/>
        <w:jc w:val="both"/>
        <w:rPr>
          <w:rFonts w:asciiTheme="minorHAnsi" w:hAnsiTheme="minorHAnsi" w:cstheme="minorHAnsi"/>
          <w:sz w:val="22"/>
          <w:szCs w:val="22"/>
        </w:rPr>
      </w:pPr>
      <w:r>
        <w:rPr>
          <w:rFonts w:asciiTheme="minorHAnsi" w:hAnsiTheme="minorHAnsi" w:cstheme="minorHAnsi"/>
          <w:sz w:val="22"/>
          <w:szCs w:val="22"/>
        </w:rPr>
        <w:t>Salaries, taxes, tariffs, and other mandatory payments specified by Tajikistan’s legislation,</w:t>
      </w:r>
    </w:p>
    <w:p w14:paraId="11215054" w14:textId="2C78EAE3" w:rsidR="00C572B3" w:rsidRDefault="00C572B3" w:rsidP="00CB0465">
      <w:pPr>
        <w:pStyle w:val="ListParagraph"/>
        <w:widowControl/>
        <w:numPr>
          <w:ilvl w:val="0"/>
          <w:numId w:val="10"/>
        </w:numPr>
        <w:tabs>
          <w:tab w:val="left" w:pos="270"/>
        </w:tabs>
        <w:autoSpaceDE/>
        <w:autoSpaceDN/>
        <w:adjustRightInd/>
        <w:spacing w:before="120" w:after="120"/>
        <w:ind w:left="270" w:hanging="270"/>
        <w:contextualSpacing w:val="0"/>
        <w:jc w:val="both"/>
        <w:rPr>
          <w:rFonts w:asciiTheme="minorHAnsi" w:hAnsiTheme="minorHAnsi" w:cstheme="minorHAnsi"/>
          <w:sz w:val="22"/>
          <w:szCs w:val="22"/>
        </w:rPr>
      </w:pPr>
      <w:r>
        <w:rPr>
          <w:rFonts w:asciiTheme="minorHAnsi" w:hAnsiTheme="minorHAnsi" w:cstheme="minorHAnsi"/>
          <w:sz w:val="22"/>
          <w:szCs w:val="22"/>
        </w:rPr>
        <w:t>Current and overdue payables to IPPs for actual electricity supply to BT consistent with the revenue distribution approach,</w:t>
      </w:r>
    </w:p>
    <w:p w14:paraId="35D7C3D5" w14:textId="2146FC46" w:rsidR="00C572B3" w:rsidRDefault="00C572B3" w:rsidP="00CB0465">
      <w:pPr>
        <w:pStyle w:val="ListParagraph"/>
        <w:widowControl/>
        <w:numPr>
          <w:ilvl w:val="0"/>
          <w:numId w:val="10"/>
        </w:numPr>
        <w:tabs>
          <w:tab w:val="left" w:pos="270"/>
        </w:tabs>
        <w:autoSpaceDE/>
        <w:autoSpaceDN/>
        <w:adjustRightInd/>
        <w:spacing w:before="120" w:after="120"/>
        <w:ind w:left="270" w:hanging="270"/>
        <w:contextualSpacing w:val="0"/>
        <w:jc w:val="both"/>
        <w:rPr>
          <w:rFonts w:asciiTheme="minorHAnsi" w:hAnsiTheme="minorHAnsi" w:cstheme="minorHAnsi"/>
          <w:sz w:val="22"/>
          <w:szCs w:val="22"/>
        </w:rPr>
      </w:pPr>
      <w:r>
        <w:rPr>
          <w:rFonts w:asciiTheme="minorHAnsi" w:hAnsiTheme="minorHAnsi" w:cstheme="minorHAnsi"/>
          <w:sz w:val="22"/>
          <w:szCs w:val="22"/>
        </w:rPr>
        <w:t>Agreed-upon costs of commercial debt service for the calendar year,</w:t>
      </w:r>
    </w:p>
    <w:p w14:paraId="3B48DACD" w14:textId="538F0095" w:rsidR="00C572B3" w:rsidRDefault="00C572B3" w:rsidP="00CB0465">
      <w:pPr>
        <w:pStyle w:val="ListParagraph"/>
        <w:widowControl/>
        <w:numPr>
          <w:ilvl w:val="0"/>
          <w:numId w:val="10"/>
        </w:numPr>
        <w:tabs>
          <w:tab w:val="left" w:pos="270"/>
        </w:tabs>
        <w:autoSpaceDE/>
        <w:autoSpaceDN/>
        <w:adjustRightInd/>
        <w:spacing w:before="120" w:after="120"/>
        <w:ind w:left="270" w:hanging="270"/>
        <w:contextualSpacing w:val="0"/>
        <w:jc w:val="both"/>
        <w:rPr>
          <w:rFonts w:asciiTheme="minorHAnsi" w:hAnsiTheme="minorHAnsi" w:cstheme="minorHAnsi"/>
          <w:sz w:val="22"/>
          <w:szCs w:val="22"/>
        </w:rPr>
      </w:pPr>
      <w:r>
        <w:rPr>
          <w:rFonts w:asciiTheme="minorHAnsi" w:hAnsiTheme="minorHAnsi" w:cstheme="minorHAnsi"/>
          <w:sz w:val="22"/>
          <w:szCs w:val="22"/>
        </w:rPr>
        <w:t>Current and overdue debt service costs under the relevant subsidiary agreements between MOF and the electricity sector companies,</w:t>
      </w:r>
    </w:p>
    <w:p w14:paraId="30163264" w14:textId="33364735" w:rsidR="00C572B3" w:rsidRDefault="00C572B3" w:rsidP="00CB0465">
      <w:pPr>
        <w:pStyle w:val="ListParagraph"/>
        <w:widowControl/>
        <w:numPr>
          <w:ilvl w:val="0"/>
          <w:numId w:val="10"/>
        </w:numPr>
        <w:tabs>
          <w:tab w:val="left" w:pos="270"/>
        </w:tabs>
        <w:autoSpaceDE/>
        <w:autoSpaceDN/>
        <w:adjustRightInd/>
        <w:spacing w:before="120" w:after="120"/>
        <w:ind w:left="270" w:hanging="270"/>
        <w:contextualSpacing w:val="0"/>
        <w:jc w:val="both"/>
        <w:rPr>
          <w:rFonts w:asciiTheme="minorHAnsi" w:hAnsiTheme="minorHAnsi" w:cstheme="minorHAnsi"/>
          <w:sz w:val="22"/>
          <w:szCs w:val="22"/>
        </w:rPr>
      </w:pPr>
      <w:r>
        <w:rPr>
          <w:rFonts w:asciiTheme="minorHAnsi" w:hAnsiTheme="minorHAnsi" w:cstheme="minorHAnsi"/>
          <w:sz w:val="22"/>
          <w:szCs w:val="22"/>
        </w:rPr>
        <w:t>Imports of electricity,</w:t>
      </w:r>
    </w:p>
    <w:p w14:paraId="4456829D" w14:textId="01998F9D" w:rsidR="00C572B3" w:rsidRDefault="00830E36" w:rsidP="00CB0465">
      <w:pPr>
        <w:pStyle w:val="ListParagraph"/>
        <w:widowControl/>
        <w:numPr>
          <w:ilvl w:val="0"/>
          <w:numId w:val="10"/>
        </w:numPr>
        <w:tabs>
          <w:tab w:val="left" w:pos="270"/>
        </w:tabs>
        <w:autoSpaceDE/>
        <w:autoSpaceDN/>
        <w:adjustRightInd/>
        <w:spacing w:before="120" w:after="120"/>
        <w:ind w:left="270" w:hanging="270"/>
        <w:contextualSpacing w:val="0"/>
        <w:jc w:val="both"/>
        <w:rPr>
          <w:rFonts w:asciiTheme="minorHAnsi" w:hAnsiTheme="minorHAnsi" w:cstheme="minorHAnsi"/>
          <w:sz w:val="22"/>
          <w:szCs w:val="22"/>
        </w:rPr>
      </w:pPr>
      <w:r>
        <w:rPr>
          <w:rFonts w:asciiTheme="minorHAnsi" w:hAnsiTheme="minorHAnsi" w:cstheme="minorHAnsi"/>
          <w:sz w:val="22"/>
          <w:szCs w:val="22"/>
        </w:rPr>
        <w:t>Payments for transit of electricity/use of transmission network except for CASA-1000 project,</w:t>
      </w:r>
    </w:p>
    <w:p w14:paraId="1FDEE6F7" w14:textId="161E6653" w:rsidR="00830E36" w:rsidRDefault="00830E36" w:rsidP="00CB0465">
      <w:pPr>
        <w:pStyle w:val="ListParagraph"/>
        <w:widowControl/>
        <w:numPr>
          <w:ilvl w:val="0"/>
          <w:numId w:val="10"/>
        </w:numPr>
        <w:tabs>
          <w:tab w:val="left" w:pos="270"/>
        </w:tabs>
        <w:autoSpaceDE/>
        <w:autoSpaceDN/>
        <w:adjustRightInd/>
        <w:spacing w:before="120" w:after="120"/>
        <w:ind w:left="270" w:hanging="270"/>
        <w:contextualSpacing w:val="0"/>
        <w:jc w:val="both"/>
        <w:rPr>
          <w:rFonts w:asciiTheme="minorHAnsi" w:hAnsiTheme="minorHAnsi" w:cstheme="minorHAnsi"/>
          <w:sz w:val="22"/>
          <w:szCs w:val="22"/>
        </w:rPr>
      </w:pPr>
      <w:r>
        <w:rPr>
          <w:rFonts w:asciiTheme="minorHAnsi" w:hAnsiTheme="minorHAnsi" w:cstheme="minorHAnsi"/>
          <w:sz w:val="22"/>
          <w:szCs w:val="22"/>
        </w:rPr>
        <w:t>Payments for banking services and the cost of the annual auditor.</w:t>
      </w:r>
    </w:p>
    <w:p w14:paraId="27484AE1" w14:textId="67DF97CE" w:rsidR="00830E36" w:rsidRPr="00830E36" w:rsidRDefault="00355C38" w:rsidP="00875DBA">
      <w:pPr>
        <w:pStyle w:val="ListParagraph"/>
        <w:widowControl/>
        <w:numPr>
          <w:ilvl w:val="0"/>
          <w:numId w:val="3"/>
        </w:numPr>
        <w:tabs>
          <w:tab w:val="left" w:pos="0"/>
        </w:tabs>
        <w:autoSpaceDE/>
        <w:autoSpaceDN/>
        <w:adjustRightInd/>
        <w:spacing w:before="120" w:after="120"/>
        <w:ind w:left="-360" w:firstLine="0"/>
        <w:contextualSpacing w:val="0"/>
        <w:jc w:val="both"/>
        <w:rPr>
          <w:rFonts w:asciiTheme="minorHAnsi" w:hAnsiTheme="minorHAnsi" w:cstheme="minorHAnsi"/>
          <w:sz w:val="22"/>
          <w:szCs w:val="22"/>
        </w:rPr>
      </w:pPr>
      <w:r w:rsidRPr="00791307">
        <w:rPr>
          <w:rFonts w:asciiTheme="minorHAnsi" w:hAnsiTheme="minorHAnsi" w:cstheme="minorHAnsi"/>
          <w:b/>
          <w:bCs/>
          <w:sz w:val="22"/>
          <w:szCs w:val="22"/>
        </w:rPr>
        <w:t>The arrangements put in place for management and monitoring of the escrow account are robust. The Gover</w:t>
      </w:r>
      <w:r w:rsidR="004D434D" w:rsidRPr="00791307">
        <w:rPr>
          <w:rFonts w:asciiTheme="minorHAnsi" w:hAnsiTheme="minorHAnsi" w:cstheme="minorHAnsi"/>
          <w:b/>
          <w:bCs/>
          <w:sz w:val="22"/>
          <w:szCs w:val="22"/>
        </w:rPr>
        <w:t>nment established a</w:t>
      </w:r>
      <w:r w:rsidR="00791307" w:rsidRPr="00791307">
        <w:rPr>
          <w:rFonts w:asciiTheme="minorHAnsi" w:hAnsiTheme="minorHAnsi" w:cstheme="minorHAnsi"/>
          <w:b/>
          <w:bCs/>
          <w:sz w:val="22"/>
          <w:szCs w:val="22"/>
        </w:rPr>
        <w:t xml:space="preserve"> multi-sectoral</w:t>
      </w:r>
      <w:r w:rsidR="004D434D" w:rsidRPr="00791307">
        <w:rPr>
          <w:rFonts w:asciiTheme="minorHAnsi" w:hAnsiTheme="minorHAnsi" w:cstheme="minorHAnsi"/>
          <w:b/>
          <w:bCs/>
          <w:sz w:val="22"/>
          <w:szCs w:val="22"/>
        </w:rPr>
        <w:t xml:space="preserve"> SB to manage and monitor the use of funds</w:t>
      </w:r>
      <w:r w:rsidR="004D434D">
        <w:rPr>
          <w:rFonts w:asciiTheme="minorHAnsi" w:hAnsiTheme="minorHAnsi" w:cstheme="minorHAnsi"/>
          <w:sz w:val="22"/>
          <w:szCs w:val="22"/>
        </w:rPr>
        <w:t xml:space="preserve">. SB is comprised of the </w:t>
      </w:r>
      <w:r w:rsidR="004729D9">
        <w:rPr>
          <w:rFonts w:asciiTheme="minorHAnsi" w:hAnsiTheme="minorHAnsi" w:cstheme="minorHAnsi"/>
          <w:sz w:val="22"/>
          <w:szCs w:val="22"/>
        </w:rPr>
        <w:t xml:space="preserve">Prime Minister (Chairman of SB), First Deputy Prime Minister (Deputy Chairman), </w:t>
      </w:r>
      <w:r w:rsidR="004D434D">
        <w:rPr>
          <w:rFonts w:asciiTheme="minorHAnsi" w:hAnsiTheme="minorHAnsi" w:cstheme="minorHAnsi"/>
          <w:sz w:val="22"/>
          <w:szCs w:val="22"/>
        </w:rPr>
        <w:t xml:space="preserve">Deputy Prime Minister responsible for energy sector, Deputy Head of the Executive Office of the President, President’s Assistant on Economic Matters, Minister of Energy and Water Resources, Minister of Justice, Minister of Finance, </w:t>
      </w:r>
      <w:r w:rsidR="00791307">
        <w:rPr>
          <w:rFonts w:asciiTheme="minorHAnsi" w:hAnsiTheme="minorHAnsi" w:cstheme="minorHAnsi"/>
          <w:sz w:val="22"/>
          <w:szCs w:val="22"/>
        </w:rPr>
        <w:t xml:space="preserve">Chairman of the State Committee of Investments, Chairperson of the Financial Department of the Executive Office of the President, Chairman of BT, General Director of SIB, General Director of STB, and Chairperson of the Infrastructure Development Department of the Executive Office of the President (SB secretary). </w:t>
      </w:r>
    </w:p>
    <w:p w14:paraId="557E012D" w14:textId="6AF52604" w:rsidR="00811038" w:rsidRPr="00811038" w:rsidRDefault="00811038" w:rsidP="00811038">
      <w:pPr>
        <w:pStyle w:val="ListParagraph"/>
        <w:widowControl/>
        <w:tabs>
          <w:tab w:val="left" w:pos="0"/>
        </w:tabs>
        <w:autoSpaceDE/>
        <w:autoSpaceDN/>
        <w:adjustRightInd/>
        <w:spacing w:before="120" w:after="120"/>
        <w:ind w:left="-360"/>
        <w:contextualSpacing w:val="0"/>
        <w:jc w:val="both"/>
        <w:rPr>
          <w:rFonts w:asciiTheme="minorHAnsi" w:hAnsiTheme="minorHAnsi" w:cstheme="minorHAnsi"/>
          <w:b/>
          <w:bCs/>
          <w:sz w:val="22"/>
          <w:szCs w:val="22"/>
        </w:rPr>
      </w:pPr>
      <w:r>
        <w:rPr>
          <w:rFonts w:asciiTheme="minorHAnsi" w:hAnsiTheme="minorHAnsi" w:cstheme="minorHAnsi"/>
          <w:b/>
          <w:bCs/>
          <w:sz w:val="22"/>
          <w:szCs w:val="22"/>
        </w:rPr>
        <w:t>Financial Viability Assessment of the Updated Program</w:t>
      </w:r>
    </w:p>
    <w:bookmarkEnd w:id="11"/>
    <w:p w14:paraId="14C35B40" w14:textId="7FD604E5" w:rsidR="003B36F9" w:rsidRPr="003B36F9" w:rsidRDefault="00393ACF" w:rsidP="00875DBA">
      <w:pPr>
        <w:pStyle w:val="ListParagraph"/>
        <w:numPr>
          <w:ilvl w:val="0"/>
          <w:numId w:val="3"/>
        </w:numPr>
        <w:tabs>
          <w:tab w:val="left" w:pos="0"/>
        </w:tabs>
        <w:spacing w:after="120"/>
        <w:ind w:left="-360" w:firstLine="0"/>
        <w:contextualSpacing w:val="0"/>
        <w:jc w:val="both"/>
        <w:rPr>
          <w:rFonts w:ascii="Calibri" w:hAnsi="Calibri"/>
          <w:color w:val="auto"/>
          <w:sz w:val="22"/>
          <w:szCs w:val="22"/>
        </w:rPr>
      </w:pPr>
      <w:r w:rsidRPr="00393ACF">
        <w:rPr>
          <w:rFonts w:asciiTheme="minorHAnsi" w:hAnsiTheme="minorHAnsi" w:cstheme="minorHAnsi"/>
          <w:sz w:val="22"/>
          <w:szCs w:val="22"/>
        </w:rPr>
        <w:t xml:space="preserve"> </w:t>
      </w:r>
      <w:r w:rsidR="003B36F9" w:rsidRPr="003B36F9">
        <w:rPr>
          <w:rFonts w:asciiTheme="minorHAnsi" w:hAnsiTheme="minorHAnsi" w:cstheme="minorHAnsi"/>
          <w:b/>
          <w:bCs/>
          <w:sz w:val="22"/>
          <w:szCs w:val="22"/>
        </w:rPr>
        <w:t>The electricity sector and the Program remain financially viable with the proposed AF</w:t>
      </w:r>
      <w:r w:rsidR="003B36F9" w:rsidRPr="003B36F9">
        <w:rPr>
          <w:rFonts w:asciiTheme="minorHAnsi" w:hAnsiTheme="minorHAnsi" w:cstheme="minorHAnsi"/>
          <w:sz w:val="22"/>
          <w:szCs w:val="22"/>
        </w:rPr>
        <w:t xml:space="preserve">. The increase in end-user tariffs, improvement of collection rates, and cost-saving measures will help the sector generate more cash from operations </w:t>
      </w:r>
      <w:proofErr w:type="gramStart"/>
      <w:r w:rsidR="003B36F9" w:rsidRPr="003B36F9">
        <w:rPr>
          <w:rFonts w:asciiTheme="minorHAnsi" w:hAnsiTheme="minorHAnsi" w:cstheme="minorHAnsi"/>
          <w:sz w:val="22"/>
          <w:szCs w:val="22"/>
        </w:rPr>
        <w:t>and,</w:t>
      </w:r>
      <w:proofErr w:type="gramEnd"/>
      <w:r w:rsidR="003B36F9" w:rsidRPr="003B36F9">
        <w:rPr>
          <w:rFonts w:asciiTheme="minorHAnsi" w:hAnsiTheme="minorHAnsi" w:cstheme="minorHAnsi"/>
          <w:sz w:val="22"/>
          <w:szCs w:val="22"/>
        </w:rPr>
        <w:t xml:space="preserve"> as demonstrated in Figure 4, entirely eliminate the cash deficit by </w:t>
      </w:r>
      <w:r w:rsidR="0038708E">
        <w:rPr>
          <w:rFonts w:asciiTheme="minorHAnsi" w:hAnsiTheme="minorHAnsi" w:cstheme="minorHAnsi"/>
          <w:sz w:val="22"/>
          <w:szCs w:val="22"/>
        </w:rPr>
        <w:t xml:space="preserve">the end of </w:t>
      </w:r>
      <w:r w:rsidR="003B36F9" w:rsidRPr="003B36F9">
        <w:rPr>
          <w:rFonts w:asciiTheme="minorHAnsi" w:hAnsiTheme="minorHAnsi" w:cstheme="minorHAnsi"/>
          <w:sz w:val="22"/>
          <w:szCs w:val="22"/>
        </w:rPr>
        <w:t>2031. EBITDA margin will increase to around 60 percent by 2029, and the liquidity will improve. Revision of the on-lending terms of the MOF will reduce the debt service costs of the sector and free up additional cash for repayment of its overdue liabilities. The commencement of electricity exports under the CASA-1000 project will also significantly contribute to improving the financial standing starting from 2026. Specifically, exports under the CASA-1000 project are expected to generate an additional US$1</w:t>
      </w:r>
      <w:r w:rsidR="00EE7D20">
        <w:rPr>
          <w:rFonts w:asciiTheme="minorHAnsi" w:hAnsiTheme="minorHAnsi" w:cstheme="minorHAnsi"/>
          <w:sz w:val="22"/>
          <w:szCs w:val="22"/>
        </w:rPr>
        <w:t>35</w:t>
      </w:r>
      <w:r w:rsidR="003B36F9" w:rsidRPr="003B36F9">
        <w:rPr>
          <w:rFonts w:asciiTheme="minorHAnsi" w:hAnsiTheme="minorHAnsi" w:cstheme="minorHAnsi"/>
          <w:sz w:val="22"/>
          <w:szCs w:val="22"/>
        </w:rPr>
        <w:t xml:space="preserve"> million of income per year. </w:t>
      </w:r>
      <w:r w:rsidR="0038708E">
        <w:rPr>
          <w:rFonts w:asciiTheme="minorHAnsi" w:hAnsiTheme="minorHAnsi" w:cstheme="minorHAnsi"/>
          <w:sz w:val="22"/>
          <w:szCs w:val="22"/>
        </w:rPr>
        <w:t xml:space="preserve">The Government has been undertaking measures to accelerate achievement of the sector financial recovery by an earlier date. </w:t>
      </w:r>
    </w:p>
    <w:p w14:paraId="40FE7EDF" w14:textId="04926110" w:rsidR="008C7864" w:rsidRPr="00FB2FAF" w:rsidRDefault="003B36F9" w:rsidP="00FB2FAF">
      <w:pPr>
        <w:pStyle w:val="ListParagraph"/>
        <w:numPr>
          <w:ilvl w:val="0"/>
          <w:numId w:val="3"/>
        </w:numPr>
        <w:tabs>
          <w:tab w:val="left" w:pos="0"/>
        </w:tabs>
        <w:spacing w:after="120"/>
        <w:ind w:left="-360" w:firstLine="0"/>
        <w:contextualSpacing w:val="0"/>
        <w:jc w:val="both"/>
        <w:rPr>
          <w:rFonts w:ascii="Calibri" w:hAnsi="Calibri"/>
          <w:color w:val="auto"/>
          <w:sz w:val="22"/>
          <w:szCs w:val="22"/>
        </w:rPr>
      </w:pPr>
      <w:r w:rsidRPr="003B36F9">
        <w:rPr>
          <w:rFonts w:asciiTheme="minorHAnsi" w:hAnsiTheme="minorHAnsi" w:cstheme="minorHAnsi"/>
          <w:sz w:val="22"/>
          <w:szCs w:val="22"/>
        </w:rPr>
        <w:t xml:space="preserve">The electricity sector will gradually repay its current and overdue financial liabilities using incremental operating cash flows from financial recovery measures. It is estimated that by 2031, the sector will have fully repaid its overdue debts (principal plus interest) to MOF, overdue payables to Sangtuda-1 and Sangtuda-2, and debt to </w:t>
      </w:r>
      <w:proofErr w:type="spellStart"/>
      <w:r w:rsidRPr="003B36F9">
        <w:rPr>
          <w:rFonts w:asciiTheme="minorHAnsi" w:hAnsiTheme="minorHAnsi" w:cstheme="minorHAnsi"/>
          <w:sz w:val="22"/>
          <w:szCs w:val="22"/>
        </w:rPr>
        <w:t>Orienbank</w:t>
      </w:r>
      <w:proofErr w:type="spellEnd"/>
      <w:r w:rsidRPr="003B36F9">
        <w:rPr>
          <w:rFonts w:asciiTheme="minorHAnsi" w:hAnsiTheme="minorHAnsi" w:cstheme="minorHAnsi"/>
          <w:sz w:val="22"/>
          <w:szCs w:val="22"/>
        </w:rPr>
        <w:t xml:space="preserve"> and eliminate the cash deficit. As a result, by the end of 2031, the debt-to-assets ratio will have come down to 0.83, and the debt service coverage ratio will have reached above 1.2.   </w:t>
      </w:r>
    </w:p>
    <w:p w14:paraId="7BB617D5" w14:textId="77777777" w:rsidR="006D445E" w:rsidRDefault="006D445E" w:rsidP="003B36F9">
      <w:pPr>
        <w:pStyle w:val="Caption"/>
        <w:spacing w:after="0"/>
        <w:ind w:left="-360"/>
        <w:rPr>
          <w:b/>
          <w:bCs/>
          <w:i w:val="0"/>
          <w:iCs w:val="0"/>
          <w:color w:val="auto"/>
          <w:sz w:val="22"/>
          <w:szCs w:val="22"/>
        </w:rPr>
      </w:pPr>
    </w:p>
    <w:p w14:paraId="559A6A92" w14:textId="77777777" w:rsidR="006D445E" w:rsidRDefault="006D445E" w:rsidP="003B36F9">
      <w:pPr>
        <w:pStyle w:val="Caption"/>
        <w:spacing w:after="0"/>
        <w:ind w:left="-360"/>
        <w:rPr>
          <w:b/>
          <w:bCs/>
          <w:i w:val="0"/>
          <w:iCs w:val="0"/>
          <w:color w:val="auto"/>
          <w:sz w:val="22"/>
          <w:szCs w:val="22"/>
        </w:rPr>
      </w:pPr>
    </w:p>
    <w:p w14:paraId="6253BCB2" w14:textId="77777777" w:rsidR="006D445E" w:rsidRDefault="006D445E" w:rsidP="003B36F9">
      <w:pPr>
        <w:pStyle w:val="Caption"/>
        <w:spacing w:after="0"/>
        <w:ind w:left="-360"/>
        <w:rPr>
          <w:b/>
          <w:bCs/>
          <w:i w:val="0"/>
          <w:iCs w:val="0"/>
          <w:color w:val="auto"/>
          <w:sz w:val="22"/>
          <w:szCs w:val="22"/>
        </w:rPr>
      </w:pPr>
    </w:p>
    <w:p w14:paraId="7AE104E7" w14:textId="77777777" w:rsidR="006D445E" w:rsidRDefault="006D445E" w:rsidP="003B36F9">
      <w:pPr>
        <w:pStyle w:val="Caption"/>
        <w:spacing w:after="0"/>
        <w:ind w:left="-360"/>
        <w:rPr>
          <w:b/>
          <w:bCs/>
          <w:i w:val="0"/>
          <w:iCs w:val="0"/>
          <w:color w:val="auto"/>
          <w:sz w:val="22"/>
          <w:szCs w:val="22"/>
        </w:rPr>
      </w:pPr>
    </w:p>
    <w:p w14:paraId="689CDB8D" w14:textId="77777777" w:rsidR="006D445E" w:rsidRDefault="006D445E" w:rsidP="003B36F9">
      <w:pPr>
        <w:pStyle w:val="Caption"/>
        <w:spacing w:after="0"/>
        <w:ind w:left="-360"/>
        <w:rPr>
          <w:b/>
          <w:bCs/>
          <w:i w:val="0"/>
          <w:iCs w:val="0"/>
          <w:color w:val="auto"/>
          <w:sz w:val="22"/>
          <w:szCs w:val="22"/>
        </w:rPr>
      </w:pPr>
    </w:p>
    <w:p w14:paraId="62B9DDE9" w14:textId="4F862741" w:rsidR="003B36F9" w:rsidRPr="00B119D2" w:rsidRDefault="003B36F9" w:rsidP="003B36F9">
      <w:pPr>
        <w:pStyle w:val="Caption"/>
        <w:spacing w:after="0"/>
        <w:ind w:left="-360"/>
        <w:rPr>
          <w:b/>
          <w:bCs/>
          <w:i w:val="0"/>
          <w:iCs w:val="0"/>
          <w:color w:val="auto"/>
          <w:sz w:val="22"/>
          <w:szCs w:val="22"/>
        </w:rPr>
      </w:pPr>
      <w:r w:rsidRPr="00B119D2">
        <w:rPr>
          <w:b/>
          <w:bCs/>
          <w:i w:val="0"/>
          <w:iCs w:val="0"/>
          <w:color w:val="auto"/>
          <w:sz w:val="22"/>
          <w:szCs w:val="22"/>
        </w:rPr>
        <w:lastRenderedPageBreak/>
        <w:t xml:space="preserve">Figure </w:t>
      </w:r>
      <w:r w:rsidRPr="00B119D2">
        <w:rPr>
          <w:b/>
          <w:bCs/>
          <w:i w:val="0"/>
          <w:iCs w:val="0"/>
          <w:color w:val="auto"/>
          <w:sz w:val="22"/>
          <w:szCs w:val="22"/>
        </w:rPr>
        <w:fldChar w:fldCharType="begin"/>
      </w:r>
      <w:r w:rsidRPr="00B119D2">
        <w:rPr>
          <w:b/>
          <w:bCs/>
          <w:i w:val="0"/>
          <w:iCs w:val="0"/>
          <w:color w:val="auto"/>
          <w:sz w:val="22"/>
          <w:szCs w:val="22"/>
        </w:rPr>
        <w:instrText xml:space="preserve"> SEQ Figure \* ARABIC </w:instrText>
      </w:r>
      <w:r w:rsidRPr="00B119D2">
        <w:rPr>
          <w:b/>
          <w:bCs/>
          <w:i w:val="0"/>
          <w:iCs w:val="0"/>
          <w:color w:val="auto"/>
          <w:sz w:val="22"/>
          <w:szCs w:val="22"/>
        </w:rPr>
        <w:fldChar w:fldCharType="separate"/>
      </w:r>
      <w:r w:rsidR="00B119D2" w:rsidRPr="00B119D2">
        <w:rPr>
          <w:b/>
          <w:bCs/>
          <w:i w:val="0"/>
          <w:iCs w:val="0"/>
          <w:noProof/>
          <w:color w:val="auto"/>
          <w:sz w:val="22"/>
          <w:szCs w:val="22"/>
        </w:rPr>
        <w:t>4</w:t>
      </w:r>
      <w:r w:rsidRPr="00B119D2">
        <w:rPr>
          <w:b/>
          <w:bCs/>
          <w:i w:val="0"/>
          <w:iCs w:val="0"/>
          <w:color w:val="auto"/>
          <w:sz w:val="22"/>
          <w:szCs w:val="22"/>
        </w:rPr>
        <w:fldChar w:fldCharType="end"/>
      </w:r>
      <w:r w:rsidRPr="00B119D2">
        <w:rPr>
          <w:b/>
          <w:bCs/>
          <w:i w:val="0"/>
          <w:iCs w:val="0"/>
          <w:color w:val="auto"/>
          <w:sz w:val="22"/>
          <w:szCs w:val="22"/>
        </w:rPr>
        <w:t xml:space="preserve">: Cash Deficit of Electricity Sector                              Figure </w:t>
      </w:r>
      <w:r w:rsidRPr="00B119D2">
        <w:rPr>
          <w:b/>
          <w:bCs/>
          <w:i w:val="0"/>
          <w:iCs w:val="0"/>
          <w:color w:val="auto"/>
          <w:sz w:val="22"/>
          <w:szCs w:val="22"/>
        </w:rPr>
        <w:fldChar w:fldCharType="begin"/>
      </w:r>
      <w:r w:rsidRPr="00B119D2">
        <w:rPr>
          <w:b/>
          <w:bCs/>
          <w:i w:val="0"/>
          <w:iCs w:val="0"/>
          <w:color w:val="auto"/>
          <w:sz w:val="22"/>
          <w:szCs w:val="22"/>
        </w:rPr>
        <w:instrText xml:space="preserve"> SEQ Figure \* ARABIC </w:instrText>
      </w:r>
      <w:r w:rsidRPr="00B119D2">
        <w:rPr>
          <w:b/>
          <w:bCs/>
          <w:i w:val="0"/>
          <w:iCs w:val="0"/>
          <w:color w:val="auto"/>
          <w:sz w:val="22"/>
          <w:szCs w:val="22"/>
        </w:rPr>
        <w:fldChar w:fldCharType="separate"/>
      </w:r>
      <w:r w:rsidR="00B119D2" w:rsidRPr="00B119D2">
        <w:rPr>
          <w:b/>
          <w:bCs/>
          <w:i w:val="0"/>
          <w:iCs w:val="0"/>
          <w:noProof/>
          <w:color w:val="auto"/>
          <w:sz w:val="22"/>
          <w:szCs w:val="22"/>
        </w:rPr>
        <w:t>5</w:t>
      </w:r>
      <w:r w:rsidRPr="00B119D2">
        <w:rPr>
          <w:b/>
          <w:bCs/>
          <w:i w:val="0"/>
          <w:iCs w:val="0"/>
          <w:color w:val="auto"/>
          <w:sz w:val="22"/>
          <w:szCs w:val="22"/>
        </w:rPr>
        <w:fldChar w:fldCharType="end"/>
      </w:r>
      <w:r w:rsidRPr="00B119D2">
        <w:rPr>
          <w:b/>
          <w:bCs/>
          <w:i w:val="0"/>
          <w:iCs w:val="0"/>
          <w:color w:val="auto"/>
          <w:sz w:val="22"/>
          <w:szCs w:val="22"/>
        </w:rPr>
        <w:t>: Outstanding Debt and Payables</w:t>
      </w:r>
    </w:p>
    <w:p w14:paraId="0592D61D" w14:textId="77777777" w:rsidR="003B36F9" w:rsidRDefault="003B36F9" w:rsidP="003B36F9">
      <w:pPr>
        <w:pStyle w:val="ListParagraph"/>
        <w:pBdr>
          <w:top w:val="single" w:sz="12" w:space="1" w:color="auto"/>
          <w:bottom w:val="single" w:sz="12" w:space="1" w:color="auto"/>
        </w:pBdr>
        <w:ind w:left="-360"/>
        <w:jc w:val="both"/>
        <w:rPr>
          <w:rFonts w:asciiTheme="minorHAnsi" w:hAnsiTheme="minorHAnsi" w:cstheme="minorHAnsi"/>
          <w:sz w:val="18"/>
          <w:szCs w:val="18"/>
        </w:rPr>
      </w:pPr>
      <w:r>
        <w:rPr>
          <w:noProof/>
        </w:rPr>
        <w:drawing>
          <wp:inline distT="0" distB="0" distL="0" distR="0" wp14:anchorId="3BE99BEC" wp14:editId="0C0F9171">
            <wp:extent cx="2978417" cy="2947340"/>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19715" cy="2988207"/>
                    </a:xfrm>
                    <a:prstGeom prst="rect">
                      <a:avLst/>
                    </a:prstGeom>
                    <a:noFill/>
                  </pic:spPr>
                </pic:pic>
              </a:graphicData>
            </a:graphic>
          </wp:inline>
        </w:drawing>
      </w:r>
      <w:r>
        <w:t xml:space="preserve"> </w:t>
      </w:r>
      <w:r>
        <w:rPr>
          <w:noProof/>
        </w:rPr>
        <w:drawing>
          <wp:inline distT="0" distB="0" distL="0" distR="0" wp14:anchorId="4C4B5452" wp14:editId="00EEB771">
            <wp:extent cx="2848708" cy="2950145"/>
            <wp:effectExtent l="0" t="0" r="889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71304" cy="2973546"/>
                    </a:xfrm>
                    <a:prstGeom prst="rect">
                      <a:avLst/>
                    </a:prstGeom>
                    <a:noFill/>
                  </pic:spPr>
                </pic:pic>
              </a:graphicData>
            </a:graphic>
          </wp:inline>
        </w:drawing>
      </w:r>
      <w:r w:rsidRPr="003B36F9">
        <w:rPr>
          <w:rFonts w:asciiTheme="minorHAnsi" w:hAnsiTheme="minorHAnsi" w:cstheme="minorHAnsi"/>
          <w:sz w:val="18"/>
          <w:szCs w:val="18"/>
        </w:rPr>
        <w:t>Source: World Bank team estimation based on MEWR data.</w:t>
      </w:r>
    </w:p>
    <w:p w14:paraId="0FEEED88" w14:textId="77777777" w:rsidR="003B36F9" w:rsidRDefault="003B36F9" w:rsidP="003B36F9">
      <w:pPr>
        <w:jc w:val="both"/>
        <w:rPr>
          <w:b/>
          <w:bCs/>
          <w:color w:val="auto"/>
          <w:sz w:val="20"/>
          <w:szCs w:val="20"/>
        </w:rPr>
      </w:pPr>
    </w:p>
    <w:p w14:paraId="122508BC" w14:textId="4E4EF2C4" w:rsidR="003B36F9" w:rsidRPr="00EF6247" w:rsidRDefault="00EF6247" w:rsidP="00EF6247">
      <w:pPr>
        <w:pStyle w:val="Caption"/>
        <w:spacing w:after="0"/>
        <w:ind w:left="-360"/>
        <w:rPr>
          <w:rFonts w:cstheme="minorHAnsi"/>
          <w:b/>
          <w:bCs/>
          <w:i w:val="0"/>
          <w:iCs w:val="0"/>
          <w:color w:val="auto"/>
          <w:sz w:val="22"/>
          <w:szCs w:val="22"/>
        </w:rPr>
      </w:pPr>
      <w:r w:rsidRPr="00EF6247">
        <w:rPr>
          <w:b/>
          <w:bCs/>
          <w:i w:val="0"/>
          <w:iCs w:val="0"/>
          <w:color w:val="auto"/>
          <w:sz w:val="22"/>
          <w:szCs w:val="22"/>
        </w:rPr>
        <w:t xml:space="preserve">Table </w:t>
      </w:r>
      <w:r w:rsidRPr="00EF6247">
        <w:rPr>
          <w:b/>
          <w:bCs/>
          <w:i w:val="0"/>
          <w:iCs w:val="0"/>
          <w:color w:val="auto"/>
          <w:sz w:val="22"/>
          <w:szCs w:val="22"/>
        </w:rPr>
        <w:fldChar w:fldCharType="begin"/>
      </w:r>
      <w:r w:rsidRPr="00EF6247">
        <w:rPr>
          <w:b/>
          <w:bCs/>
          <w:i w:val="0"/>
          <w:iCs w:val="0"/>
          <w:color w:val="auto"/>
          <w:sz w:val="22"/>
          <w:szCs w:val="22"/>
        </w:rPr>
        <w:instrText xml:space="preserve"> SEQ Table \* ARABIC </w:instrText>
      </w:r>
      <w:r w:rsidRPr="00EF6247">
        <w:rPr>
          <w:b/>
          <w:bCs/>
          <w:i w:val="0"/>
          <w:iCs w:val="0"/>
          <w:color w:val="auto"/>
          <w:sz w:val="22"/>
          <w:szCs w:val="22"/>
        </w:rPr>
        <w:fldChar w:fldCharType="separate"/>
      </w:r>
      <w:r w:rsidR="00875DBA">
        <w:rPr>
          <w:b/>
          <w:bCs/>
          <w:i w:val="0"/>
          <w:iCs w:val="0"/>
          <w:noProof/>
          <w:color w:val="auto"/>
          <w:sz w:val="22"/>
          <w:szCs w:val="22"/>
        </w:rPr>
        <w:t>11</w:t>
      </w:r>
      <w:r w:rsidRPr="00EF6247">
        <w:rPr>
          <w:b/>
          <w:bCs/>
          <w:i w:val="0"/>
          <w:iCs w:val="0"/>
          <w:color w:val="auto"/>
          <w:sz w:val="22"/>
          <w:szCs w:val="22"/>
        </w:rPr>
        <w:fldChar w:fldCharType="end"/>
      </w:r>
      <w:r w:rsidR="003B36F9" w:rsidRPr="00EF6247">
        <w:rPr>
          <w:rFonts w:cstheme="minorHAnsi"/>
          <w:b/>
          <w:bCs/>
          <w:i w:val="0"/>
          <w:iCs w:val="0"/>
          <w:color w:val="auto"/>
          <w:sz w:val="22"/>
          <w:szCs w:val="22"/>
        </w:rPr>
        <w:t>: Projected Impact of Financial Recovery Measures</w:t>
      </w:r>
    </w:p>
    <w:tbl>
      <w:tblPr>
        <w:tblStyle w:val="TableGrid"/>
        <w:tblW w:w="5195" w:type="pct"/>
        <w:tblInd w:w="-365" w:type="dxa"/>
        <w:tblLayout w:type="fixed"/>
        <w:tblCellMar>
          <w:left w:w="29" w:type="dxa"/>
          <w:right w:w="29" w:type="dxa"/>
        </w:tblCellMar>
        <w:tblLook w:val="04A0" w:firstRow="1" w:lastRow="0" w:firstColumn="1" w:lastColumn="0" w:noHBand="0" w:noVBand="1"/>
      </w:tblPr>
      <w:tblGrid>
        <w:gridCol w:w="2879"/>
        <w:gridCol w:w="684"/>
        <w:gridCol w:w="684"/>
        <w:gridCol w:w="684"/>
        <w:gridCol w:w="684"/>
        <w:gridCol w:w="684"/>
        <w:gridCol w:w="684"/>
        <w:gridCol w:w="684"/>
        <w:gridCol w:w="684"/>
        <w:gridCol w:w="684"/>
        <w:gridCol w:w="680"/>
      </w:tblGrid>
      <w:tr w:rsidR="00EF6247" w:rsidRPr="00C07C44" w14:paraId="659D4525" w14:textId="77777777" w:rsidTr="00EF6247">
        <w:tc>
          <w:tcPr>
            <w:tcW w:w="1482" w:type="pct"/>
            <w:shd w:val="clear" w:color="auto" w:fill="D9D9D9" w:themeFill="background1" w:themeFillShade="D9"/>
          </w:tcPr>
          <w:p w14:paraId="31CCE18D" w14:textId="77777777" w:rsidR="003B36F9" w:rsidRPr="003B36F9" w:rsidRDefault="003B36F9" w:rsidP="00163CAF">
            <w:pPr>
              <w:jc w:val="right"/>
              <w:rPr>
                <w:rFonts w:asciiTheme="minorHAnsi" w:hAnsiTheme="minorHAnsi" w:cstheme="minorHAnsi"/>
                <w:i/>
                <w:iCs/>
                <w:sz w:val="20"/>
                <w:szCs w:val="20"/>
              </w:rPr>
            </w:pPr>
            <w:r w:rsidRPr="003B36F9">
              <w:rPr>
                <w:rFonts w:asciiTheme="minorHAnsi" w:hAnsiTheme="minorHAnsi" w:cstheme="minorHAnsi"/>
                <w:i/>
                <w:iCs/>
                <w:sz w:val="20"/>
                <w:szCs w:val="20"/>
              </w:rPr>
              <w:t xml:space="preserve">TJS million </w:t>
            </w:r>
          </w:p>
        </w:tc>
        <w:tc>
          <w:tcPr>
            <w:tcW w:w="352" w:type="pct"/>
            <w:shd w:val="clear" w:color="auto" w:fill="D9D9D9" w:themeFill="background1" w:themeFillShade="D9"/>
          </w:tcPr>
          <w:p w14:paraId="1BF59C1E" w14:textId="77777777" w:rsidR="003B36F9" w:rsidRPr="003B36F9" w:rsidRDefault="003B36F9" w:rsidP="00163CAF">
            <w:pPr>
              <w:jc w:val="right"/>
              <w:rPr>
                <w:rFonts w:asciiTheme="minorHAnsi" w:hAnsiTheme="minorHAnsi" w:cstheme="minorHAnsi"/>
                <w:b/>
                <w:bCs/>
                <w:sz w:val="20"/>
                <w:szCs w:val="20"/>
              </w:rPr>
            </w:pPr>
            <w:r w:rsidRPr="003B36F9">
              <w:rPr>
                <w:rFonts w:asciiTheme="minorHAnsi" w:hAnsiTheme="minorHAnsi" w:cstheme="minorHAnsi"/>
                <w:b/>
                <w:bCs/>
                <w:sz w:val="20"/>
                <w:szCs w:val="20"/>
              </w:rPr>
              <w:t>2022</w:t>
            </w:r>
          </w:p>
        </w:tc>
        <w:tc>
          <w:tcPr>
            <w:tcW w:w="352" w:type="pct"/>
            <w:shd w:val="clear" w:color="auto" w:fill="D9D9D9" w:themeFill="background1" w:themeFillShade="D9"/>
          </w:tcPr>
          <w:p w14:paraId="3872DFB9" w14:textId="77777777" w:rsidR="003B36F9" w:rsidRPr="003B36F9" w:rsidRDefault="003B36F9" w:rsidP="00163CAF">
            <w:pPr>
              <w:jc w:val="right"/>
              <w:rPr>
                <w:rFonts w:asciiTheme="minorHAnsi" w:hAnsiTheme="minorHAnsi" w:cstheme="minorHAnsi"/>
                <w:b/>
                <w:bCs/>
                <w:sz w:val="20"/>
                <w:szCs w:val="20"/>
              </w:rPr>
            </w:pPr>
            <w:r w:rsidRPr="003B36F9">
              <w:rPr>
                <w:rFonts w:asciiTheme="minorHAnsi" w:hAnsiTheme="minorHAnsi" w:cstheme="minorHAnsi"/>
                <w:b/>
                <w:bCs/>
                <w:sz w:val="20"/>
                <w:szCs w:val="20"/>
              </w:rPr>
              <w:t>2023</w:t>
            </w:r>
          </w:p>
        </w:tc>
        <w:tc>
          <w:tcPr>
            <w:tcW w:w="352" w:type="pct"/>
            <w:shd w:val="clear" w:color="auto" w:fill="D9D9D9" w:themeFill="background1" w:themeFillShade="D9"/>
          </w:tcPr>
          <w:p w14:paraId="29FD9838" w14:textId="77777777" w:rsidR="003B36F9" w:rsidRPr="003B36F9" w:rsidRDefault="003B36F9" w:rsidP="00163CAF">
            <w:pPr>
              <w:jc w:val="right"/>
              <w:rPr>
                <w:rFonts w:asciiTheme="minorHAnsi" w:hAnsiTheme="minorHAnsi" w:cstheme="minorHAnsi"/>
                <w:b/>
                <w:bCs/>
                <w:sz w:val="20"/>
                <w:szCs w:val="20"/>
              </w:rPr>
            </w:pPr>
            <w:r w:rsidRPr="003B36F9">
              <w:rPr>
                <w:rFonts w:asciiTheme="minorHAnsi" w:hAnsiTheme="minorHAnsi" w:cstheme="minorHAnsi"/>
                <w:b/>
                <w:bCs/>
                <w:sz w:val="20"/>
                <w:szCs w:val="20"/>
              </w:rPr>
              <w:t>2024</w:t>
            </w:r>
          </w:p>
        </w:tc>
        <w:tc>
          <w:tcPr>
            <w:tcW w:w="352" w:type="pct"/>
            <w:shd w:val="clear" w:color="auto" w:fill="D9D9D9" w:themeFill="background1" w:themeFillShade="D9"/>
          </w:tcPr>
          <w:p w14:paraId="00C57849" w14:textId="77777777" w:rsidR="003B36F9" w:rsidRPr="003B36F9" w:rsidRDefault="003B36F9" w:rsidP="00163CAF">
            <w:pPr>
              <w:jc w:val="right"/>
              <w:rPr>
                <w:rFonts w:asciiTheme="minorHAnsi" w:hAnsiTheme="minorHAnsi" w:cstheme="minorHAnsi"/>
                <w:b/>
                <w:bCs/>
                <w:sz w:val="20"/>
                <w:szCs w:val="20"/>
              </w:rPr>
            </w:pPr>
            <w:r w:rsidRPr="003B36F9">
              <w:rPr>
                <w:rFonts w:asciiTheme="minorHAnsi" w:hAnsiTheme="minorHAnsi" w:cstheme="minorHAnsi"/>
                <w:b/>
                <w:bCs/>
                <w:sz w:val="20"/>
                <w:szCs w:val="20"/>
              </w:rPr>
              <w:t>2025</w:t>
            </w:r>
          </w:p>
        </w:tc>
        <w:tc>
          <w:tcPr>
            <w:tcW w:w="352" w:type="pct"/>
            <w:shd w:val="clear" w:color="auto" w:fill="D9D9D9" w:themeFill="background1" w:themeFillShade="D9"/>
          </w:tcPr>
          <w:p w14:paraId="32A43720" w14:textId="77777777" w:rsidR="003B36F9" w:rsidRPr="003B36F9" w:rsidRDefault="003B36F9" w:rsidP="00163CAF">
            <w:pPr>
              <w:jc w:val="right"/>
              <w:rPr>
                <w:rFonts w:asciiTheme="minorHAnsi" w:hAnsiTheme="minorHAnsi" w:cstheme="minorHAnsi"/>
                <w:b/>
                <w:bCs/>
                <w:sz w:val="20"/>
                <w:szCs w:val="20"/>
              </w:rPr>
            </w:pPr>
            <w:r w:rsidRPr="003B36F9">
              <w:rPr>
                <w:rFonts w:asciiTheme="minorHAnsi" w:hAnsiTheme="minorHAnsi" w:cstheme="minorHAnsi"/>
                <w:b/>
                <w:bCs/>
                <w:sz w:val="20"/>
                <w:szCs w:val="20"/>
              </w:rPr>
              <w:t>2026</w:t>
            </w:r>
          </w:p>
        </w:tc>
        <w:tc>
          <w:tcPr>
            <w:tcW w:w="352" w:type="pct"/>
            <w:shd w:val="clear" w:color="auto" w:fill="D9D9D9" w:themeFill="background1" w:themeFillShade="D9"/>
          </w:tcPr>
          <w:p w14:paraId="60E39FB7" w14:textId="77777777" w:rsidR="003B36F9" w:rsidRPr="003B36F9" w:rsidRDefault="003B36F9" w:rsidP="00163CAF">
            <w:pPr>
              <w:jc w:val="right"/>
              <w:rPr>
                <w:rFonts w:asciiTheme="minorHAnsi" w:hAnsiTheme="minorHAnsi" w:cstheme="minorHAnsi"/>
                <w:b/>
                <w:bCs/>
                <w:sz w:val="20"/>
                <w:szCs w:val="20"/>
              </w:rPr>
            </w:pPr>
            <w:r w:rsidRPr="003B36F9">
              <w:rPr>
                <w:rFonts w:asciiTheme="minorHAnsi" w:hAnsiTheme="minorHAnsi" w:cstheme="minorHAnsi"/>
                <w:b/>
                <w:bCs/>
                <w:sz w:val="20"/>
                <w:szCs w:val="20"/>
              </w:rPr>
              <w:t>2027</w:t>
            </w:r>
          </w:p>
        </w:tc>
        <w:tc>
          <w:tcPr>
            <w:tcW w:w="352" w:type="pct"/>
            <w:shd w:val="clear" w:color="auto" w:fill="D9D9D9" w:themeFill="background1" w:themeFillShade="D9"/>
          </w:tcPr>
          <w:p w14:paraId="177313B3" w14:textId="77777777" w:rsidR="003B36F9" w:rsidRPr="003B36F9" w:rsidRDefault="003B36F9" w:rsidP="00163CAF">
            <w:pPr>
              <w:jc w:val="right"/>
              <w:rPr>
                <w:rFonts w:asciiTheme="minorHAnsi" w:hAnsiTheme="minorHAnsi" w:cstheme="minorHAnsi"/>
                <w:b/>
                <w:bCs/>
                <w:sz w:val="20"/>
                <w:szCs w:val="20"/>
              </w:rPr>
            </w:pPr>
            <w:r w:rsidRPr="003B36F9">
              <w:rPr>
                <w:rFonts w:asciiTheme="minorHAnsi" w:hAnsiTheme="minorHAnsi" w:cstheme="minorHAnsi"/>
                <w:b/>
                <w:bCs/>
                <w:sz w:val="20"/>
                <w:szCs w:val="20"/>
              </w:rPr>
              <w:t>2028</w:t>
            </w:r>
          </w:p>
        </w:tc>
        <w:tc>
          <w:tcPr>
            <w:tcW w:w="352" w:type="pct"/>
            <w:shd w:val="clear" w:color="auto" w:fill="D9D9D9" w:themeFill="background1" w:themeFillShade="D9"/>
          </w:tcPr>
          <w:p w14:paraId="34C77E83" w14:textId="77777777" w:rsidR="003B36F9" w:rsidRPr="003B36F9" w:rsidRDefault="003B36F9" w:rsidP="00163CAF">
            <w:pPr>
              <w:jc w:val="right"/>
              <w:rPr>
                <w:rFonts w:asciiTheme="minorHAnsi" w:hAnsiTheme="minorHAnsi" w:cstheme="minorHAnsi"/>
                <w:b/>
                <w:bCs/>
                <w:sz w:val="20"/>
                <w:szCs w:val="20"/>
              </w:rPr>
            </w:pPr>
            <w:r w:rsidRPr="003B36F9">
              <w:rPr>
                <w:rFonts w:asciiTheme="minorHAnsi" w:hAnsiTheme="minorHAnsi" w:cstheme="minorHAnsi"/>
                <w:b/>
                <w:bCs/>
                <w:sz w:val="20"/>
                <w:szCs w:val="20"/>
              </w:rPr>
              <w:t>2029</w:t>
            </w:r>
          </w:p>
        </w:tc>
        <w:tc>
          <w:tcPr>
            <w:tcW w:w="352" w:type="pct"/>
            <w:shd w:val="clear" w:color="auto" w:fill="D9D9D9" w:themeFill="background1" w:themeFillShade="D9"/>
          </w:tcPr>
          <w:p w14:paraId="644D422D" w14:textId="77777777" w:rsidR="003B36F9" w:rsidRPr="003B36F9" w:rsidRDefault="003B36F9" w:rsidP="00163CAF">
            <w:pPr>
              <w:jc w:val="right"/>
              <w:rPr>
                <w:rFonts w:asciiTheme="minorHAnsi" w:hAnsiTheme="minorHAnsi" w:cstheme="minorHAnsi"/>
                <w:b/>
                <w:bCs/>
                <w:sz w:val="20"/>
                <w:szCs w:val="20"/>
              </w:rPr>
            </w:pPr>
            <w:r w:rsidRPr="003B36F9">
              <w:rPr>
                <w:rFonts w:asciiTheme="minorHAnsi" w:hAnsiTheme="minorHAnsi" w:cstheme="minorHAnsi"/>
                <w:b/>
                <w:bCs/>
                <w:sz w:val="20"/>
                <w:szCs w:val="20"/>
              </w:rPr>
              <w:t>2030</w:t>
            </w:r>
          </w:p>
        </w:tc>
        <w:tc>
          <w:tcPr>
            <w:tcW w:w="352" w:type="pct"/>
            <w:shd w:val="clear" w:color="auto" w:fill="D9D9D9" w:themeFill="background1" w:themeFillShade="D9"/>
          </w:tcPr>
          <w:p w14:paraId="02F0A958" w14:textId="77777777" w:rsidR="003B36F9" w:rsidRPr="003B36F9" w:rsidRDefault="003B36F9" w:rsidP="00163CAF">
            <w:pPr>
              <w:jc w:val="right"/>
              <w:rPr>
                <w:rFonts w:asciiTheme="minorHAnsi" w:hAnsiTheme="minorHAnsi" w:cstheme="minorHAnsi"/>
                <w:b/>
                <w:bCs/>
                <w:sz w:val="20"/>
                <w:szCs w:val="20"/>
              </w:rPr>
            </w:pPr>
            <w:r w:rsidRPr="003B36F9">
              <w:rPr>
                <w:rFonts w:asciiTheme="minorHAnsi" w:hAnsiTheme="minorHAnsi" w:cstheme="minorHAnsi"/>
                <w:b/>
                <w:bCs/>
                <w:sz w:val="20"/>
                <w:szCs w:val="20"/>
              </w:rPr>
              <w:t>2031</w:t>
            </w:r>
          </w:p>
        </w:tc>
      </w:tr>
      <w:tr w:rsidR="003B36F9" w:rsidRPr="00C07C44" w14:paraId="686348EC" w14:textId="77777777" w:rsidTr="003B36F9">
        <w:tc>
          <w:tcPr>
            <w:tcW w:w="1482" w:type="pct"/>
          </w:tcPr>
          <w:p w14:paraId="5D7294C7" w14:textId="63CA1F60" w:rsidR="003B36F9" w:rsidRPr="003B36F9" w:rsidRDefault="003B36F9" w:rsidP="00163CAF">
            <w:pPr>
              <w:jc w:val="both"/>
              <w:rPr>
                <w:rFonts w:asciiTheme="minorHAnsi" w:hAnsiTheme="minorHAnsi" w:cstheme="minorHAnsi"/>
                <w:sz w:val="20"/>
                <w:szCs w:val="20"/>
              </w:rPr>
            </w:pPr>
            <w:r>
              <w:rPr>
                <w:rFonts w:asciiTheme="minorHAnsi" w:hAnsiTheme="minorHAnsi" w:cstheme="minorHAnsi"/>
                <w:sz w:val="20"/>
                <w:szCs w:val="20"/>
              </w:rPr>
              <w:t>Tariffs and exports</w:t>
            </w:r>
          </w:p>
        </w:tc>
        <w:tc>
          <w:tcPr>
            <w:tcW w:w="352" w:type="pct"/>
            <w:vAlign w:val="bottom"/>
          </w:tcPr>
          <w:p w14:paraId="0FC27C33"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339</w:t>
            </w:r>
          </w:p>
        </w:tc>
        <w:tc>
          <w:tcPr>
            <w:tcW w:w="352" w:type="pct"/>
            <w:vAlign w:val="bottom"/>
          </w:tcPr>
          <w:p w14:paraId="33236534"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502</w:t>
            </w:r>
          </w:p>
        </w:tc>
        <w:tc>
          <w:tcPr>
            <w:tcW w:w="352" w:type="pct"/>
            <w:vAlign w:val="bottom"/>
          </w:tcPr>
          <w:p w14:paraId="6FEE49F7"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687</w:t>
            </w:r>
          </w:p>
        </w:tc>
        <w:tc>
          <w:tcPr>
            <w:tcW w:w="352" w:type="pct"/>
            <w:vAlign w:val="bottom"/>
          </w:tcPr>
          <w:p w14:paraId="23986CE9"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924</w:t>
            </w:r>
          </w:p>
        </w:tc>
        <w:tc>
          <w:tcPr>
            <w:tcW w:w="352" w:type="pct"/>
            <w:vAlign w:val="bottom"/>
          </w:tcPr>
          <w:p w14:paraId="2996FAF1"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1,223</w:t>
            </w:r>
          </w:p>
        </w:tc>
        <w:tc>
          <w:tcPr>
            <w:tcW w:w="352" w:type="pct"/>
            <w:vAlign w:val="bottom"/>
          </w:tcPr>
          <w:p w14:paraId="2025B04B"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1,675</w:t>
            </w:r>
          </w:p>
        </w:tc>
        <w:tc>
          <w:tcPr>
            <w:tcW w:w="352" w:type="pct"/>
            <w:vAlign w:val="bottom"/>
          </w:tcPr>
          <w:p w14:paraId="60E8DE53"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2,166</w:t>
            </w:r>
          </w:p>
        </w:tc>
        <w:tc>
          <w:tcPr>
            <w:tcW w:w="352" w:type="pct"/>
            <w:vAlign w:val="bottom"/>
          </w:tcPr>
          <w:p w14:paraId="60A5EF04"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2,711</w:t>
            </w:r>
          </w:p>
        </w:tc>
        <w:tc>
          <w:tcPr>
            <w:tcW w:w="352" w:type="pct"/>
            <w:vAlign w:val="bottom"/>
          </w:tcPr>
          <w:p w14:paraId="58CF56A0"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3,201</w:t>
            </w:r>
          </w:p>
        </w:tc>
        <w:tc>
          <w:tcPr>
            <w:tcW w:w="352" w:type="pct"/>
            <w:vAlign w:val="bottom"/>
          </w:tcPr>
          <w:p w14:paraId="253B20BA"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3,066</w:t>
            </w:r>
          </w:p>
        </w:tc>
      </w:tr>
      <w:tr w:rsidR="003B36F9" w:rsidRPr="00C07C44" w14:paraId="1DCD79CE" w14:textId="77777777" w:rsidTr="003B36F9">
        <w:tc>
          <w:tcPr>
            <w:tcW w:w="1482" w:type="pct"/>
          </w:tcPr>
          <w:p w14:paraId="43F17F45" w14:textId="77777777" w:rsidR="003B36F9" w:rsidRPr="003B36F9" w:rsidRDefault="003B36F9" w:rsidP="00163CAF">
            <w:pPr>
              <w:jc w:val="both"/>
              <w:rPr>
                <w:rFonts w:asciiTheme="minorHAnsi" w:hAnsiTheme="minorHAnsi" w:cstheme="minorHAnsi"/>
                <w:sz w:val="20"/>
                <w:szCs w:val="20"/>
              </w:rPr>
            </w:pPr>
            <w:r w:rsidRPr="003B36F9">
              <w:rPr>
                <w:rFonts w:asciiTheme="minorHAnsi" w:hAnsiTheme="minorHAnsi" w:cstheme="minorHAnsi"/>
                <w:sz w:val="20"/>
                <w:szCs w:val="20"/>
              </w:rPr>
              <w:t>Collection improvement</w:t>
            </w:r>
          </w:p>
        </w:tc>
        <w:tc>
          <w:tcPr>
            <w:tcW w:w="352" w:type="pct"/>
            <w:vAlign w:val="bottom"/>
          </w:tcPr>
          <w:p w14:paraId="22AC455F"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81</w:t>
            </w:r>
          </w:p>
        </w:tc>
        <w:tc>
          <w:tcPr>
            <w:tcW w:w="352" w:type="pct"/>
            <w:vAlign w:val="bottom"/>
          </w:tcPr>
          <w:p w14:paraId="45EE160B"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133</w:t>
            </w:r>
          </w:p>
        </w:tc>
        <w:tc>
          <w:tcPr>
            <w:tcW w:w="352" w:type="pct"/>
            <w:vAlign w:val="bottom"/>
          </w:tcPr>
          <w:p w14:paraId="59D0773D"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193</w:t>
            </w:r>
          </w:p>
        </w:tc>
        <w:tc>
          <w:tcPr>
            <w:tcW w:w="352" w:type="pct"/>
            <w:vAlign w:val="bottom"/>
          </w:tcPr>
          <w:p w14:paraId="2D7B57CC"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265</w:t>
            </w:r>
          </w:p>
        </w:tc>
        <w:tc>
          <w:tcPr>
            <w:tcW w:w="352" w:type="pct"/>
            <w:vAlign w:val="bottom"/>
          </w:tcPr>
          <w:p w14:paraId="6FE3F184"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352</w:t>
            </w:r>
          </w:p>
        </w:tc>
        <w:tc>
          <w:tcPr>
            <w:tcW w:w="352" w:type="pct"/>
            <w:vAlign w:val="bottom"/>
          </w:tcPr>
          <w:p w14:paraId="16B54EF0"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400</w:t>
            </w:r>
          </w:p>
        </w:tc>
        <w:tc>
          <w:tcPr>
            <w:tcW w:w="352" w:type="pct"/>
            <w:vAlign w:val="bottom"/>
          </w:tcPr>
          <w:p w14:paraId="44A21BF0"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451</w:t>
            </w:r>
          </w:p>
        </w:tc>
        <w:tc>
          <w:tcPr>
            <w:tcW w:w="352" w:type="pct"/>
            <w:vAlign w:val="bottom"/>
          </w:tcPr>
          <w:p w14:paraId="1A169C5C"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483</w:t>
            </w:r>
          </w:p>
        </w:tc>
        <w:tc>
          <w:tcPr>
            <w:tcW w:w="352" w:type="pct"/>
            <w:vAlign w:val="bottom"/>
          </w:tcPr>
          <w:p w14:paraId="7079248D"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592</w:t>
            </w:r>
          </w:p>
        </w:tc>
        <w:tc>
          <w:tcPr>
            <w:tcW w:w="352" w:type="pct"/>
            <w:vAlign w:val="bottom"/>
          </w:tcPr>
          <w:p w14:paraId="727C18BA"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599</w:t>
            </w:r>
          </w:p>
        </w:tc>
      </w:tr>
      <w:tr w:rsidR="003B36F9" w:rsidRPr="00C07C44" w14:paraId="3DF48470" w14:textId="77777777" w:rsidTr="003B36F9">
        <w:tc>
          <w:tcPr>
            <w:tcW w:w="1482" w:type="pct"/>
          </w:tcPr>
          <w:p w14:paraId="6EC68C67" w14:textId="77777777" w:rsidR="003B36F9" w:rsidRPr="003B36F9" w:rsidRDefault="003B36F9" w:rsidP="00163CAF">
            <w:pPr>
              <w:jc w:val="both"/>
              <w:rPr>
                <w:rFonts w:asciiTheme="minorHAnsi" w:hAnsiTheme="minorHAnsi" w:cstheme="minorHAnsi"/>
                <w:sz w:val="20"/>
                <w:szCs w:val="20"/>
              </w:rPr>
            </w:pPr>
            <w:r w:rsidRPr="003B36F9">
              <w:rPr>
                <w:rFonts w:asciiTheme="minorHAnsi" w:hAnsiTheme="minorHAnsi" w:cstheme="minorHAnsi"/>
                <w:sz w:val="20"/>
                <w:szCs w:val="20"/>
              </w:rPr>
              <w:t>Recovery of overdue receivables</w:t>
            </w:r>
          </w:p>
        </w:tc>
        <w:tc>
          <w:tcPr>
            <w:tcW w:w="352" w:type="pct"/>
            <w:vAlign w:val="bottom"/>
          </w:tcPr>
          <w:p w14:paraId="520550F0"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278</w:t>
            </w:r>
          </w:p>
        </w:tc>
        <w:tc>
          <w:tcPr>
            <w:tcW w:w="352" w:type="pct"/>
            <w:vAlign w:val="bottom"/>
          </w:tcPr>
          <w:p w14:paraId="30FEFB67"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418</w:t>
            </w:r>
          </w:p>
        </w:tc>
        <w:tc>
          <w:tcPr>
            <w:tcW w:w="352" w:type="pct"/>
            <w:vAlign w:val="bottom"/>
          </w:tcPr>
          <w:p w14:paraId="40FF6DB1"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473</w:t>
            </w:r>
          </w:p>
        </w:tc>
        <w:tc>
          <w:tcPr>
            <w:tcW w:w="352" w:type="pct"/>
            <w:vAlign w:val="bottom"/>
          </w:tcPr>
          <w:p w14:paraId="221FFFE3"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421</w:t>
            </w:r>
          </w:p>
        </w:tc>
        <w:tc>
          <w:tcPr>
            <w:tcW w:w="352" w:type="pct"/>
            <w:vAlign w:val="bottom"/>
          </w:tcPr>
          <w:p w14:paraId="40A8601C"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322</w:t>
            </w:r>
          </w:p>
        </w:tc>
        <w:tc>
          <w:tcPr>
            <w:tcW w:w="352" w:type="pct"/>
            <w:vAlign w:val="bottom"/>
          </w:tcPr>
          <w:p w14:paraId="167BF84D"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200</w:t>
            </w:r>
          </w:p>
        </w:tc>
        <w:tc>
          <w:tcPr>
            <w:tcW w:w="352" w:type="pct"/>
            <w:vAlign w:val="bottom"/>
          </w:tcPr>
          <w:p w14:paraId="2CF16B8E"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161</w:t>
            </w:r>
          </w:p>
        </w:tc>
        <w:tc>
          <w:tcPr>
            <w:tcW w:w="352" w:type="pct"/>
            <w:vAlign w:val="bottom"/>
          </w:tcPr>
          <w:p w14:paraId="44B7E84C"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222</w:t>
            </w:r>
          </w:p>
        </w:tc>
        <w:tc>
          <w:tcPr>
            <w:tcW w:w="352" w:type="pct"/>
            <w:vAlign w:val="bottom"/>
          </w:tcPr>
          <w:p w14:paraId="5E5790E9"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258</w:t>
            </w:r>
          </w:p>
        </w:tc>
        <w:tc>
          <w:tcPr>
            <w:tcW w:w="352" w:type="pct"/>
            <w:vAlign w:val="bottom"/>
          </w:tcPr>
          <w:p w14:paraId="605F2AA9"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295</w:t>
            </w:r>
          </w:p>
        </w:tc>
      </w:tr>
      <w:tr w:rsidR="003B36F9" w:rsidRPr="00C07C44" w14:paraId="237F8343" w14:textId="77777777" w:rsidTr="003B36F9">
        <w:tc>
          <w:tcPr>
            <w:tcW w:w="1482" w:type="pct"/>
          </w:tcPr>
          <w:p w14:paraId="68899DDE" w14:textId="77777777" w:rsidR="003B36F9" w:rsidRPr="003B36F9" w:rsidRDefault="003B36F9" w:rsidP="00163CAF">
            <w:pPr>
              <w:jc w:val="both"/>
              <w:rPr>
                <w:rFonts w:asciiTheme="minorHAnsi" w:hAnsiTheme="minorHAnsi" w:cstheme="minorHAnsi"/>
                <w:sz w:val="20"/>
                <w:szCs w:val="20"/>
              </w:rPr>
            </w:pPr>
            <w:r w:rsidRPr="003B36F9">
              <w:rPr>
                <w:rFonts w:asciiTheme="minorHAnsi" w:hAnsiTheme="minorHAnsi" w:cstheme="minorHAnsi"/>
                <w:sz w:val="20"/>
                <w:szCs w:val="20"/>
              </w:rPr>
              <w:t>Revision of interest rates on subsidiary loans</w:t>
            </w:r>
          </w:p>
        </w:tc>
        <w:tc>
          <w:tcPr>
            <w:tcW w:w="352" w:type="pct"/>
            <w:vAlign w:val="bottom"/>
          </w:tcPr>
          <w:p w14:paraId="027A3E0C"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238</w:t>
            </w:r>
          </w:p>
        </w:tc>
        <w:tc>
          <w:tcPr>
            <w:tcW w:w="352" w:type="pct"/>
            <w:vAlign w:val="bottom"/>
          </w:tcPr>
          <w:p w14:paraId="26AAF128"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266</w:t>
            </w:r>
          </w:p>
        </w:tc>
        <w:tc>
          <w:tcPr>
            <w:tcW w:w="352" w:type="pct"/>
            <w:vAlign w:val="bottom"/>
          </w:tcPr>
          <w:p w14:paraId="06F2581D"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275</w:t>
            </w:r>
          </w:p>
        </w:tc>
        <w:tc>
          <w:tcPr>
            <w:tcW w:w="352" w:type="pct"/>
            <w:vAlign w:val="bottom"/>
          </w:tcPr>
          <w:p w14:paraId="1A2B0D14"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283</w:t>
            </w:r>
          </w:p>
        </w:tc>
        <w:tc>
          <w:tcPr>
            <w:tcW w:w="352" w:type="pct"/>
            <w:vAlign w:val="bottom"/>
          </w:tcPr>
          <w:p w14:paraId="00A1891E"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264</w:t>
            </w:r>
          </w:p>
        </w:tc>
        <w:tc>
          <w:tcPr>
            <w:tcW w:w="352" w:type="pct"/>
            <w:vAlign w:val="bottom"/>
          </w:tcPr>
          <w:p w14:paraId="5015F700"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255</w:t>
            </w:r>
          </w:p>
        </w:tc>
        <w:tc>
          <w:tcPr>
            <w:tcW w:w="352" w:type="pct"/>
            <w:vAlign w:val="bottom"/>
          </w:tcPr>
          <w:p w14:paraId="75B19031"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262</w:t>
            </w:r>
          </w:p>
        </w:tc>
        <w:tc>
          <w:tcPr>
            <w:tcW w:w="352" w:type="pct"/>
            <w:vAlign w:val="bottom"/>
          </w:tcPr>
          <w:p w14:paraId="37F5A143"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268</w:t>
            </w:r>
          </w:p>
        </w:tc>
        <w:tc>
          <w:tcPr>
            <w:tcW w:w="352" w:type="pct"/>
            <w:vAlign w:val="bottom"/>
          </w:tcPr>
          <w:p w14:paraId="65384BBF"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310</w:t>
            </w:r>
          </w:p>
        </w:tc>
        <w:tc>
          <w:tcPr>
            <w:tcW w:w="352" w:type="pct"/>
            <w:vAlign w:val="bottom"/>
          </w:tcPr>
          <w:p w14:paraId="3BBED85F"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273</w:t>
            </w:r>
          </w:p>
        </w:tc>
      </w:tr>
      <w:tr w:rsidR="003B36F9" w:rsidRPr="00C07C44" w14:paraId="24FC1ACB" w14:textId="77777777" w:rsidTr="003B36F9">
        <w:tc>
          <w:tcPr>
            <w:tcW w:w="1482" w:type="pct"/>
          </w:tcPr>
          <w:p w14:paraId="6DDB7781" w14:textId="77777777" w:rsidR="003B36F9" w:rsidRPr="003B36F9" w:rsidRDefault="003B36F9" w:rsidP="00163CAF">
            <w:pPr>
              <w:jc w:val="both"/>
              <w:rPr>
                <w:rFonts w:asciiTheme="minorHAnsi" w:hAnsiTheme="minorHAnsi" w:cstheme="minorHAnsi"/>
                <w:sz w:val="20"/>
                <w:szCs w:val="20"/>
              </w:rPr>
            </w:pPr>
            <w:r w:rsidRPr="003B36F9">
              <w:rPr>
                <w:rFonts w:asciiTheme="minorHAnsi" w:hAnsiTheme="minorHAnsi" w:cstheme="minorHAnsi"/>
                <w:sz w:val="20"/>
                <w:szCs w:val="20"/>
              </w:rPr>
              <w:t>Fuel cost savings</w:t>
            </w:r>
          </w:p>
        </w:tc>
        <w:tc>
          <w:tcPr>
            <w:tcW w:w="352" w:type="pct"/>
            <w:vAlign w:val="bottom"/>
          </w:tcPr>
          <w:p w14:paraId="17848BB9"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54</w:t>
            </w:r>
          </w:p>
        </w:tc>
        <w:tc>
          <w:tcPr>
            <w:tcW w:w="352" w:type="pct"/>
            <w:vAlign w:val="bottom"/>
          </w:tcPr>
          <w:p w14:paraId="52F0F56C"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39</w:t>
            </w:r>
          </w:p>
        </w:tc>
        <w:tc>
          <w:tcPr>
            <w:tcW w:w="352" w:type="pct"/>
            <w:vAlign w:val="bottom"/>
          </w:tcPr>
          <w:p w14:paraId="01041970"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39</w:t>
            </w:r>
          </w:p>
        </w:tc>
        <w:tc>
          <w:tcPr>
            <w:tcW w:w="352" w:type="pct"/>
            <w:vAlign w:val="bottom"/>
          </w:tcPr>
          <w:p w14:paraId="15509211"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41</w:t>
            </w:r>
          </w:p>
        </w:tc>
        <w:tc>
          <w:tcPr>
            <w:tcW w:w="352" w:type="pct"/>
            <w:vAlign w:val="bottom"/>
          </w:tcPr>
          <w:p w14:paraId="4F004861"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42</w:t>
            </w:r>
          </w:p>
        </w:tc>
        <w:tc>
          <w:tcPr>
            <w:tcW w:w="352" w:type="pct"/>
            <w:vAlign w:val="bottom"/>
          </w:tcPr>
          <w:p w14:paraId="58E58B0A"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37</w:t>
            </w:r>
          </w:p>
        </w:tc>
        <w:tc>
          <w:tcPr>
            <w:tcW w:w="352" w:type="pct"/>
            <w:vAlign w:val="bottom"/>
          </w:tcPr>
          <w:p w14:paraId="7913E009"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33</w:t>
            </w:r>
          </w:p>
        </w:tc>
        <w:tc>
          <w:tcPr>
            <w:tcW w:w="352" w:type="pct"/>
            <w:vAlign w:val="bottom"/>
          </w:tcPr>
          <w:p w14:paraId="0A86BE92"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39</w:t>
            </w:r>
          </w:p>
        </w:tc>
        <w:tc>
          <w:tcPr>
            <w:tcW w:w="352" w:type="pct"/>
            <w:vAlign w:val="bottom"/>
          </w:tcPr>
          <w:p w14:paraId="6E499FE8"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40</w:t>
            </w:r>
          </w:p>
        </w:tc>
        <w:tc>
          <w:tcPr>
            <w:tcW w:w="352" w:type="pct"/>
            <w:vAlign w:val="bottom"/>
          </w:tcPr>
          <w:p w14:paraId="19888251"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40</w:t>
            </w:r>
          </w:p>
        </w:tc>
      </w:tr>
      <w:tr w:rsidR="003B36F9" w:rsidRPr="00C07C44" w14:paraId="0722CDD7" w14:textId="77777777" w:rsidTr="003B36F9">
        <w:tc>
          <w:tcPr>
            <w:tcW w:w="1482" w:type="pct"/>
          </w:tcPr>
          <w:p w14:paraId="769CAE84" w14:textId="77777777" w:rsidR="003B36F9" w:rsidRPr="003B36F9" w:rsidRDefault="003B36F9" w:rsidP="00163CAF">
            <w:pPr>
              <w:jc w:val="both"/>
              <w:rPr>
                <w:rFonts w:asciiTheme="minorHAnsi" w:hAnsiTheme="minorHAnsi" w:cstheme="minorHAnsi"/>
                <w:sz w:val="20"/>
                <w:szCs w:val="20"/>
              </w:rPr>
            </w:pPr>
            <w:r w:rsidRPr="003B36F9">
              <w:rPr>
                <w:rFonts w:asciiTheme="minorHAnsi" w:hAnsiTheme="minorHAnsi" w:cstheme="minorHAnsi"/>
                <w:sz w:val="20"/>
                <w:szCs w:val="20"/>
              </w:rPr>
              <w:t>Other operating cost savings (excl. fuel)</w:t>
            </w:r>
          </w:p>
        </w:tc>
        <w:tc>
          <w:tcPr>
            <w:tcW w:w="352" w:type="pct"/>
            <w:vAlign w:val="bottom"/>
          </w:tcPr>
          <w:p w14:paraId="73DFF6CF"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w:t>
            </w:r>
          </w:p>
        </w:tc>
        <w:tc>
          <w:tcPr>
            <w:tcW w:w="352" w:type="pct"/>
            <w:vAlign w:val="bottom"/>
          </w:tcPr>
          <w:p w14:paraId="720C62F3"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58</w:t>
            </w:r>
          </w:p>
        </w:tc>
        <w:tc>
          <w:tcPr>
            <w:tcW w:w="352" w:type="pct"/>
            <w:vAlign w:val="bottom"/>
          </w:tcPr>
          <w:p w14:paraId="603CF8F0"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87</w:t>
            </w:r>
          </w:p>
        </w:tc>
        <w:tc>
          <w:tcPr>
            <w:tcW w:w="352" w:type="pct"/>
            <w:vAlign w:val="bottom"/>
          </w:tcPr>
          <w:p w14:paraId="1E270859"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73</w:t>
            </w:r>
          </w:p>
        </w:tc>
        <w:tc>
          <w:tcPr>
            <w:tcW w:w="352" w:type="pct"/>
            <w:vAlign w:val="bottom"/>
          </w:tcPr>
          <w:p w14:paraId="5A780D28"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75</w:t>
            </w:r>
          </w:p>
        </w:tc>
        <w:tc>
          <w:tcPr>
            <w:tcW w:w="352" w:type="pct"/>
            <w:vAlign w:val="bottom"/>
          </w:tcPr>
          <w:p w14:paraId="4A9D94AB"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65</w:t>
            </w:r>
          </w:p>
        </w:tc>
        <w:tc>
          <w:tcPr>
            <w:tcW w:w="352" w:type="pct"/>
            <w:vAlign w:val="bottom"/>
          </w:tcPr>
          <w:p w14:paraId="1A5D357F"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60</w:t>
            </w:r>
          </w:p>
        </w:tc>
        <w:tc>
          <w:tcPr>
            <w:tcW w:w="352" w:type="pct"/>
            <w:vAlign w:val="bottom"/>
          </w:tcPr>
          <w:p w14:paraId="04DA06A8"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67</w:t>
            </w:r>
          </w:p>
        </w:tc>
        <w:tc>
          <w:tcPr>
            <w:tcW w:w="352" w:type="pct"/>
            <w:vAlign w:val="bottom"/>
          </w:tcPr>
          <w:p w14:paraId="3B3E1361"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68</w:t>
            </w:r>
          </w:p>
        </w:tc>
        <w:tc>
          <w:tcPr>
            <w:tcW w:w="352" w:type="pct"/>
            <w:vAlign w:val="bottom"/>
          </w:tcPr>
          <w:p w14:paraId="577A3A7E" w14:textId="77777777" w:rsidR="003B36F9" w:rsidRPr="003B36F9" w:rsidRDefault="003B36F9" w:rsidP="00163CAF">
            <w:pPr>
              <w:jc w:val="right"/>
              <w:rPr>
                <w:rFonts w:asciiTheme="minorHAnsi" w:hAnsiTheme="minorHAnsi" w:cstheme="minorHAnsi"/>
                <w:sz w:val="20"/>
                <w:szCs w:val="20"/>
              </w:rPr>
            </w:pPr>
            <w:r w:rsidRPr="003B36F9">
              <w:rPr>
                <w:rFonts w:asciiTheme="minorHAnsi" w:hAnsiTheme="minorHAnsi" w:cstheme="minorHAnsi"/>
                <w:sz w:val="20"/>
                <w:szCs w:val="20"/>
              </w:rPr>
              <w:t>67</w:t>
            </w:r>
          </w:p>
        </w:tc>
      </w:tr>
      <w:tr w:rsidR="003B36F9" w:rsidRPr="00C07C44" w14:paraId="6EFF9841" w14:textId="77777777" w:rsidTr="003B36F9">
        <w:tc>
          <w:tcPr>
            <w:tcW w:w="1482" w:type="pct"/>
          </w:tcPr>
          <w:p w14:paraId="5D3F7151" w14:textId="77777777" w:rsidR="003B36F9" w:rsidRPr="003B36F9" w:rsidRDefault="003B36F9" w:rsidP="00163CAF">
            <w:pPr>
              <w:jc w:val="both"/>
              <w:rPr>
                <w:rFonts w:asciiTheme="minorHAnsi" w:hAnsiTheme="minorHAnsi" w:cstheme="minorHAnsi"/>
                <w:b/>
                <w:bCs/>
                <w:sz w:val="20"/>
                <w:szCs w:val="20"/>
              </w:rPr>
            </w:pPr>
            <w:r w:rsidRPr="003B36F9">
              <w:rPr>
                <w:rFonts w:asciiTheme="minorHAnsi" w:hAnsiTheme="minorHAnsi" w:cstheme="minorHAnsi"/>
                <w:b/>
                <w:bCs/>
                <w:sz w:val="20"/>
                <w:szCs w:val="20"/>
              </w:rPr>
              <w:t>Total cash flow</w:t>
            </w:r>
          </w:p>
        </w:tc>
        <w:tc>
          <w:tcPr>
            <w:tcW w:w="352" w:type="pct"/>
            <w:vAlign w:val="bottom"/>
          </w:tcPr>
          <w:p w14:paraId="65EB23D0" w14:textId="77777777" w:rsidR="003B36F9" w:rsidRPr="003B36F9" w:rsidRDefault="003B36F9" w:rsidP="00163CAF">
            <w:pPr>
              <w:jc w:val="right"/>
              <w:rPr>
                <w:rFonts w:asciiTheme="minorHAnsi" w:hAnsiTheme="minorHAnsi" w:cstheme="minorHAnsi"/>
                <w:b/>
                <w:bCs/>
                <w:sz w:val="20"/>
                <w:szCs w:val="20"/>
              </w:rPr>
            </w:pPr>
            <w:r w:rsidRPr="003B36F9">
              <w:rPr>
                <w:rFonts w:asciiTheme="minorHAnsi" w:hAnsiTheme="minorHAnsi" w:cstheme="minorHAnsi"/>
                <w:b/>
                <w:bCs/>
                <w:sz w:val="20"/>
                <w:szCs w:val="20"/>
              </w:rPr>
              <w:t>991</w:t>
            </w:r>
          </w:p>
        </w:tc>
        <w:tc>
          <w:tcPr>
            <w:tcW w:w="352" w:type="pct"/>
            <w:vAlign w:val="bottom"/>
          </w:tcPr>
          <w:p w14:paraId="08C9D847" w14:textId="77777777" w:rsidR="003B36F9" w:rsidRPr="003B36F9" w:rsidRDefault="003B36F9" w:rsidP="00163CAF">
            <w:pPr>
              <w:jc w:val="right"/>
              <w:rPr>
                <w:rFonts w:asciiTheme="minorHAnsi" w:hAnsiTheme="minorHAnsi" w:cstheme="minorHAnsi"/>
                <w:b/>
                <w:bCs/>
                <w:sz w:val="20"/>
                <w:szCs w:val="20"/>
              </w:rPr>
            </w:pPr>
            <w:r w:rsidRPr="003B36F9">
              <w:rPr>
                <w:rFonts w:asciiTheme="minorHAnsi" w:hAnsiTheme="minorHAnsi" w:cstheme="minorHAnsi"/>
                <w:b/>
                <w:bCs/>
                <w:sz w:val="20"/>
                <w:szCs w:val="20"/>
              </w:rPr>
              <w:t>1,416</w:t>
            </w:r>
          </w:p>
        </w:tc>
        <w:tc>
          <w:tcPr>
            <w:tcW w:w="352" w:type="pct"/>
            <w:vAlign w:val="bottom"/>
          </w:tcPr>
          <w:p w14:paraId="427ADCFB" w14:textId="77777777" w:rsidR="003B36F9" w:rsidRPr="003B36F9" w:rsidRDefault="003B36F9" w:rsidP="00163CAF">
            <w:pPr>
              <w:jc w:val="right"/>
              <w:rPr>
                <w:rFonts w:asciiTheme="minorHAnsi" w:hAnsiTheme="minorHAnsi" w:cstheme="minorHAnsi"/>
                <w:b/>
                <w:bCs/>
                <w:sz w:val="20"/>
                <w:szCs w:val="20"/>
              </w:rPr>
            </w:pPr>
            <w:r w:rsidRPr="003B36F9">
              <w:rPr>
                <w:rFonts w:asciiTheme="minorHAnsi" w:hAnsiTheme="minorHAnsi" w:cstheme="minorHAnsi"/>
                <w:b/>
                <w:bCs/>
                <w:sz w:val="20"/>
                <w:szCs w:val="20"/>
              </w:rPr>
              <w:t>1,754</w:t>
            </w:r>
          </w:p>
        </w:tc>
        <w:tc>
          <w:tcPr>
            <w:tcW w:w="352" w:type="pct"/>
            <w:vAlign w:val="bottom"/>
          </w:tcPr>
          <w:p w14:paraId="7E7C6411" w14:textId="77777777" w:rsidR="003B36F9" w:rsidRPr="003B36F9" w:rsidRDefault="003B36F9" w:rsidP="00163CAF">
            <w:pPr>
              <w:jc w:val="right"/>
              <w:rPr>
                <w:rFonts w:asciiTheme="minorHAnsi" w:hAnsiTheme="minorHAnsi" w:cstheme="minorHAnsi"/>
                <w:b/>
                <w:bCs/>
                <w:sz w:val="20"/>
                <w:szCs w:val="20"/>
              </w:rPr>
            </w:pPr>
            <w:r w:rsidRPr="003B36F9">
              <w:rPr>
                <w:rFonts w:asciiTheme="minorHAnsi" w:hAnsiTheme="minorHAnsi" w:cstheme="minorHAnsi"/>
                <w:b/>
                <w:bCs/>
                <w:sz w:val="20"/>
                <w:szCs w:val="20"/>
              </w:rPr>
              <w:t>2,007</w:t>
            </w:r>
          </w:p>
        </w:tc>
        <w:tc>
          <w:tcPr>
            <w:tcW w:w="352" w:type="pct"/>
            <w:vAlign w:val="bottom"/>
          </w:tcPr>
          <w:p w14:paraId="0517ED0B" w14:textId="77777777" w:rsidR="003B36F9" w:rsidRPr="003B36F9" w:rsidRDefault="003B36F9" w:rsidP="00163CAF">
            <w:pPr>
              <w:jc w:val="right"/>
              <w:rPr>
                <w:rFonts w:asciiTheme="minorHAnsi" w:hAnsiTheme="minorHAnsi" w:cstheme="minorHAnsi"/>
                <w:b/>
                <w:bCs/>
                <w:sz w:val="20"/>
                <w:szCs w:val="20"/>
              </w:rPr>
            </w:pPr>
            <w:r w:rsidRPr="003B36F9">
              <w:rPr>
                <w:rFonts w:asciiTheme="minorHAnsi" w:hAnsiTheme="minorHAnsi" w:cstheme="minorHAnsi"/>
                <w:b/>
                <w:bCs/>
                <w:sz w:val="20"/>
                <w:szCs w:val="20"/>
              </w:rPr>
              <w:t>2,277</w:t>
            </w:r>
          </w:p>
        </w:tc>
        <w:tc>
          <w:tcPr>
            <w:tcW w:w="352" w:type="pct"/>
            <w:vAlign w:val="bottom"/>
          </w:tcPr>
          <w:p w14:paraId="01ED850F" w14:textId="77777777" w:rsidR="003B36F9" w:rsidRPr="003B36F9" w:rsidRDefault="003B36F9" w:rsidP="00163CAF">
            <w:pPr>
              <w:jc w:val="right"/>
              <w:rPr>
                <w:rFonts w:asciiTheme="minorHAnsi" w:hAnsiTheme="minorHAnsi" w:cstheme="minorHAnsi"/>
                <w:b/>
                <w:bCs/>
                <w:sz w:val="20"/>
                <w:szCs w:val="20"/>
              </w:rPr>
            </w:pPr>
            <w:r w:rsidRPr="003B36F9">
              <w:rPr>
                <w:rFonts w:asciiTheme="minorHAnsi" w:hAnsiTheme="minorHAnsi" w:cstheme="minorHAnsi"/>
                <w:b/>
                <w:bCs/>
                <w:sz w:val="20"/>
                <w:szCs w:val="20"/>
              </w:rPr>
              <w:t>2,632</w:t>
            </w:r>
          </w:p>
        </w:tc>
        <w:tc>
          <w:tcPr>
            <w:tcW w:w="352" w:type="pct"/>
            <w:vAlign w:val="bottom"/>
          </w:tcPr>
          <w:p w14:paraId="10163D8F" w14:textId="77777777" w:rsidR="003B36F9" w:rsidRPr="003B36F9" w:rsidRDefault="003B36F9" w:rsidP="00163CAF">
            <w:pPr>
              <w:jc w:val="right"/>
              <w:rPr>
                <w:rFonts w:asciiTheme="minorHAnsi" w:hAnsiTheme="minorHAnsi" w:cstheme="minorHAnsi"/>
                <w:b/>
                <w:bCs/>
                <w:sz w:val="20"/>
                <w:szCs w:val="20"/>
              </w:rPr>
            </w:pPr>
            <w:r w:rsidRPr="003B36F9">
              <w:rPr>
                <w:rFonts w:asciiTheme="minorHAnsi" w:hAnsiTheme="minorHAnsi" w:cstheme="minorHAnsi"/>
                <w:b/>
                <w:bCs/>
                <w:sz w:val="20"/>
                <w:szCs w:val="20"/>
              </w:rPr>
              <w:t>3,132</w:t>
            </w:r>
          </w:p>
        </w:tc>
        <w:tc>
          <w:tcPr>
            <w:tcW w:w="352" w:type="pct"/>
            <w:vAlign w:val="bottom"/>
          </w:tcPr>
          <w:p w14:paraId="404457C4" w14:textId="77777777" w:rsidR="003B36F9" w:rsidRPr="003B36F9" w:rsidRDefault="003B36F9" w:rsidP="00163CAF">
            <w:pPr>
              <w:jc w:val="right"/>
              <w:rPr>
                <w:rFonts w:asciiTheme="minorHAnsi" w:hAnsiTheme="minorHAnsi" w:cstheme="minorHAnsi"/>
                <w:b/>
                <w:bCs/>
                <w:sz w:val="20"/>
                <w:szCs w:val="20"/>
              </w:rPr>
            </w:pPr>
            <w:r w:rsidRPr="003B36F9">
              <w:rPr>
                <w:rFonts w:asciiTheme="minorHAnsi" w:hAnsiTheme="minorHAnsi" w:cstheme="minorHAnsi"/>
                <w:b/>
                <w:bCs/>
                <w:sz w:val="20"/>
                <w:szCs w:val="20"/>
              </w:rPr>
              <w:t>3,790</w:t>
            </w:r>
          </w:p>
        </w:tc>
        <w:tc>
          <w:tcPr>
            <w:tcW w:w="352" w:type="pct"/>
            <w:vAlign w:val="bottom"/>
          </w:tcPr>
          <w:p w14:paraId="18E7C941" w14:textId="77777777" w:rsidR="003B36F9" w:rsidRPr="003B36F9" w:rsidRDefault="003B36F9" w:rsidP="00163CAF">
            <w:pPr>
              <w:jc w:val="right"/>
              <w:rPr>
                <w:rFonts w:asciiTheme="minorHAnsi" w:hAnsiTheme="minorHAnsi" w:cstheme="minorHAnsi"/>
                <w:b/>
                <w:bCs/>
                <w:sz w:val="20"/>
                <w:szCs w:val="20"/>
              </w:rPr>
            </w:pPr>
            <w:r w:rsidRPr="003B36F9">
              <w:rPr>
                <w:rFonts w:asciiTheme="minorHAnsi" w:hAnsiTheme="minorHAnsi" w:cstheme="minorHAnsi"/>
                <w:b/>
                <w:bCs/>
                <w:sz w:val="20"/>
                <w:szCs w:val="20"/>
              </w:rPr>
              <w:t>4,468</w:t>
            </w:r>
          </w:p>
        </w:tc>
        <w:tc>
          <w:tcPr>
            <w:tcW w:w="352" w:type="pct"/>
            <w:vAlign w:val="bottom"/>
          </w:tcPr>
          <w:p w14:paraId="0F208E4B" w14:textId="77777777" w:rsidR="003B36F9" w:rsidRPr="003B36F9" w:rsidRDefault="003B36F9" w:rsidP="00163CAF">
            <w:pPr>
              <w:jc w:val="right"/>
              <w:rPr>
                <w:rFonts w:asciiTheme="minorHAnsi" w:hAnsiTheme="minorHAnsi" w:cstheme="minorHAnsi"/>
                <w:b/>
                <w:bCs/>
                <w:sz w:val="20"/>
                <w:szCs w:val="20"/>
              </w:rPr>
            </w:pPr>
            <w:r w:rsidRPr="003B36F9">
              <w:rPr>
                <w:rFonts w:asciiTheme="minorHAnsi" w:hAnsiTheme="minorHAnsi" w:cstheme="minorHAnsi"/>
                <w:b/>
                <w:bCs/>
                <w:sz w:val="20"/>
                <w:szCs w:val="20"/>
              </w:rPr>
              <w:t>4,340</w:t>
            </w:r>
          </w:p>
        </w:tc>
      </w:tr>
      <w:tr w:rsidR="003B36F9" w:rsidRPr="00C07C44" w14:paraId="768B024B" w14:textId="77777777" w:rsidTr="003B36F9">
        <w:tc>
          <w:tcPr>
            <w:tcW w:w="1482" w:type="pct"/>
          </w:tcPr>
          <w:p w14:paraId="5E80DA9D" w14:textId="77777777" w:rsidR="003B36F9" w:rsidRPr="003B36F9" w:rsidRDefault="003B36F9" w:rsidP="00163CAF">
            <w:pPr>
              <w:jc w:val="both"/>
              <w:rPr>
                <w:rFonts w:asciiTheme="minorHAnsi" w:hAnsiTheme="minorHAnsi" w:cstheme="minorHAnsi"/>
                <w:b/>
                <w:bCs/>
                <w:sz w:val="20"/>
                <w:szCs w:val="20"/>
              </w:rPr>
            </w:pPr>
            <w:r w:rsidRPr="003B36F9">
              <w:rPr>
                <w:rFonts w:asciiTheme="minorHAnsi" w:hAnsiTheme="minorHAnsi" w:cstheme="minorHAnsi"/>
                <w:b/>
                <w:bCs/>
                <w:sz w:val="20"/>
                <w:szCs w:val="20"/>
              </w:rPr>
              <w:t>Cumulative cash flow</w:t>
            </w:r>
          </w:p>
        </w:tc>
        <w:tc>
          <w:tcPr>
            <w:tcW w:w="352" w:type="pct"/>
            <w:vAlign w:val="bottom"/>
          </w:tcPr>
          <w:p w14:paraId="104FB38C" w14:textId="77777777" w:rsidR="003B36F9" w:rsidRPr="003B36F9" w:rsidRDefault="003B36F9" w:rsidP="00163CAF">
            <w:pPr>
              <w:jc w:val="right"/>
              <w:rPr>
                <w:rFonts w:asciiTheme="minorHAnsi" w:hAnsiTheme="minorHAnsi" w:cstheme="minorHAnsi"/>
                <w:b/>
                <w:bCs/>
                <w:sz w:val="20"/>
                <w:szCs w:val="20"/>
              </w:rPr>
            </w:pPr>
            <w:r w:rsidRPr="003B36F9">
              <w:rPr>
                <w:rFonts w:asciiTheme="minorHAnsi" w:hAnsiTheme="minorHAnsi" w:cstheme="minorHAnsi"/>
                <w:b/>
                <w:bCs/>
                <w:sz w:val="20"/>
                <w:szCs w:val="20"/>
              </w:rPr>
              <w:t>991</w:t>
            </w:r>
          </w:p>
        </w:tc>
        <w:tc>
          <w:tcPr>
            <w:tcW w:w="352" w:type="pct"/>
            <w:vAlign w:val="bottom"/>
          </w:tcPr>
          <w:p w14:paraId="5CA7B4A9" w14:textId="77777777" w:rsidR="003B36F9" w:rsidRPr="003B36F9" w:rsidRDefault="003B36F9" w:rsidP="00163CAF">
            <w:pPr>
              <w:jc w:val="right"/>
              <w:rPr>
                <w:rFonts w:asciiTheme="minorHAnsi" w:hAnsiTheme="minorHAnsi" w:cstheme="minorHAnsi"/>
                <w:b/>
                <w:bCs/>
                <w:sz w:val="20"/>
                <w:szCs w:val="20"/>
              </w:rPr>
            </w:pPr>
            <w:r w:rsidRPr="003B36F9">
              <w:rPr>
                <w:rFonts w:asciiTheme="minorHAnsi" w:hAnsiTheme="minorHAnsi" w:cstheme="minorHAnsi"/>
                <w:b/>
                <w:bCs/>
                <w:sz w:val="20"/>
                <w:szCs w:val="20"/>
              </w:rPr>
              <w:t>2,407</w:t>
            </w:r>
          </w:p>
        </w:tc>
        <w:tc>
          <w:tcPr>
            <w:tcW w:w="352" w:type="pct"/>
            <w:vAlign w:val="bottom"/>
          </w:tcPr>
          <w:p w14:paraId="28CA9714" w14:textId="77777777" w:rsidR="003B36F9" w:rsidRPr="003B36F9" w:rsidRDefault="003B36F9" w:rsidP="00163CAF">
            <w:pPr>
              <w:jc w:val="right"/>
              <w:rPr>
                <w:rFonts w:asciiTheme="minorHAnsi" w:hAnsiTheme="minorHAnsi" w:cstheme="minorHAnsi"/>
                <w:b/>
                <w:bCs/>
                <w:sz w:val="20"/>
                <w:szCs w:val="20"/>
              </w:rPr>
            </w:pPr>
            <w:r w:rsidRPr="003B36F9">
              <w:rPr>
                <w:rFonts w:asciiTheme="minorHAnsi" w:hAnsiTheme="minorHAnsi" w:cstheme="minorHAnsi"/>
                <w:b/>
                <w:bCs/>
                <w:sz w:val="20"/>
                <w:szCs w:val="20"/>
              </w:rPr>
              <w:t>4,161</w:t>
            </w:r>
          </w:p>
        </w:tc>
        <w:tc>
          <w:tcPr>
            <w:tcW w:w="352" w:type="pct"/>
            <w:vAlign w:val="bottom"/>
          </w:tcPr>
          <w:p w14:paraId="7F12B261" w14:textId="77777777" w:rsidR="003B36F9" w:rsidRPr="003B36F9" w:rsidRDefault="003B36F9" w:rsidP="00163CAF">
            <w:pPr>
              <w:jc w:val="right"/>
              <w:rPr>
                <w:rFonts w:asciiTheme="minorHAnsi" w:hAnsiTheme="minorHAnsi" w:cstheme="minorHAnsi"/>
                <w:b/>
                <w:bCs/>
                <w:sz w:val="20"/>
                <w:szCs w:val="20"/>
              </w:rPr>
            </w:pPr>
            <w:r w:rsidRPr="003B36F9">
              <w:rPr>
                <w:rFonts w:asciiTheme="minorHAnsi" w:hAnsiTheme="minorHAnsi" w:cstheme="minorHAnsi"/>
                <w:b/>
                <w:bCs/>
                <w:sz w:val="20"/>
                <w:szCs w:val="20"/>
              </w:rPr>
              <w:t>6,167</w:t>
            </w:r>
          </w:p>
        </w:tc>
        <w:tc>
          <w:tcPr>
            <w:tcW w:w="352" w:type="pct"/>
            <w:vAlign w:val="bottom"/>
          </w:tcPr>
          <w:p w14:paraId="0B522475" w14:textId="77777777" w:rsidR="003B36F9" w:rsidRPr="003B36F9" w:rsidRDefault="003B36F9" w:rsidP="00163CAF">
            <w:pPr>
              <w:jc w:val="right"/>
              <w:rPr>
                <w:rFonts w:asciiTheme="minorHAnsi" w:hAnsiTheme="minorHAnsi" w:cstheme="minorHAnsi"/>
                <w:b/>
                <w:bCs/>
                <w:sz w:val="20"/>
                <w:szCs w:val="20"/>
              </w:rPr>
            </w:pPr>
            <w:r w:rsidRPr="003B36F9">
              <w:rPr>
                <w:rFonts w:asciiTheme="minorHAnsi" w:hAnsiTheme="minorHAnsi" w:cstheme="minorHAnsi"/>
                <w:b/>
                <w:bCs/>
                <w:sz w:val="20"/>
                <w:szCs w:val="20"/>
              </w:rPr>
              <w:t>8,445</w:t>
            </w:r>
          </w:p>
        </w:tc>
        <w:tc>
          <w:tcPr>
            <w:tcW w:w="352" w:type="pct"/>
            <w:vAlign w:val="bottom"/>
          </w:tcPr>
          <w:p w14:paraId="694D61A9" w14:textId="77777777" w:rsidR="003B36F9" w:rsidRPr="003B36F9" w:rsidRDefault="003B36F9" w:rsidP="00163CAF">
            <w:pPr>
              <w:jc w:val="right"/>
              <w:rPr>
                <w:rFonts w:asciiTheme="minorHAnsi" w:hAnsiTheme="minorHAnsi" w:cstheme="minorHAnsi"/>
                <w:b/>
                <w:bCs/>
                <w:sz w:val="20"/>
                <w:szCs w:val="20"/>
              </w:rPr>
            </w:pPr>
            <w:r w:rsidRPr="003B36F9">
              <w:rPr>
                <w:rFonts w:asciiTheme="minorHAnsi" w:hAnsiTheme="minorHAnsi" w:cstheme="minorHAnsi"/>
                <w:b/>
                <w:bCs/>
                <w:sz w:val="20"/>
                <w:szCs w:val="20"/>
              </w:rPr>
              <w:t>11,077</w:t>
            </w:r>
          </w:p>
        </w:tc>
        <w:tc>
          <w:tcPr>
            <w:tcW w:w="352" w:type="pct"/>
            <w:vAlign w:val="bottom"/>
          </w:tcPr>
          <w:p w14:paraId="58A88355" w14:textId="77777777" w:rsidR="003B36F9" w:rsidRPr="003B36F9" w:rsidRDefault="003B36F9" w:rsidP="00163CAF">
            <w:pPr>
              <w:jc w:val="right"/>
              <w:rPr>
                <w:rFonts w:asciiTheme="minorHAnsi" w:hAnsiTheme="minorHAnsi" w:cstheme="minorHAnsi"/>
                <w:b/>
                <w:bCs/>
                <w:sz w:val="20"/>
                <w:szCs w:val="20"/>
              </w:rPr>
            </w:pPr>
            <w:r w:rsidRPr="003B36F9">
              <w:rPr>
                <w:rFonts w:asciiTheme="minorHAnsi" w:hAnsiTheme="minorHAnsi" w:cstheme="minorHAnsi"/>
                <w:b/>
                <w:bCs/>
                <w:sz w:val="20"/>
                <w:szCs w:val="20"/>
              </w:rPr>
              <w:t>14,208</w:t>
            </w:r>
          </w:p>
        </w:tc>
        <w:tc>
          <w:tcPr>
            <w:tcW w:w="352" w:type="pct"/>
            <w:vAlign w:val="bottom"/>
          </w:tcPr>
          <w:p w14:paraId="53C34625" w14:textId="77777777" w:rsidR="003B36F9" w:rsidRPr="003B36F9" w:rsidRDefault="003B36F9" w:rsidP="00163CAF">
            <w:pPr>
              <w:jc w:val="right"/>
              <w:rPr>
                <w:rFonts w:asciiTheme="minorHAnsi" w:hAnsiTheme="minorHAnsi" w:cstheme="minorHAnsi"/>
                <w:b/>
                <w:bCs/>
                <w:sz w:val="20"/>
                <w:szCs w:val="20"/>
              </w:rPr>
            </w:pPr>
            <w:r w:rsidRPr="003B36F9">
              <w:rPr>
                <w:rFonts w:asciiTheme="minorHAnsi" w:hAnsiTheme="minorHAnsi" w:cstheme="minorHAnsi"/>
                <w:b/>
                <w:bCs/>
                <w:sz w:val="20"/>
                <w:szCs w:val="20"/>
              </w:rPr>
              <w:t>17,998</w:t>
            </w:r>
          </w:p>
        </w:tc>
        <w:tc>
          <w:tcPr>
            <w:tcW w:w="352" w:type="pct"/>
            <w:vAlign w:val="bottom"/>
          </w:tcPr>
          <w:p w14:paraId="0566D35C" w14:textId="77777777" w:rsidR="003B36F9" w:rsidRPr="003B36F9" w:rsidRDefault="003B36F9" w:rsidP="00163CAF">
            <w:pPr>
              <w:jc w:val="right"/>
              <w:rPr>
                <w:rFonts w:asciiTheme="minorHAnsi" w:hAnsiTheme="minorHAnsi" w:cstheme="minorHAnsi"/>
                <w:b/>
                <w:bCs/>
                <w:sz w:val="20"/>
                <w:szCs w:val="20"/>
              </w:rPr>
            </w:pPr>
            <w:r w:rsidRPr="003B36F9">
              <w:rPr>
                <w:rFonts w:asciiTheme="minorHAnsi" w:hAnsiTheme="minorHAnsi" w:cstheme="minorHAnsi"/>
                <w:b/>
                <w:bCs/>
                <w:sz w:val="20"/>
                <w:szCs w:val="20"/>
              </w:rPr>
              <w:t>22,466</w:t>
            </w:r>
          </w:p>
        </w:tc>
        <w:tc>
          <w:tcPr>
            <w:tcW w:w="352" w:type="pct"/>
            <w:vAlign w:val="bottom"/>
          </w:tcPr>
          <w:p w14:paraId="54C722B3" w14:textId="77777777" w:rsidR="003B36F9" w:rsidRPr="003B36F9" w:rsidRDefault="003B36F9" w:rsidP="00163CAF">
            <w:pPr>
              <w:jc w:val="right"/>
              <w:rPr>
                <w:rFonts w:asciiTheme="minorHAnsi" w:hAnsiTheme="minorHAnsi" w:cstheme="minorHAnsi"/>
                <w:b/>
                <w:bCs/>
                <w:sz w:val="20"/>
                <w:szCs w:val="20"/>
              </w:rPr>
            </w:pPr>
            <w:r w:rsidRPr="003B36F9">
              <w:rPr>
                <w:rFonts w:asciiTheme="minorHAnsi" w:hAnsiTheme="minorHAnsi" w:cstheme="minorHAnsi"/>
                <w:b/>
                <w:bCs/>
                <w:sz w:val="20"/>
                <w:szCs w:val="20"/>
              </w:rPr>
              <w:t>26,806</w:t>
            </w:r>
          </w:p>
        </w:tc>
      </w:tr>
    </w:tbl>
    <w:p w14:paraId="0141105E" w14:textId="16AA4FF1" w:rsidR="003221E2" w:rsidRPr="002E64CE" w:rsidRDefault="00EF6247" w:rsidP="002E64CE">
      <w:pPr>
        <w:pStyle w:val="Caption"/>
        <w:pBdr>
          <w:bottom w:val="single" w:sz="12" w:space="1" w:color="auto"/>
        </w:pBdr>
        <w:spacing w:after="0"/>
        <w:ind w:left="-360"/>
        <w:rPr>
          <w:i w:val="0"/>
          <w:iCs w:val="0"/>
          <w:color w:val="auto"/>
        </w:rPr>
      </w:pPr>
      <w:r w:rsidRPr="00EF6247">
        <w:rPr>
          <w:i w:val="0"/>
          <w:iCs w:val="0"/>
          <w:color w:val="auto"/>
        </w:rPr>
        <w:t>Source: World Bank team estimation based on the Government program.</w:t>
      </w:r>
    </w:p>
    <w:p w14:paraId="73A337FE" w14:textId="09AB073B" w:rsidR="00EF6247" w:rsidRPr="00EF6247" w:rsidRDefault="00EF6247" w:rsidP="001A34A8">
      <w:pPr>
        <w:pStyle w:val="Caption"/>
        <w:spacing w:before="120" w:after="0"/>
        <w:ind w:left="-360"/>
        <w:rPr>
          <w:b/>
          <w:bCs/>
          <w:i w:val="0"/>
          <w:iCs w:val="0"/>
          <w:color w:val="auto"/>
          <w:sz w:val="22"/>
          <w:szCs w:val="22"/>
        </w:rPr>
      </w:pPr>
      <w:r w:rsidRPr="00EF6247">
        <w:rPr>
          <w:b/>
          <w:bCs/>
          <w:i w:val="0"/>
          <w:iCs w:val="0"/>
          <w:color w:val="auto"/>
          <w:sz w:val="22"/>
          <w:szCs w:val="22"/>
        </w:rPr>
        <w:t xml:space="preserve">Table </w:t>
      </w:r>
      <w:r w:rsidRPr="00EF6247">
        <w:rPr>
          <w:b/>
          <w:bCs/>
          <w:i w:val="0"/>
          <w:iCs w:val="0"/>
          <w:color w:val="auto"/>
          <w:sz w:val="22"/>
          <w:szCs w:val="22"/>
        </w:rPr>
        <w:fldChar w:fldCharType="begin"/>
      </w:r>
      <w:r w:rsidRPr="00EF6247">
        <w:rPr>
          <w:b/>
          <w:bCs/>
          <w:i w:val="0"/>
          <w:iCs w:val="0"/>
          <w:color w:val="auto"/>
          <w:sz w:val="22"/>
          <w:szCs w:val="22"/>
        </w:rPr>
        <w:instrText xml:space="preserve"> SEQ Table \* ARABIC </w:instrText>
      </w:r>
      <w:r w:rsidRPr="00EF6247">
        <w:rPr>
          <w:b/>
          <w:bCs/>
          <w:i w:val="0"/>
          <w:iCs w:val="0"/>
          <w:color w:val="auto"/>
          <w:sz w:val="22"/>
          <w:szCs w:val="22"/>
        </w:rPr>
        <w:fldChar w:fldCharType="separate"/>
      </w:r>
      <w:r w:rsidR="00875DBA">
        <w:rPr>
          <w:b/>
          <w:bCs/>
          <w:i w:val="0"/>
          <w:iCs w:val="0"/>
          <w:noProof/>
          <w:color w:val="auto"/>
          <w:sz w:val="22"/>
          <w:szCs w:val="22"/>
        </w:rPr>
        <w:t>12</w:t>
      </w:r>
      <w:r w:rsidRPr="00EF6247">
        <w:rPr>
          <w:b/>
          <w:bCs/>
          <w:i w:val="0"/>
          <w:iCs w:val="0"/>
          <w:color w:val="auto"/>
          <w:sz w:val="22"/>
          <w:szCs w:val="22"/>
        </w:rPr>
        <w:fldChar w:fldCharType="end"/>
      </w:r>
      <w:r w:rsidRPr="00EF6247">
        <w:rPr>
          <w:b/>
          <w:bCs/>
          <w:i w:val="0"/>
          <w:iCs w:val="0"/>
          <w:color w:val="auto"/>
          <w:sz w:val="22"/>
          <w:szCs w:val="22"/>
        </w:rPr>
        <w:t>:  Projected Financial Ratios</w:t>
      </w:r>
    </w:p>
    <w:tbl>
      <w:tblPr>
        <w:tblStyle w:val="TableGrid"/>
        <w:tblW w:w="5195" w:type="pct"/>
        <w:tblInd w:w="-365" w:type="dxa"/>
        <w:tblLayout w:type="fixed"/>
        <w:tblCellMar>
          <w:left w:w="29" w:type="dxa"/>
          <w:right w:w="29" w:type="dxa"/>
        </w:tblCellMar>
        <w:tblLook w:val="04A0" w:firstRow="1" w:lastRow="0" w:firstColumn="1" w:lastColumn="0" w:noHBand="0" w:noVBand="1"/>
      </w:tblPr>
      <w:tblGrid>
        <w:gridCol w:w="2340"/>
        <w:gridCol w:w="609"/>
        <w:gridCol w:w="752"/>
        <w:gridCol w:w="752"/>
        <w:gridCol w:w="752"/>
        <w:gridCol w:w="752"/>
        <w:gridCol w:w="752"/>
        <w:gridCol w:w="752"/>
        <w:gridCol w:w="752"/>
        <w:gridCol w:w="752"/>
        <w:gridCol w:w="750"/>
      </w:tblGrid>
      <w:tr w:rsidR="00EF6247" w:rsidRPr="00F51046" w14:paraId="54C58FB3" w14:textId="77777777" w:rsidTr="00EF6247">
        <w:tc>
          <w:tcPr>
            <w:tcW w:w="1204" w:type="pct"/>
            <w:shd w:val="clear" w:color="auto" w:fill="D9D9D9" w:themeFill="background1" w:themeFillShade="D9"/>
          </w:tcPr>
          <w:p w14:paraId="57A7F0A6" w14:textId="77777777" w:rsidR="00EF6247" w:rsidRPr="00163CAF" w:rsidRDefault="00EF6247" w:rsidP="00163CAF">
            <w:pPr>
              <w:jc w:val="right"/>
              <w:rPr>
                <w:rFonts w:asciiTheme="minorHAnsi" w:hAnsiTheme="minorHAnsi" w:cstheme="minorHAnsi"/>
                <w:i/>
                <w:iCs/>
                <w:sz w:val="18"/>
                <w:szCs w:val="18"/>
              </w:rPr>
            </w:pPr>
          </w:p>
        </w:tc>
        <w:tc>
          <w:tcPr>
            <w:tcW w:w="313" w:type="pct"/>
            <w:shd w:val="clear" w:color="auto" w:fill="D9D9D9" w:themeFill="background1" w:themeFillShade="D9"/>
          </w:tcPr>
          <w:p w14:paraId="60C8075D" w14:textId="77777777" w:rsidR="00EF6247" w:rsidRPr="00163CAF" w:rsidRDefault="00EF6247" w:rsidP="00163CAF">
            <w:pPr>
              <w:jc w:val="right"/>
              <w:rPr>
                <w:rFonts w:asciiTheme="minorHAnsi" w:hAnsiTheme="minorHAnsi" w:cstheme="minorHAnsi"/>
                <w:b/>
                <w:bCs/>
                <w:sz w:val="18"/>
                <w:szCs w:val="18"/>
              </w:rPr>
            </w:pPr>
            <w:r w:rsidRPr="00163CAF">
              <w:rPr>
                <w:rFonts w:asciiTheme="minorHAnsi" w:hAnsiTheme="minorHAnsi" w:cstheme="minorHAnsi"/>
                <w:b/>
                <w:bCs/>
                <w:sz w:val="18"/>
                <w:szCs w:val="18"/>
              </w:rPr>
              <w:t>2022</w:t>
            </w:r>
          </w:p>
        </w:tc>
        <w:tc>
          <w:tcPr>
            <w:tcW w:w="387" w:type="pct"/>
            <w:shd w:val="clear" w:color="auto" w:fill="D9D9D9" w:themeFill="background1" w:themeFillShade="D9"/>
          </w:tcPr>
          <w:p w14:paraId="74CF6CAC" w14:textId="77777777" w:rsidR="00EF6247" w:rsidRPr="00163CAF" w:rsidRDefault="00EF6247" w:rsidP="00163CAF">
            <w:pPr>
              <w:jc w:val="right"/>
              <w:rPr>
                <w:rFonts w:asciiTheme="minorHAnsi" w:hAnsiTheme="minorHAnsi" w:cstheme="minorHAnsi"/>
                <w:b/>
                <w:bCs/>
                <w:sz w:val="18"/>
                <w:szCs w:val="18"/>
              </w:rPr>
            </w:pPr>
            <w:r w:rsidRPr="00163CAF">
              <w:rPr>
                <w:rFonts w:asciiTheme="minorHAnsi" w:hAnsiTheme="minorHAnsi" w:cstheme="minorHAnsi"/>
                <w:b/>
                <w:bCs/>
                <w:sz w:val="18"/>
                <w:szCs w:val="18"/>
              </w:rPr>
              <w:t>2023</w:t>
            </w:r>
          </w:p>
        </w:tc>
        <w:tc>
          <w:tcPr>
            <w:tcW w:w="387" w:type="pct"/>
            <w:shd w:val="clear" w:color="auto" w:fill="D9D9D9" w:themeFill="background1" w:themeFillShade="D9"/>
          </w:tcPr>
          <w:p w14:paraId="54890648" w14:textId="77777777" w:rsidR="00EF6247" w:rsidRPr="00163CAF" w:rsidRDefault="00EF6247" w:rsidP="00163CAF">
            <w:pPr>
              <w:jc w:val="right"/>
              <w:rPr>
                <w:rFonts w:asciiTheme="minorHAnsi" w:hAnsiTheme="minorHAnsi" w:cstheme="minorHAnsi"/>
                <w:b/>
                <w:bCs/>
                <w:sz w:val="18"/>
                <w:szCs w:val="18"/>
              </w:rPr>
            </w:pPr>
            <w:r w:rsidRPr="00163CAF">
              <w:rPr>
                <w:rFonts w:asciiTheme="minorHAnsi" w:hAnsiTheme="minorHAnsi" w:cstheme="minorHAnsi"/>
                <w:b/>
                <w:bCs/>
                <w:sz w:val="18"/>
                <w:szCs w:val="18"/>
              </w:rPr>
              <w:t>2024</w:t>
            </w:r>
          </w:p>
        </w:tc>
        <w:tc>
          <w:tcPr>
            <w:tcW w:w="387" w:type="pct"/>
            <w:shd w:val="clear" w:color="auto" w:fill="D9D9D9" w:themeFill="background1" w:themeFillShade="D9"/>
          </w:tcPr>
          <w:p w14:paraId="27C2E57A" w14:textId="77777777" w:rsidR="00EF6247" w:rsidRPr="00163CAF" w:rsidRDefault="00EF6247" w:rsidP="00163CAF">
            <w:pPr>
              <w:jc w:val="right"/>
              <w:rPr>
                <w:rFonts w:asciiTheme="minorHAnsi" w:hAnsiTheme="minorHAnsi" w:cstheme="minorHAnsi"/>
                <w:b/>
                <w:bCs/>
                <w:sz w:val="18"/>
                <w:szCs w:val="18"/>
              </w:rPr>
            </w:pPr>
            <w:r w:rsidRPr="00163CAF">
              <w:rPr>
                <w:rFonts w:asciiTheme="minorHAnsi" w:hAnsiTheme="minorHAnsi" w:cstheme="minorHAnsi"/>
                <w:b/>
                <w:bCs/>
                <w:sz w:val="18"/>
                <w:szCs w:val="18"/>
              </w:rPr>
              <w:t>2025</w:t>
            </w:r>
          </w:p>
        </w:tc>
        <w:tc>
          <w:tcPr>
            <w:tcW w:w="387" w:type="pct"/>
            <w:shd w:val="clear" w:color="auto" w:fill="D9D9D9" w:themeFill="background1" w:themeFillShade="D9"/>
          </w:tcPr>
          <w:p w14:paraId="7AEA53AE" w14:textId="77777777" w:rsidR="00EF6247" w:rsidRPr="00163CAF" w:rsidRDefault="00EF6247" w:rsidP="00163CAF">
            <w:pPr>
              <w:jc w:val="right"/>
              <w:rPr>
                <w:rFonts w:asciiTheme="minorHAnsi" w:hAnsiTheme="minorHAnsi" w:cstheme="minorHAnsi"/>
                <w:b/>
                <w:bCs/>
                <w:sz w:val="18"/>
                <w:szCs w:val="18"/>
              </w:rPr>
            </w:pPr>
            <w:r w:rsidRPr="00163CAF">
              <w:rPr>
                <w:rFonts w:asciiTheme="minorHAnsi" w:hAnsiTheme="minorHAnsi" w:cstheme="minorHAnsi"/>
                <w:b/>
                <w:bCs/>
                <w:sz w:val="18"/>
                <w:szCs w:val="18"/>
              </w:rPr>
              <w:t>2026</w:t>
            </w:r>
          </w:p>
        </w:tc>
        <w:tc>
          <w:tcPr>
            <w:tcW w:w="387" w:type="pct"/>
            <w:shd w:val="clear" w:color="auto" w:fill="D9D9D9" w:themeFill="background1" w:themeFillShade="D9"/>
          </w:tcPr>
          <w:p w14:paraId="0A993CAA" w14:textId="77777777" w:rsidR="00EF6247" w:rsidRPr="00163CAF" w:rsidRDefault="00EF6247" w:rsidP="00163CAF">
            <w:pPr>
              <w:jc w:val="right"/>
              <w:rPr>
                <w:rFonts w:asciiTheme="minorHAnsi" w:hAnsiTheme="minorHAnsi" w:cstheme="minorHAnsi"/>
                <w:b/>
                <w:bCs/>
                <w:sz w:val="18"/>
                <w:szCs w:val="18"/>
              </w:rPr>
            </w:pPr>
            <w:r w:rsidRPr="00163CAF">
              <w:rPr>
                <w:rFonts w:asciiTheme="minorHAnsi" w:hAnsiTheme="minorHAnsi" w:cstheme="minorHAnsi"/>
                <w:b/>
                <w:bCs/>
                <w:sz w:val="18"/>
                <w:szCs w:val="18"/>
              </w:rPr>
              <w:t>2027</w:t>
            </w:r>
          </w:p>
        </w:tc>
        <w:tc>
          <w:tcPr>
            <w:tcW w:w="387" w:type="pct"/>
            <w:shd w:val="clear" w:color="auto" w:fill="D9D9D9" w:themeFill="background1" w:themeFillShade="D9"/>
          </w:tcPr>
          <w:p w14:paraId="33B90260" w14:textId="77777777" w:rsidR="00EF6247" w:rsidRPr="00163CAF" w:rsidRDefault="00EF6247" w:rsidP="00163CAF">
            <w:pPr>
              <w:jc w:val="right"/>
              <w:rPr>
                <w:rFonts w:asciiTheme="minorHAnsi" w:hAnsiTheme="minorHAnsi" w:cstheme="minorHAnsi"/>
                <w:b/>
                <w:bCs/>
                <w:sz w:val="18"/>
                <w:szCs w:val="18"/>
              </w:rPr>
            </w:pPr>
            <w:r w:rsidRPr="00163CAF">
              <w:rPr>
                <w:rFonts w:asciiTheme="minorHAnsi" w:hAnsiTheme="minorHAnsi" w:cstheme="minorHAnsi"/>
                <w:b/>
                <w:bCs/>
                <w:sz w:val="18"/>
                <w:szCs w:val="18"/>
              </w:rPr>
              <w:t>2028</w:t>
            </w:r>
          </w:p>
        </w:tc>
        <w:tc>
          <w:tcPr>
            <w:tcW w:w="387" w:type="pct"/>
            <w:shd w:val="clear" w:color="auto" w:fill="D9D9D9" w:themeFill="background1" w:themeFillShade="D9"/>
          </w:tcPr>
          <w:p w14:paraId="5B9CF4B1" w14:textId="77777777" w:rsidR="00EF6247" w:rsidRPr="00163CAF" w:rsidRDefault="00EF6247" w:rsidP="00163CAF">
            <w:pPr>
              <w:jc w:val="right"/>
              <w:rPr>
                <w:rFonts w:asciiTheme="minorHAnsi" w:hAnsiTheme="minorHAnsi" w:cstheme="minorHAnsi"/>
                <w:b/>
                <w:bCs/>
                <w:sz w:val="18"/>
                <w:szCs w:val="18"/>
              </w:rPr>
            </w:pPr>
            <w:r w:rsidRPr="00163CAF">
              <w:rPr>
                <w:rFonts w:asciiTheme="minorHAnsi" w:hAnsiTheme="minorHAnsi" w:cstheme="minorHAnsi"/>
                <w:b/>
                <w:bCs/>
                <w:sz w:val="18"/>
                <w:szCs w:val="18"/>
              </w:rPr>
              <w:t>2029</w:t>
            </w:r>
          </w:p>
        </w:tc>
        <w:tc>
          <w:tcPr>
            <w:tcW w:w="387" w:type="pct"/>
            <w:shd w:val="clear" w:color="auto" w:fill="D9D9D9" w:themeFill="background1" w:themeFillShade="D9"/>
          </w:tcPr>
          <w:p w14:paraId="2F63FFA5" w14:textId="77777777" w:rsidR="00EF6247" w:rsidRPr="00163CAF" w:rsidRDefault="00EF6247" w:rsidP="00163CAF">
            <w:pPr>
              <w:jc w:val="right"/>
              <w:rPr>
                <w:rFonts w:asciiTheme="minorHAnsi" w:hAnsiTheme="minorHAnsi" w:cstheme="minorHAnsi"/>
                <w:b/>
                <w:bCs/>
                <w:sz w:val="18"/>
                <w:szCs w:val="18"/>
              </w:rPr>
            </w:pPr>
            <w:r w:rsidRPr="00163CAF">
              <w:rPr>
                <w:rFonts w:asciiTheme="minorHAnsi" w:hAnsiTheme="minorHAnsi" w:cstheme="minorHAnsi"/>
                <w:b/>
                <w:bCs/>
                <w:sz w:val="18"/>
                <w:szCs w:val="18"/>
              </w:rPr>
              <w:t>2030</w:t>
            </w:r>
          </w:p>
        </w:tc>
        <w:tc>
          <w:tcPr>
            <w:tcW w:w="386" w:type="pct"/>
            <w:shd w:val="clear" w:color="auto" w:fill="D9D9D9" w:themeFill="background1" w:themeFillShade="D9"/>
          </w:tcPr>
          <w:p w14:paraId="2A533283" w14:textId="77777777" w:rsidR="00EF6247" w:rsidRPr="00163CAF" w:rsidRDefault="00EF6247" w:rsidP="00163CAF">
            <w:pPr>
              <w:jc w:val="right"/>
              <w:rPr>
                <w:rFonts w:asciiTheme="minorHAnsi" w:hAnsiTheme="minorHAnsi" w:cstheme="minorHAnsi"/>
                <w:b/>
                <w:bCs/>
                <w:sz w:val="18"/>
                <w:szCs w:val="18"/>
              </w:rPr>
            </w:pPr>
            <w:r w:rsidRPr="00163CAF">
              <w:rPr>
                <w:rFonts w:asciiTheme="minorHAnsi" w:hAnsiTheme="minorHAnsi" w:cstheme="minorHAnsi"/>
                <w:b/>
                <w:bCs/>
                <w:sz w:val="18"/>
                <w:szCs w:val="18"/>
              </w:rPr>
              <w:t>2031</w:t>
            </w:r>
          </w:p>
        </w:tc>
      </w:tr>
      <w:tr w:rsidR="00EF6247" w:rsidRPr="00F51046" w14:paraId="555AAF1E" w14:textId="77777777" w:rsidTr="00EF6247">
        <w:tc>
          <w:tcPr>
            <w:tcW w:w="1204" w:type="pct"/>
          </w:tcPr>
          <w:p w14:paraId="3A26A423" w14:textId="77777777" w:rsidR="00EF6247" w:rsidRPr="00EF6247" w:rsidRDefault="00EF6247" w:rsidP="00163CAF">
            <w:pPr>
              <w:jc w:val="both"/>
              <w:rPr>
                <w:rFonts w:asciiTheme="minorHAnsi" w:hAnsiTheme="minorHAnsi" w:cstheme="minorHAnsi"/>
                <w:sz w:val="18"/>
                <w:szCs w:val="18"/>
              </w:rPr>
            </w:pPr>
            <w:r w:rsidRPr="00EF6247">
              <w:rPr>
                <w:rFonts w:asciiTheme="minorHAnsi" w:hAnsiTheme="minorHAnsi" w:cstheme="minorHAnsi"/>
                <w:sz w:val="18"/>
                <w:szCs w:val="18"/>
              </w:rPr>
              <w:t>Gross margin</w:t>
            </w:r>
          </w:p>
        </w:tc>
        <w:tc>
          <w:tcPr>
            <w:tcW w:w="313" w:type="pct"/>
            <w:vAlign w:val="bottom"/>
          </w:tcPr>
          <w:p w14:paraId="7773B1F2"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26%</w:t>
            </w:r>
          </w:p>
        </w:tc>
        <w:tc>
          <w:tcPr>
            <w:tcW w:w="387" w:type="pct"/>
            <w:vAlign w:val="bottom"/>
          </w:tcPr>
          <w:p w14:paraId="2C7E8BF3"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28%</w:t>
            </w:r>
          </w:p>
        </w:tc>
        <w:tc>
          <w:tcPr>
            <w:tcW w:w="387" w:type="pct"/>
            <w:vAlign w:val="bottom"/>
          </w:tcPr>
          <w:p w14:paraId="0DCBA6A6"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32%</w:t>
            </w:r>
          </w:p>
        </w:tc>
        <w:tc>
          <w:tcPr>
            <w:tcW w:w="387" w:type="pct"/>
            <w:vAlign w:val="bottom"/>
          </w:tcPr>
          <w:p w14:paraId="58C4D8B7"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35%</w:t>
            </w:r>
          </w:p>
        </w:tc>
        <w:tc>
          <w:tcPr>
            <w:tcW w:w="387" w:type="pct"/>
            <w:vAlign w:val="bottom"/>
          </w:tcPr>
          <w:p w14:paraId="12BAB6FB"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43%</w:t>
            </w:r>
          </w:p>
        </w:tc>
        <w:tc>
          <w:tcPr>
            <w:tcW w:w="387" w:type="pct"/>
            <w:vAlign w:val="bottom"/>
          </w:tcPr>
          <w:p w14:paraId="200A6E23"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45%</w:t>
            </w:r>
          </w:p>
        </w:tc>
        <w:tc>
          <w:tcPr>
            <w:tcW w:w="387" w:type="pct"/>
            <w:vAlign w:val="bottom"/>
          </w:tcPr>
          <w:p w14:paraId="4B2FFBF9"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49%</w:t>
            </w:r>
          </w:p>
        </w:tc>
        <w:tc>
          <w:tcPr>
            <w:tcW w:w="387" w:type="pct"/>
            <w:vAlign w:val="bottom"/>
          </w:tcPr>
          <w:p w14:paraId="0AE24F56"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62%</w:t>
            </w:r>
          </w:p>
        </w:tc>
        <w:tc>
          <w:tcPr>
            <w:tcW w:w="387" w:type="pct"/>
            <w:vAlign w:val="bottom"/>
          </w:tcPr>
          <w:p w14:paraId="270A3B7C"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64%</w:t>
            </w:r>
          </w:p>
        </w:tc>
        <w:tc>
          <w:tcPr>
            <w:tcW w:w="386" w:type="pct"/>
            <w:vAlign w:val="bottom"/>
          </w:tcPr>
          <w:p w14:paraId="4E98C216"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63%</w:t>
            </w:r>
          </w:p>
        </w:tc>
      </w:tr>
      <w:tr w:rsidR="00EF6247" w:rsidRPr="00F51046" w14:paraId="0D8930E4" w14:textId="77777777" w:rsidTr="00EF6247">
        <w:tc>
          <w:tcPr>
            <w:tcW w:w="1204" w:type="pct"/>
          </w:tcPr>
          <w:p w14:paraId="12FCE5AC" w14:textId="77777777" w:rsidR="00EF6247" w:rsidRPr="00EF6247" w:rsidRDefault="00EF6247" w:rsidP="00163CAF">
            <w:pPr>
              <w:jc w:val="both"/>
              <w:rPr>
                <w:rFonts w:asciiTheme="minorHAnsi" w:hAnsiTheme="minorHAnsi" w:cstheme="minorHAnsi"/>
                <w:sz w:val="18"/>
                <w:szCs w:val="18"/>
              </w:rPr>
            </w:pPr>
            <w:r w:rsidRPr="00EF6247">
              <w:rPr>
                <w:rFonts w:asciiTheme="minorHAnsi" w:hAnsiTheme="minorHAnsi" w:cstheme="minorHAnsi"/>
                <w:sz w:val="18"/>
                <w:szCs w:val="18"/>
              </w:rPr>
              <w:t>EBITDA margin</w:t>
            </w:r>
          </w:p>
        </w:tc>
        <w:tc>
          <w:tcPr>
            <w:tcW w:w="313" w:type="pct"/>
            <w:vAlign w:val="bottom"/>
          </w:tcPr>
          <w:p w14:paraId="0B03ADD0"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23%</w:t>
            </w:r>
          </w:p>
        </w:tc>
        <w:tc>
          <w:tcPr>
            <w:tcW w:w="387" w:type="pct"/>
            <w:vAlign w:val="bottom"/>
          </w:tcPr>
          <w:p w14:paraId="272FAC20"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26%</w:t>
            </w:r>
          </w:p>
        </w:tc>
        <w:tc>
          <w:tcPr>
            <w:tcW w:w="387" w:type="pct"/>
            <w:vAlign w:val="bottom"/>
          </w:tcPr>
          <w:p w14:paraId="6AEB1DDD"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29%</w:t>
            </w:r>
          </w:p>
        </w:tc>
        <w:tc>
          <w:tcPr>
            <w:tcW w:w="387" w:type="pct"/>
            <w:vAlign w:val="bottom"/>
          </w:tcPr>
          <w:p w14:paraId="58E5AA1C"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32%</w:t>
            </w:r>
          </w:p>
        </w:tc>
        <w:tc>
          <w:tcPr>
            <w:tcW w:w="387" w:type="pct"/>
            <w:vAlign w:val="bottom"/>
          </w:tcPr>
          <w:p w14:paraId="7DBBD3B4"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41%</w:t>
            </w:r>
          </w:p>
        </w:tc>
        <w:tc>
          <w:tcPr>
            <w:tcW w:w="387" w:type="pct"/>
            <w:vAlign w:val="bottom"/>
          </w:tcPr>
          <w:p w14:paraId="29B590EF"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43%</w:t>
            </w:r>
          </w:p>
        </w:tc>
        <w:tc>
          <w:tcPr>
            <w:tcW w:w="387" w:type="pct"/>
            <w:vAlign w:val="bottom"/>
          </w:tcPr>
          <w:p w14:paraId="3585F412"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46%</w:t>
            </w:r>
          </w:p>
        </w:tc>
        <w:tc>
          <w:tcPr>
            <w:tcW w:w="387" w:type="pct"/>
            <w:vAlign w:val="bottom"/>
          </w:tcPr>
          <w:p w14:paraId="6EF128CF"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60%</w:t>
            </w:r>
          </w:p>
        </w:tc>
        <w:tc>
          <w:tcPr>
            <w:tcW w:w="387" w:type="pct"/>
            <w:vAlign w:val="bottom"/>
          </w:tcPr>
          <w:p w14:paraId="34B777F9"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62%</w:t>
            </w:r>
          </w:p>
        </w:tc>
        <w:tc>
          <w:tcPr>
            <w:tcW w:w="386" w:type="pct"/>
            <w:vAlign w:val="bottom"/>
          </w:tcPr>
          <w:p w14:paraId="7D825F26"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61%</w:t>
            </w:r>
          </w:p>
        </w:tc>
      </w:tr>
      <w:tr w:rsidR="00EF6247" w:rsidRPr="00F51046" w14:paraId="44D270A3" w14:textId="77777777" w:rsidTr="00EF6247">
        <w:tc>
          <w:tcPr>
            <w:tcW w:w="1204" w:type="pct"/>
          </w:tcPr>
          <w:p w14:paraId="63254682" w14:textId="77777777" w:rsidR="00EF6247" w:rsidRPr="00EF6247" w:rsidRDefault="00EF6247" w:rsidP="00163CAF">
            <w:pPr>
              <w:jc w:val="both"/>
              <w:rPr>
                <w:rFonts w:asciiTheme="minorHAnsi" w:hAnsiTheme="minorHAnsi" w:cstheme="minorHAnsi"/>
                <w:sz w:val="18"/>
                <w:szCs w:val="18"/>
              </w:rPr>
            </w:pPr>
            <w:r w:rsidRPr="00EF6247">
              <w:rPr>
                <w:rFonts w:asciiTheme="minorHAnsi" w:hAnsiTheme="minorHAnsi" w:cstheme="minorHAnsi"/>
                <w:sz w:val="18"/>
                <w:szCs w:val="18"/>
              </w:rPr>
              <w:t>Debt-to-assets</w:t>
            </w:r>
          </w:p>
        </w:tc>
        <w:tc>
          <w:tcPr>
            <w:tcW w:w="313" w:type="pct"/>
            <w:vAlign w:val="bottom"/>
          </w:tcPr>
          <w:p w14:paraId="280EE576"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1.38</w:t>
            </w:r>
          </w:p>
        </w:tc>
        <w:tc>
          <w:tcPr>
            <w:tcW w:w="387" w:type="pct"/>
            <w:vAlign w:val="bottom"/>
          </w:tcPr>
          <w:p w14:paraId="5E85997C"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1.44</w:t>
            </w:r>
          </w:p>
        </w:tc>
        <w:tc>
          <w:tcPr>
            <w:tcW w:w="387" w:type="pct"/>
            <w:vAlign w:val="bottom"/>
          </w:tcPr>
          <w:p w14:paraId="465E1E09"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1.51</w:t>
            </w:r>
          </w:p>
        </w:tc>
        <w:tc>
          <w:tcPr>
            <w:tcW w:w="387" w:type="pct"/>
            <w:vAlign w:val="bottom"/>
          </w:tcPr>
          <w:p w14:paraId="23B32001"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1.56</w:t>
            </w:r>
          </w:p>
        </w:tc>
        <w:tc>
          <w:tcPr>
            <w:tcW w:w="387" w:type="pct"/>
            <w:vAlign w:val="bottom"/>
          </w:tcPr>
          <w:p w14:paraId="29DF8CF3"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1.57</w:t>
            </w:r>
          </w:p>
        </w:tc>
        <w:tc>
          <w:tcPr>
            <w:tcW w:w="387" w:type="pct"/>
            <w:vAlign w:val="bottom"/>
          </w:tcPr>
          <w:p w14:paraId="002EFDCE"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1.53</w:t>
            </w:r>
          </w:p>
        </w:tc>
        <w:tc>
          <w:tcPr>
            <w:tcW w:w="387" w:type="pct"/>
            <w:vAlign w:val="bottom"/>
          </w:tcPr>
          <w:p w14:paraId="25CB6BCE"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1.46</w:t>
            </w:r>
          </w:p>
        </w:tc>
        <w:tc>
          <w:tcPr>
            <w:tcW w:w="387" w:type="pct"/>
            <w:vAlign w:val="bottom"/>
          </w:tcPr>
          <w:p w14:paraId="07F37883"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1.30</w:t>
            </w:r>
          </w:p>
        </w:tc>
        <w:tc>
          <w:tcPr>
            <w:tcW w:w="387" w:type="pct"/>
            <w:vAlign w:val="bottom"/>
          </w:tcPr>
          <w:p w14:paraId="2262DDB5"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1.08</w:t>
            </w:r>
          </w:p>
        </w:tc>
        <w:tc>
          <w:tcPr>
            <w:tcW w:w="386" w:type="pct"/>
            <w:vAlign w:val="bottom"/>
          </w:tcPr>
          <w:p w14:paraId="45E0315C"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0.83</w:t>
            </w:r>
          </w:p>
        </w:tc>
      </w:tr>
      <w:tr w:rsidR="00EF6247" w:rsidRPr="00F51046" w14:paraId="51CCB96A" w14:textId="77777777" w:rsidTr="00EF6247">
        <w:tc>
          <w:tcPr>
            <w:tcW w:w="1204" w:type="pct"/>
          </w:tcPr>
          <w:p w14:paraId="5837EB5D" w14:textId="77777777" w:rsidR="00EF6247" w:rsidRPr="00EF6247" w:rsidRDefault="00EF6247" w:rsidP="00163CAF">
            <w:pPr>
              <w:jc w:val="both"/>
              <w:rPr>
                <w:rFonts w:asciiTheme="minorHAnsi" w:hAnsiTheme="minorHAnsi" w:cstheme="minorHAnsi"/>
                <w:sz w:val="18"/>
                <w:szCs w:val="18"/>
              </w:rPr>
            </w:pPr>
            <w:r w:rsidRPr="00EF6247">
              <w:rPr>
                <w:rFonts w:asciiTheme="minorHAnsi" w:hAnsiTheme="minorHAnsi" w:cstheme="minorHAnsi"/>
                <w:sz w:val="18"/>
                <w:szCs w:val="18"/>
              </w:rPr>
              <w:t>Net debt-to-EBITDA</w:t>
            </w:r>
          </w:p>
        </w:tc>
        <w:tc>
          <w:tcPr>
            <w:tcW w:w="313" w:type="pct"/>
            <w:vAlign w:val="bottom"/>
          </w:tcPr>
          <w:p w14:paraId="744D39EE"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32.85</w:t>
            </w:r>
          </w:p>
        </w:tc>
        <w:tc>
          <w:tcPr>
            <w:tcW w:w="387" w:type="pct"/>
            <w:vAlign w:val="bottom"/>
          </w:tcPr>
          <w:p w14:paraId="51B455EC"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26.90</w:t>
            </w:r>
          </w:p>
        </w:tc>
        <w:tc>
          <w:tcPr>
            <w:tcW w:w="387" w:type="pct"/>
            <w:vAlign w:val="bottom"/>
          </w:tcPr>
          <w:p w14:paraId="0E511F52"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21.69</w:t>
            </w:r>
          </w:p>
        </w:tc>
        <w:tc>
          <w:tcPr>
            <w:tcW w:w="387" w:type="pct"/>
            <w:vAlign w:val="bottom"/>
          </w:tcPr>
          <w:p w14:paraId="592B456F"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17.90</w:t>
            </w:r>
          </w:p>
        </w:tc>
        <w:tc>
          <w:tcPr>
            <w:tcW w:w="387" w:type="pct"/>
            <w:vAlign w:val="bottom"/>
          </w:tcPr>
          <w:p w14:paraId="6C139973"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11.19</w:t>
            </w:r>
          </w:p>
        </w:tc>
        <w:tc>
          <w:tcPr>
            <w:tcW w:w="387" w:type="pct"/>
            <w:vAlign w:val="bottom"/>
          </w:tcPr>
          <w:p w14:paraId="46F2C0B8"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9.19</w:t>
            </w:r>
          </w:p>
        </w:tc>
        <w:tc>
          <w:tcPr>
            <w:tcW w:w="387" w:type="pct"/>
            <w:vAlign w:val="bottom"/>
          </w:tcPr>
          <w:p w14:paraId="69D83B11"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7.08</w:t>
            </w:r>
          </w:p>
        </w:tc>
        <w:tc>
          <w:tcPr>
            <w:tcW w:w="387" w:type="pct"/>
            <w:vAlign w:val="bottom"/>
          </w:tcPr>
          <w:p w14:paraId="275EEE6B"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4.30</w:t>
            </w:r>
          </w:p>
        </w:tc>
        <w:tc>
          <w:tcPr>
            <w:tcW w:w="387" w:type="pct"/>
            <w:vAlign w:val="bottom"/>
          </w:tcPr>
          <w:p w14:paraId="7FED4048"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3.02</w:t>
            </w:r>
          </w:p>
        </w:tc>
        <w:tc>
          <w:tcPr>
            <w:tcW w:w="386" w:type="pct"/>
            <w:vAlign w:val="bottom"/>
          </w:tcPr>
          <w:p w14:paraId="4BC7F9F3"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2.29</w:t>
            </w:r>
          </w:p>
        </w:tc>
      </w:tr>
      <w:tr w:rsidR="00EF6247" w:rsidRPr="00F51046" w14:paraId="5D5AED45" w14:textId="77777777" w:rsidTr="00EF6247">
        <w:tc>
          <w:tcPr>
            <w:tcW w:w="1204" w:type="pct"/>
          </w:tcPr>
          <w:p w14:paraId="35F2050E" w14:textId="77777777" w:rsidR="00EF6247" w:rsidRPr="00EF6247" w:rsidRDefault="00EF6247" w:rsidP="00163CAF">
            <w:pPr>
              <w:jc w:val="both"/>
              <w:rPr>
                <w:rFonts w:asciiTheme="minorHAnsi" w:hAnsiTheme="minorHAnsi" w:cstheme="minorHAnsi"/>
                <w:sz w:val="18"/>
                <w:szCs w:val="18"/>
              </w:rPr>
            </w:pPr>
            <w:r w:rsidRPr="00EF6247">
              <w:rPr>
                <w:rFonts w:asciiTheme="minorHAnsi" w:hAnsiTheme="minorHAnsi" w:cstheme="minorHAnsi"/>
                <w:sz w:val="18"/>
                <w:szCs w:val="18"/>
              </w:rPr>
              <w:t>Debt service coverage ratio</w:t>
            </w:r>
          </w:p>
        </w:tc>
        <w:tc>
          <w:tcPr>
            <w:tcW w:w="313" w:type="pct"/>
            <w:vAlign w:val="bottom"/>
          </w:tcPr>
          <w:p w14:paraId="20B8B2FE"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0.06</w:t>
            </w:r>
          </w:p>
        </w:tc>
        <w:tc>
          <w:tcPr>
            <w:tcW w:w="387" w:type="pct"/>
            <w:vAlign w:val="bottom"/>
          </w:tcPr>
          <w:p w14:paraId="68B789FF"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(0.04)</w:t>
            </w:r>
          </w:p>
        </w:tc>
        <w:tc>
          <w:tcPr>
            <w:tcW w:w="387" w:type="pct"/>
            <w:vAlign w:val="bottom"/>
          </w:tcPr>
          <w:p w14:paraId="6435DFAA"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(0.04)</w:t>
            </w:r>
          </w:p>
        </w:tc>
        <w:tc>
          <w:tcPr>
            <w:tcW w:w="387" w:type="pct"/>
            <w:vAlign w:val="bottom"/>
          </w:tcPr>
          <w:p w14:paraId="01D26968"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0.11</w:t>
            </w:r>
          </w:p>
        </w:tc>
        <w:tc>
          <w:tcPr>
            <w:tcW w:w="387" w:type="pct"/>
            <w:vAlign w:val="bottom"/>
          </w:tcPr>
          <w:p w14:paraId="00227CCC"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0.16</w:t>
            </w:r>
          </w:p>
        </w:tc>
        <w:tc>
          <w:tcPr>
            <w:tcW w:w="387" w:type="pct"/>
            <w:vAlign w:val="bottom"/>
          </w:tcPr>
          <w:p w14:paraId="461A5290"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0.20</w:t>
            </w:r>
          </w:p>
        </w:tc>
        <w:tc>
          <w:tcPr>
            <w:tcW w:w="387" w:type="pct"/>
            <w:vAlign w:val="bottom"/>
          </w:tcPr>
          <w:p w14:paraId="7ADE2E7A"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0.25</w:t>
            </w:r>
          </w:p>
        </w:tc>
        <w:tc>
          <w:tcPr>
            <w:tcW w:w="387" w:type="pct"/>
            <w:vAlign w:val="bottom"/>
          </w:tcPr>
          <w:p w14:paraId="38A9FBE7"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0.42</w:t>
            </w:r>
          </w:p>
        </w:tc>
        <w:tc>
          <w:tcPr>
            <w:tcW w:w="387" w:type="pct"/>
            <w:vAlign w:val="bottom"/>
          </w:tcPr>
          <w:p w14:paraId="6C3190E0"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0.66</w:t>
            </w:r>
          </w:p>
        </w:tc>
        <w:tc>
          <w:tcPr>
            <w:tcW w:w="386" w:type="pct"/>
            <w:vAlign w:val="bottom"/>
          </w:tcPr>
          <w:p w14:paraId="448FD7E9" w14:textId="77777777" w:rsidR="00EF6247" w:rsidRPr="00163CAF" w:rsidRDefault="00EF6247" w:rsidP="00163CAF">
            <w:pPr>
              <w:jc w:val="right"/>
              <w:rPr>
                <w:rFonts w:asciiTheme="minorHAnsi" w:hAnsiTheme="minorHAnsi" w:cstheme="minorHAnsi"/>
                <w:sz w:val="18"/>
                <w:szCs w:val="18"/>
              </w:rPr>
            </w:pPr>
            <w:r w:rsidRPr="00163CAF">
              <w:rPr>
                <w:rFonts w:asciiTheme="minorHAnsi" w:hAnsiTheme="minorHAnsi" w:cstheme="minorHAnsi"/>
                <w:sz w:val="18"/>
                <w:szCs w:val="18"/>
              </w:rPr>
              <w:t>1.29</w:t>
            </w:r>
          </w:p>
        </w:tc>
      </w:tr>
    </w:tbl>
    <w:p w14:paraId="65D43EB9" w14:textId="77777777" w:rsidR="00EF6247" w:rsidRDefault="00EF6247" w:rsidP="00EF6247">
      <w:pPr>
        <w:pStyle w:val="Caption"/>
        <w:pBdr>
          <w:bottom w:val="single" w:sz="12" w:space="1" w:color="auto"/>
        </w:pBdr>
        <w:spacing w:after="0"/>
        <w:ind w:left="-360"/>
        <w:rPr>
          <w:i w:val="0"/>
          <w:iCs w:val="0"/>
          <w:color w:val="auto"/>
        </w:rPr>
      </w:pPr>
      <w:r w:rsidRPr="00EF6247">
        <w:rPr>
          <w:i w:val="0"/>
          <w:iCs w:val="0"/>
          <w:color w:val="auto"/>
        </w:rPr>
        <w:t>Source: World Bank team estimation based on the Government program.</w:t>
      </w:r>
    </w:p>
    <w:p w14:paraId="442EEB3B" w14:textId="58A71732" w:rsidR="00F709AC" w:rsidRPr="00F709AC" w:rsidRDefault="00F709AC" w:rsidP="00875DBA">
      <w:pPr>
        <w:pStyle w:val="ListParagraph"/>
        <w:numPr>
          <w:ilvl w:val="0"/>
          <w:numId w:val="3"/>
        </w:numPr>
        <w:tabs>
          <w:tab w:val="left" w:pos="0"/>
        </w:tabs>
        <w:spacing w:before="120" w:after="120"/>
        <w:ind w:left="-360" w:firstLine="0"/>
        <w:contextualSpacing w:val="0"/>
        <w:jc w:val="both"/>
        <w:rPr>
          <w:rFonts w:ascii="Calibri" w:hAnsi="Calibri"/>
          <w:color w:val="auto"/>
          <w:sz w:val="22"/>
          <w:szCs w:val="22"/>
        </w:rPr>
      </w:pPr>
      <w:r w:rsidRPr="00F709AC">
        <w:rPr>
          <w:rFonts w:asciiTheme="minorHAnsi" w:hAnsiTheme="minorHAnsi" w:cstheme="minorHAnsi"/>
          <w:b/>
          <w:bCs/>
          <w:sz w:val="22"/>
          <w:szCs w:val="22"/>
        </w:rPr>
        <w:t xml:space="preserve">The electricity sector and the Program </w:t>
      </w:r>
      <w:r>
        <w:rPr>
          <w:rFonts w:asciiTheme="minorHAnsi" w:hAnsiTheme="minorHAnsi" w:cstheme="minorHAnsi"/>
          <w:b/>
          <w:bCs/>
          <w:sz w:val="22"/>
          <w:szCs w:val="22"/>
        </w:rPr>
        <w:t xml:space="preserve">would not be able to maintain financial viability and supply reliability without the </w:t>
      </w:r>
      <w:r w:rsidRPr="00F709AC">
        <w:rPr>
          <w:rFonts w:asciiTheme="minorHAnsi" w:hAnsiTheme="minorHAnsi" w:cstheme="minorHAnsi"/>
          <w:b/>
          <w:bCs/>
          <w:sz w:val="22"/>
          <w:szCs w:val="22"/>
        </w:rPr>
        <w:t xml:space="preserve">proposed AF. </w:t>
      </w:r>
      <w:r>
        <w:rPr>
          <w:rFonts w:asciiTheme="minorHAnsi" w:hAnsiTheme="minorHAnsi" w:cstheme="minorHAnsi"/>
          <w:sz w:val="22"/>
          <w:szCs w:val="22"/>
        </w:rPr>
        <w:t>Under “No AF”</w:t>
      </w:r>
      <w:r w:rsidR="00B119D2">
        <w:rPr>
          <w:rFonts w:asciiTheme="minorHAnsi" w:hAnsiTheme="minorHAnsi" w:cstheme="minorHAnsi"/>
          <w:sz w:val="22"/>
          <w:szCs w:val="22"/>
        </w:rPr>
        <w:t>, the electricity sector</w:t>
      </w:r>
      <w:r>
        <w:rPr>
          <w:rFonts w:asciiTheme="minorHAnsi" w:hAnsiTheme="minorHAnsi" w:cstheme="minorHAnsi"/>
          <w:sz w:val="22"/>
          <w:szCs w:val="22"/>
        </w:rPr>
        <w:t xml:space="preserve"> </w:t>
      </w:r>
      <w:r w:rsidRPr="00F709AC">
        <w:rPr>
          <w:rFonts w:asciiTheme="minorHAnsi" w:hAnsiTheme="minorHAnsi" w:cstheme="minorHAnsi"/>
          <w:sz w:val="22"/>
          <w:szCs w:val="22"/>
        </w:rPr>
        <w:t xml:space="preserve">would </w:t>
      </w:r>
      <w:r w:rsidR="00B119D2">
        <w:rPr>
          <w:rFonts w:asciiTheme="minorHAnsi" w:hAnsiTheme="minorHAnsi" w:cstheme="minorHAnsi"/>
          <w:sz w:val="22"/>
          <w:szCs w:val="22"/>
        </w:rPr>
        <w:t>not be able to eliminate cash deficit any time soon</w:t>
      </w:r>
      <w:r w:rsidRPr="00F709AC">
        <w:rPr>
          <w:rFonts w:asciiTheme="minorHAnsi" w:hAnsiTheme="minorHAnsi" w:cstheme="minorHAnsi"/>
          <w:sz w:val="22"/>
          <w:szCs w:val="22"/>
        </w:rPr>
        <w:t>. Between 2022 and 2031, the sector would generate about US</w:t>
      </w:r>
      <w:r>
        <w:rPr>
          <w:rFonts w:asciiTheme="minorHAnsi" w:hAnsiTheme="minorHAnsi" w:cstheme="minorHAnsi"/>
          <w:sz w:val="22"/>
          <w:szCs w:val="22"/>
        </w:rPr>
        <w:t>$</w:t>
      </w:r>
      <w:r w:rsidRPr="00F709AC">
        <w:rPr>
          <w:rFonts w:asciiTheme="minorHAnsi" w:hAnsiTheme="minorHAnsi" w:cstheme="minorHAnsi"/>
          <w:sz w:val="22"/>
          <w:szCs w:val="22"/>
        </w:rPr>
        <w:t>660 million less liquidity. In 2031, the sector deficit would be around TJS 11 billion (~US</w:t>
      </w:r>
      <w:r>
        <w:rPr>
          <w:rFonts w:asciiTheme="minorHAnsi" w:hAnsiTheme="minorHAnsi" w:cstheme="minorHAnsi"/>
          <w:sz w:val="22"/>
          <w:szCs w:val="22"/>
        </w:rPr>
        <w:t>$</w:t>
      </w:r>
      <w:r w:rsidRPr="00F709AC">
        <w:rPr>
          <w:rFonts w:asciiTheme="minorHAnsi" w:hAnsiTheme="minorHAnsi" w:cstheme="minorHAnsi"/>
          <w:sz w:val="22"/>
          <w:szCs w:val="22"/>
        </w:rPr>
        <w:t xml:space="preserve">680 million). The cash available for debt service would cover only one-fifth of financial liabilities coming due in that year. By 2035, the sector would still have </w:t>
      </w:r>
      <w:r w:rsidRPr="00F709AC">
        <w:rPr>
          <w:rFonts w:asciiTheme="minorHAnsi" w:hAnsiTheme="minorHAnsi" w:cstheme="minorHAnsi"/>
          <w:sz w:val="22"/>
          <w:szCs w:val="22"/>
        </w:rPr>
        <w:lastRenderedPageBreak/>
        <w:t xml:space="preserve">a negative net worth with a debt service coverage ratio of 0.38. No </w:t>
      </w:r>
      <w:r>
        <w:rPr>
          <w:rFonts w:asciiTheme="minorHAnsi" w:hAnsiTheme="minorHAnsi" w:cstheme="minorHAnsi"/>
          <w:sz w:val="22"/>
          <w:szCs w:val="22"/>
        </w:rPr>
        <w:t>AF</w:t>
      </w:r>
      <w:r w:rsidRPr="00F709AC">
        <w:rPr>
          <w:rFonts w:asciiTheme="minorHAnsi" w:hAnsiTheme="minorHAnsi" w:cstheme="minorHAnsi"/>
          <w:sz w:val="22"/>
          <w:szCs w:val="22"/>
        </w:rPr>
        <w:t xml:space="preserve"> would mainly impact the pace of the repayment of MoF subsidiary loans; the outstanding principal amount (current and overdue) would peak in 2030 compared to 2028 in the projections of the original </w:t>
      </w:r>
      <w:proofErr w:type="spellStart"/>
      <w:r>
        <w:rPr>
          <w:rFonts w:asciiTheme="minorHAnsi" w:hAnsiTheme="minorHAnsi" w:cstheme="minorHAnsi"/>
          <w:sz w:val="22"/>
          <w:szCs w:val="22"/>
        </w:rPr>
        <w:t>PforR</w:t>
      </w:r>
      <w:proofErr w:type="spellEnd"/>
      <w:r w:rsidRPr="00F709AC">
        <w:rPr>
          <w:rFonts w:asciiTheme="minorHAnsi" w:hAnsiTheme="minorHAnsi" w:cstheme="minorHAnsi"/>
          <w:sz w:val="22"/>
          <w:szCs w:val="22"/>
        </w:rPr>
        <w:t xml:space="preserve">.        </w:t>
      </w:r>
    </w:p>
    <w:p w14:paraId="6E0B0DBE" w14:textId="6DD553A5" w:rsidR="00B119D2" w:rsidRDefault="00B119D2" w:rsidP="00B119D2">
      <w:pPr>
        <w:pStyle w:val="Caption"/>
        <w:pBdr>
          <w:bottom w:val="single" w:sz="12" w:space="1" w:color="auto"/>
        </w:pBdr>
        <w:spacing w:after="0"/>
        <w:ind w:left="-360"/>
        <w:rPr>
          <w:b/>
          <w:bCs/>
          <w:i w:val="0"/>
          <w:iCs w:val="0"/>
          <w:color w:val="auto"/>
          <w:sz w:val="22"/>
          <w:szCs w:val="22"/>
        </w:rPr>
      </w:pPr>
      <w:r w:rsidRPr="00B119D2">
        <w:rPr>
          <w:b/>
          <w:bCs/>
          <w:i w:val="0"/>
          <w:iCs w:val="0"/>
          <w:color w:val="auto"/>
          <w:sz w:val="22"/>
          <w:szCs w:val="22"/>
        </w:rPr>
        <w:t xml:space="preserve">Figure </w:t>
      </w:r>
      <w:r w:rsidRPr="00B119D2">
        <w:rPr>
          <w:b/>
          <w:bCs/>
          <w:i w:val="0"/>
          <w:iCs w:val="0"/>
          <w:color w:val="auto"/>
          <w:sz w:val="22"/>
          <w:szCs w:val="22"/>
        </w:rPr>
        <w:fldChar w:fldCharType="begin"/>
      </w:r>
      <w:r w:rsidRPr="00B119D2">
        <w:rPr>
          <w:b/>
          <w:bCs/>
          <w:i w:val="0"/>
          <w:iCs w:val="0"/>
          <w:color w:val="auto"/>
          <w:sz w:val="22"/>
          <w:szCs w:val="22"/>
        </w:rPr>
        <w:instrText xml:space="preserve"> SEQ Figure \* ARABIC </w:instrText>
      </w:r>
      <w:r w:rsidRPr="00B119D2">
        <w:rPr>
          <w:b/>
          <w:bCs/>
          <w:i w:val="0"/>
          <w:iCs w:val="0"/>
          <w:color w:val="auto"/>
          <w:sz w:val="22"/>
          <w:szCs w:val="22"/>
        </w:rPr>
        <w:fldChar w:fldCharType="separate"/>
      </w:r>
      <w:r w:rsidRPr="00B119D2">
        <w:rPr>
          <w:b/>
          <w:bCs/>
          <w:i w:val="0"/>
          <w:iCs w:val="0"/>
          <w:noProof/>
          <w:color w:val="auto"/>
          <w:sz w:val="22"/>
          <w:szCs w:val="22"/>
        </w:rPr>
        <w:t>6</w:t>
      </w:r>
      <w:r w:rsidRPr="00B119D2">
        <w:rPr>
          <w:b/>
          <w:bCs/>
          <w:i w:val="0"/>
          <w:iCs w:val="0"/>
          <w:color w:val="auto"/>
          <w:sz w:val="22"/>
          <w:szCs w:val="22"/>
        </w:rPr>
        <w:fldChar w:fldCharType="end"/>
      </w:r>
      <w:r w:rsidRPr="00B119D2">
        <w:rPr>
          <w:b/>
          <w:bCs/>
          <w:i w:val="0"/>
          <w:iCs w:val="0"/>
          <w:color w:val="auto"/>
          <w:sz w:val="22"/>
          <w:szCs w:val="22"/>
        </w:rPr>
        <w:t xml:space="preserve">: Cash Deficit of Electricity Sector without AF   Figure </w:t>
      </w:r>
      <w:r w:rsidRPr="00B119D2">
        <w:rPr>
          <w:b/>
          <w:bCs/>
          <w:i w:val="0"/>
          <w:iCs w:val="0"/>
          <w:color w:val="auto"/>
          <w:sz w:val="22"/>
          <w:szCs w:val="22"/>
        </w:rPr>
        <w:fldChar w:fldCharType="begin"/>
      </w:r>
      <w:r w:rsidRPr="00B119D2">
        <w:rPr>
          <w:b/>
          <w:bCs/>
          <w:i w:val="0"/>
          <w:iCs w:val="0"/>
          <w:color w:val="auto"/>
          <w:sz w:val="22"/>
          <w:szCs w:val="22"/>
        </w:rPr>
        <w:instrText xml:space="preserve"> SEQ Figure \* ARABIC </w:instrText>
      </w:r>
      <w:r w:rsidRPr="00B119D2">
        <w:rPr>
          <w:b/>
          <w:bCs/>
          <w:i w:val="0"/>
          <w:iCs w:val="0"/>
          <w:color w:val="auto"/>
          <w:sz w:val="22"/>
          <w:szCs w:val="22"/>
        </w:rPr>
        <w:fldChar w:fldCharType="separate"/>
      </w:r>
      <w:r w:rsidRPr="00B119D2">
        <w:rPr>
          <w:b/>
          <w:bCs/>
          <w:i w:val="0"/>
          <w:iCs w:val="0"/>
          <w:noProof/>
          <w:color w:val="auto"/>
          <w:sz w:val="22"/>
          <w:szCs w:val="22"/>
        </w:rPr>
        <w:t>7</w:t>
      </w:r>
      <w:r w:rsidRPr="00B119D2">
        <w:rPr>
          <w:b/>
          <w:bCs/>
          <w:i w:val="0"/>
          <w:iCs w:val="0"/>
          <w:color w:val="auto"/>
          <w:sz w:val="22"/>
          <w:szCs w:val="22"/>
        </w:rPr>
        <w:fldChar w:fldCharType="end"/>
      </w:r>
      <w:r w:rsidRPr="00B119D2">
        <w:rPr>
          <w:b/>
          <w:bCs/>
          <w:i w:val="0"/>
          <w:iCs w:val="0"/>
          <w:color w:val="auto"/>
          <w:sz w:val="22"/>
          <w:szCs w:val="22"/>
        </w:rPr>
        <w:t>: Outstanding Debt and Payables without AF</w:t>
      </w:r>
    </w:p>
    <w:p w14:paraId="63A4C9EA" w14:textId="77777777" w:rsidR="00B119D2" w:rsidRDefault="00B119D2" w:rsidP="00B119D2">
      <w:pPr>
        <w:pStyle w:val="ListParagraph"/>
        <w:ind w:left="-360"/>
        <w:jc w:val="both"/>
      </w:pPr>
      <w:r>
        <w:rPr>
          <w:noProof/>
        </w:rPr>
        <w:drawing>
          <wp:inline distT="0" distB="0" distL="0" distR="0" wp14:anchorId="79288F2D" wp14:editId="749C52AA">
            <wp:extent cx="2999740" cy="2319720"/>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36625" cy="2348244"/>
                    </a:xfrm>
                    <a:prstGeom prst="rect">
                      <a:avLst/>
                    </a:prstGeom>
                    <a:noFill/>
                  </pic:spPr>
                </pic:pic>
              </a:graphicData>
            </a:graphic>
          </wp:inline>
        </w:drawing>
      </w:r>
      <w:r>
        <w:t xml:space="preserve"> </w:t>
      </w:r>
      <w:r>
        <w:rPr>
          <w:noProof/>
        </w:rPr>
        <w:drawing>
          <wp:inline distT="0" distB="0" distL="0" distR="0" wp14:anchorId="2049BE4A" wp14:editId="32C512A4">
            <wp:extent cx="2722880" cy="2325641"/>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40301" cy="2340521"/>
                    </a:xfrm>
                    <a:prstGeom prst="rect">
                      <a:avLst/>
                    </a:prstGeom>
                    <a:noFill/>
                  </pic:spPr>
                </pic:pic>
              </a:graphicData>
            </a:graphic>
          </wp:inline>
        </w:drawing>
      </w:r>
    </w:p>
    <w:p w14:paraId="6711B8B6" w14:textId="15BE098A" w:rsidR="00F709AC" w:rsidRPr="00401034" w:rsidRDefault="00AF689F" w:rsidP="00401034">
      <w:pPr>
        <w:pStyle w:val="ListParagraph"/>
        <w:pBdr>
          <w:bottom w:val="single" w:sz="12" w:space="1" w:color="auto"/>
        </w:pBdr>
        <w:ind w:left="-360"/>
        <w:jc w:val="both"/>
        <w:rPr>
          <w:rFonts w:asciiTheme="minorHAnsi" w:hAnsiTheme="minorHAnsi" w:cstheme="minorHAnsi"/>
          <w:sz w:val="18"/>
          <w:szCs w:val="18"/>
        </w:rPr>
      </w:pPr>
      <w:r w:rsidRPr="00AF689F">
        <w:rPr>
          <w:rFonts w:asciiTheme="minorHAnsi" w:hAnsiTheme="minorHAnsi" w:cstheme="minorHAnsi"/>
          <w:sz w:val="18"/>
          <w:szCs w:val="18"/>
        </w:rPr>
        <w:t>Source: World Bank team estimate</w:t>
      </w:r>
      <w:r>
        <w:rPr>
          <w:rFonts w:asciiTheme="minorHAnsi" w:hAnsiTheme="minorHAnsi" w:cstheme="minorHAnsi"/>
          <w:sz w:val="18"/>
          <w:szCs w:val="18"/>
        </w:rPr>
        <w:t xml:space="preserve"> based on MEWR data</w:t>
      </w:r>
      <w:r w:rsidRPr="00AF689F">
        <w:rPr>
          <w:rFonts w:asciiTheme="minorHAnsi" w:hAnsiTheme="minorHAnsi" w:cstheme="minorHAnsi"/>
          <w:sz w:val="18"/>
          <w:szCs w:val="18"/>
        </w:rPr>
        <w:t>.</w:t>
      </w:r>
    </w:p>
    <w:p w14:paraId="4E243A2D" w14:textId="77777777" w:rsidR="00CF07BA" w:rsidRDefault="00880CEC" w:rsidP="00603D84">
      <w:pPr>
        <w:numPr>
          <w:ilvl w:val="0"/>
          <w:numId w:val="2"/>
        </w:numPr>
        <w:spacing w:before="120" w:after="120"/>
        <w:ind w:left="-187"/>
        <w:rPr>
          <w:rFonts w:ascii="Calibri" w:hAnsi="Calibri"/>
          <w:b/>
          <w:color w:val="172D5D"/>
          <w:sz w:val="22"/>
          <w:szCs w:val="22"/>
        </w:rPr>
      </w:pPr>
      <w:r>
        <w:rPr>
          <w:rFonts w:ascii="Calibri" w:hAnsi="Calibri"/>
          <w:b/>
          <w:color w:val="172D5D"/>
          <w:sz w:val="22"/>
          <w:szCs w:val="22"/>
        </w:rPr>
        <w:t>Fiduciary</w:t>
      </w:r>
    </w:p>
    <w:p w14:paraId="2829FF5E" w14:textId="45F345FB" w:rsidR="0096250A" w:rsidRPr="0096250A" w:rsidRDefault="0096250A" w:rsidP="00875DBA">
      <w:pPr>
        <w:pStyle w:val="ListParagraph"/>
        <w:numPr>
          <w:ilvl w:val="0"/>
          <w:numId w:val="3"/>
        </w:numPr>
        <w:tabs>
          <w:tab w:val="left" w:pos="0"/>
        </w:tabs>
        <w:spacing w:before="120" w:after="120"/>
        <w:ind w:left="-360" w:firstLine="0"/>
        <w:contextualSpacing w:val="0"/>
        <w:jc w:val="both"/>
        <w:rPr>
          <w:rFonts w:asciiTheme="minorHAnsi" w:hAnsiTheme="minorHAnsi" w:cstheme="minorHAnsi"/>
          <w:b/>
          <w:bCs/>
          <w:sz w:val="22"/>
          <w:szCs w:val="22"/>
        </w:rPr>
      </w:pPr>
      <w:r w:rsidRPr="0096250A">
        <w:rPr>
          <w:rFonts w:asciiTheme="minorHAnsi" w:hAnsiTheme="minorHAnsi" w:cstheme="minorHAnsi"/>
          <w:b/>
          <w:bCs/>
          <w:sz w:val="22"/>
          <w:szCs w:val="22"/>
        </w:rPr>
        <w:t xml:space="preserve">Financial Management Arrangements. </w:t>
      </w:r>
      <w:r w:rsidRPr="0096250A">
        <w:rPr>
          <w:rFonts w:asciiTheme="minorHAnsi" w:hAnsiTheme="minorHAnsi" w:cstheme="minorHAnsi"/>
          <w:sz w:val="22"/>
          <w:szCs w:val="22"/>
        </w:rPr>
        <w:t>The FM arrangements of the Program have been periodically assessed during the periodic FM implementation support and supervision missions (latest in December 2021) and found</w:t>
      </w:r>
      <w:r>
        <w:rPr>
          <w:rFonts w:asciiTheme="minorHAnsi" w:hAnsiTheme="minorHAnsi" w:cstheme="minorHAnsi"/>
          <w:sz w:val="22"/>
          <w:szCs w:val="22"/>
        </w:rPr>
        <w:t xml:space="preserve"> to be </w:t>
      </w:r>
      <w:r w:rsidRPr="0096250A">
        <w:rPr>
          <w:rFonts w:asciiTheme="minorHAnsi" w:hAnsiTheme="minorHAnsi" w:cstheme="minorHAnsi"/>
          <w:sz w:val="22"/>
          <w:szCs w:val="22"/>
        </w:rPr>
        <w:t xml:space="preserve">overall adequate for the Program implementation, including </w:t>
      </w:r>
      <w:r>
        <w:rPr>
          <w:rFonts w:asciiTheme="minorHAnsi" w:hAnsiTheme="minorHAnsi" w:cstheme="minorHAnsi"/>
          <w:sz w:val="22"/>
          <w:szCs w:val="22"/>
        </w:rPr>
        <w:t>the proposed AF</w:t>
      </w:r>
      <w:r w:rsidRPr="0096250A">
        <w:rPr>
          <w:rFonts w:asciiTheme="minorHAnsi" w:hAnsiTheme="minorHAnsi" w:cstheme="minorHAnsi"/>
          <w:sz w:val="22"/>
          <w:szCs w:val="22"/>
        </w:rPr>
        <w:t xml:space="preserve">. </w:t>
      </w:r>
    </w:p>
    <w:p w14:paraId="6E367EFB" w14:textId="03B3CFBD" w:rsidR="0096250A" w:rsidRPr="00E30B04" w:rsidRDefault="0096250A" w:rsidP="00875DBA">
      <w:pPr>
        <w:pStyle w:val="ListParagraph"/>
        <w:numPr>
          <w:ilvl w:val="0"/>
          <w:numId w:val="3"/>
        </w:numPr>
        <w:tabs>
          <w:tab w:val="left" w:pos="0"/>
        </w:tabs>
        <w:spacing w:before="120" w:after="120"/>
        <w:ind w:left="-360" w:firstLine="0"/>
        <w:contextualSpacing w:val="0"/>
        <w:jc w:val="both"/>
        <w:rPr>
          <w:rFonts w:asciiTheme="minorHAnsi" w:hAnsiTheme="minorHAnsi" w:cstheme="minorHAnsi"/>
          <w:sz w:val="22"/>
          <w:szCs w:val="22"/>
        </w:rPr>
      </w:pPr>
      <w:r w:rsidRPr="00E30B04">
        <w:rPr>
          <w:rFonts w:asciiTheme="minorHAnsi" w:hAnsiTheme="minorHAnsi" w:cstheme="minorHAnsi"/>
          <w:sz w:val="22"/>
          <w:szCs w:val="22"/>
        </w:rPr>
        <w:t xml:space="preserve">There will be no change in the Program’s Financial Management (FM) arrangements </w:t>
      </w:r>
      <w:proofErr w:type="gramStart"/>
      <w:r w:rsidRPr="00E30B04">
        <w:rPr>
          <w:rFonts w:asciiTheme="minorHAnsi" w:hAnsiTheme="minorHAnsi" w:cstheme="minorHAnsi"/>
          <w:sz w:val="22"/>
          <w:szCs w:val="22"/>
        </w:rPr>
        <w:t>as a result of</w:t>
      </w:r>
      <w:proofErr w:type="gramEnd"/>
      <w:r w:rsidRPr="00E30B04">
        <w:rPr>
          <w:rFonts w:asciiTheme="minorHAnsi" w:hAnsiTheme="minorHAnsi" w:cstheme="minorHAnsi"/>
          <w:sz w:val="22"/>
          <w:szCs w:val="22"/>
        </w:rPr>
        <w:t xml:space="preserve"> the </w:t>
      </w:r>
      <w:r>
        <w:rPr>
          <w:rFonts w:asciiTheme="minorHAnsi" w:hAnsiTheme="minorHAnsi" w:cstheme="minorHAnsi"/>
          <w:sz w:val="22"/>
          <w:szCs w:val="22"/>
        </w:rPr>
        <w:t>AF</w:t>
      </w:r>
      <w:r w:rsidRPr="00E30B04">
        <w:rPr>
          <w:rFonts w:asciiTheme="minorHAnsi" w:hAnsiTheme="minorHAnsi" w:cstheme="minorHAnsi"/>
          <w:sz w:val="22"/>
          <w:szCs w:val="22"/>
        </w:rPr>
        <w:t xml:space="preserve"> despite the unbundling of the </w:t>
      </w:r>
      <w:r>
        <w:rPr>
          <w:rFonts w:asciiTheme="minorHAnsi" w:hAnsiTheme="minorHAnsi" w:cstheme="minorHAnsi"/>
          <w:sz w:val="22"/>
          <w:szCs w:val="22"/>
        </w:rPr>
        <w:t xml:space="preserve">electricity </w:t>
      </w:r>
      <w:r w:rsidR="008B2E05">
        <w:rPr>
          <w:rFonts w:asciiTheme="minorHAnsi" w:hAnsiTheme="minorHAnsi" w:cstheme="minorHAnsi"/>
          <w:sz w:val="22"/>
          <w:szCs w:val="22"/>
        </w:rPr>
        <w:t>s</w:t>
      </w:r>
      <w:r w:rsidRPr="00E30B04">
        <w:rPr>
          <w:rFonts w:asciiTheme="minorHAnsi" w:hAnsiTheme="minorHAnsi" w:cstheme="minorHAnsi"/>
          <w:sz w:val="22"/>
          <w:szCs w:val="22"/>
        </w:rPr>
        <w:t>ector into legally independent electricity generation, transmission, and distribution companies. It was agreed that BT will stay the responsible entity for the program’s FM arrangements</w:t>
      </w:r>
      <w:r w:rsidR="00AE1DD1">
        <w:rPr>
          <w:rFonts w:asciiTheme="minorHAnsi" w:hAnsiTheme="minorHAnsi" w:cstheme="minorHAnsi"/>
          <w:sz w:val="22"/>
          <w:szCs w:val="22"/>
        </w:rPr>
        <w:t xml:space="preserve"> </w:t>
      </w:r>
      <w:r w:rsidRPr="00E30B04">
        <w:rPr>
          <w:rFonts w:asciiTheme="minorHAnsi" w:hAnsiTheme="minorHAnsi" w:cstheme="minorHAnsi"/>
          <w:sz w:val="22"/>
          <w:szCs w:val="22"/>
        </w:rPr>
        <w:t>and MEW</w:t>
      </w:r>
      <w:r w:rsidR="00AE1DD1">
        <w:rPr>
          <w:rFonts w:asciiTheme="minorHAnsi" w:hAnsiTheme="minorHAnsi" w:cstheme="minorHAnsi"/>
          <w:sz w:val="22"/>
          <w:szCs w:val="22"/>
        </w:rPr>
        <w:t>R will be responsible for coordination of the P</w:t>
      </w:r>
      <w:r w:rsidRPr="00E30B04">
        <w:rPr>
          <w:rFonts w:asciiTheme="minorHAnsi" w:hAnsiTheme="minorHAnsi" w:cstheme="minorHAnsi"/>
          <w:sz w:val="22"/>
          <w:szCs w:val="22"/>
        </w:rPr>
        <w:t xml:space="preserve">rogram FM arrangements </w:t>
      </w:r>
      <w:r w:rsidR="00AE1DD1">
        <w:rPr>
          <w:rFonts w:asciiTheme="minorHAnsi" w:hAnsiTheme="minorHAnsi" w:cstheme="minorHAnsi"/>
          <w:sz w:val="22"/>
          <w:szCs w:val="22"/>
        </w:rPr>
        <w:t xml:space="preserve">among BT, </w:t>
      </w:r>
      <w:r w:rsidRPr="00E30B04">
        <w:rPr>
          <w:rFonts w:asciiTheme="minorHAnsi" w:hAnsiTheme="minorHAnsi" w:cstheme="minorHAnsi"/>
          <w:sz w:val="22"/>
          <w:szCs w:val="22"/>
        </w:rPr>
        <w:t>SIB and S</w:t>
      </w:r>
      <w:r w:rsidR="00AE1DD1">
        <w:rPr>
          <w:rFonts w:asciiTheme="minorHAnsi" w:hAnsiTheme="minorHAnsi" w:cstheme="minorHAnsi"/>
          <w:sz w:val="22"/>
          <w:szCs w:val="22"/>
        </w:rPr>
        <w:t>TB.</w:t>
      </w:r>
    </w:p>
    <w:p w14:paraId="3BB2481D" w14:textId="66F46817" w:rsidR="0096250A" w:rsidRDefault="0096250A" w:rsidP="00875DBA">
      <w:pPr>
        <w:pStyle w:val="ListParagraph"/>
        <w:numPr>
          <w:ilvl w:val="0"/>
          <w:numId w:val="3"/>
        </w:numPr>
        <w:tabs>
          <w:tab w:val="left" w:pos="0"/>
        </w:tabs>
        <w:spacing w:before="120" w:after="120"/>
        <w:ind w:left="-360" w:firstLine="0"/>
        <w:contextualSpacing w:val="0"/>
        <w:jc w:val="both"/>
        <w:rPr>
          <w:rFonts w:asciiTheme="minorHAnsi" w:hAnsiTheme="minorHAnsi" w:cstheme="minorHAnsi"/>
          <w:sz w:val="22"/>
          <w:szCs w:val="22"/>
        </w:rPr>
      </w:pPr>
      <w:r>
        <w:rPr>
          <w:rFonts w:asciiTheme="minorHAnsi" w:hAnsiTheme="minorHAnsi" w:cstheme="minorHAnsi"/>
          <w:sz w:val="22"/>
          <w:szCs w:val="22"/>
        </w:rPr>
        <w:t>Overall, there is</w:t>
      </w:r>
      <w:r w:rsidRPr="00E30B04">
        <w:rPr>
          <w:rFonts w:asciiTheme="minorHAnsi" w:hAnsiTheme="minorHAnsi" w:cstheme="minorHAnsi"/>
          <w:sz w:val="22"/>
          <w:szCs w:val="22"/>
        </w:rPr>
        <w:t xml:space="preserve"> adequate planning and budgeting as well as accounting and financial reporting capacity at BT, SIB and STB for the </w:t>
      </w:r>
      <w:r>
        <w:rPr>
          <w:rFonts w:asciiTheme="minorHAnsi" w:hAnsiTheme="minorHAnsi" w:cstheme="minorHAnsi"/>
          <w:sz w:val="22"/>
          <w:szCs w:val="22"/>
        </w:rPr>
        <w:t>P</w:t>
      </w:r>
      <w:r w:rsidRPr="00E30B04">
        <w:rPr>
          <w:rFonts w:asciiTheme="minorHAnsi" w:hAnsiTheme="minorHAnsi" w:cstheme="minorHAnsi"/>
          <w:sz w:val="22"/>
          <w:szCs w:val="22"/>
        </w:rPr>
        <w:t>rogram implementation, which however needs to be enhanced. As it was agreed during the Program FM assessment (one of the FM actions in the parent Program’s PAP)</w:t>
      </w:r>
      <w:r>
        <w:rPr>
          <w:rFonts w:asciiTheme="minorHAnsi" w:hAnsiTheme="minorHAnsi" w:cstheme="minorHAnsi"/>
          <w:sz w:val="22"/>
          <w:szCs w:val="22"/>
        </w:rPr>
        <w:t xml:space="preserve"> during preparation of the parent project</w:t>
      </w:r>
      <w:r w:rsidRPr="00E30B04">
        <w:rPr>
          <w:rFonts w:asciiTheme="minorHAnsi" w:hAnsiTheme="minorHAnsi" w:cstheme="minorHAnsi"/>
          <w:sz w:val="22"/>
          <w:szCs w:val="22"/>
        </w:rPr>
        <w:t>, BT prepared a capacity building and training plan, acceptable to the Bank, which includes the capacity enhancement in international accounting/financial reporting standards/auditing standards as well as in budgeting for the staff of all three entities. The capacity building plan is expected to contribute to the three entities’ financial reporting capacity. The Bank will monitor the implementation of the plan.</w:t>
      </w:r>
    </w:p>
    <w:p w14:paraId="494A2DAB" w14:textId="1BDAA0DD" w:rsidR="00B52CC6" w:rsidRDefault="00B52CC6" w:rsidP="00B52CC6">
      <w:pPr>
        <w:tabs>
          <w:tab w:val="left" w:pos="0"/>
        </w:tabs>
        <w:spacing w:before="120" w:after="120"/>
        <w:jc w:val="both"/>
        <w:rPr>
          <w:rFonts w:asciiTheme="minorHAnsi" w:hAnsiTheme="minorHAnsi" w:cstheme="minorHAnsi"/>
          <w:sz w:val="22"/>
          <w:szCs w:val="22"/>
        </w:rPr>
      </w:pPr>
    </w:p>
    <w:p w14:paraId="2D5A0F22" w14:textId="6D628179" w:rsidR="00B52CC6" w:rsidRDefault="00B52CC6" w:rsidP="00B52CC6">
      <w:pPr>
        <w:tabs>
          <w:tab w:val="left" w:pos="0"/>
        </w:tabs>
        <w:spacing w:before="120" w:after="120"/>
        <w:jc w:val="both"/>
        <w:rPr>
          <w:rFonts w:asciiTheme="minorHAnsi" w:hAnsiTheme="minorHAnsi" w:cstheme="minorHAnsi"/>
          <w:sz w:val="22"/>
          <w:szCs w:val="22"/>
        </w:rPr>
      </w:pPr>
    </w:p>
    <w:p w14:paraId="770E024E" w14:textId="08074DDD" w:rsidR="00B52CC6" w:rsidRDefault="00B52CC6" w:rsidP="00B52CC6">
      <w:pPr>
        <w:tabs>
          <w:tab w:val="left" w:pos="0"/>
        </w:tabs>
        <w:spacing w:before="120" w:after="120"/>
        <w:jc w:val="both"/>
        <w:rPr>
          <w:rFonts w:asciiTheme="minorHAnsi" w:hAnsiTheme="minorHAnsi" w:cstheme="minorHAnsi"/>
          <w:sz w:val="22"/>
          <w:szCs w:val="22"/>
        </w:rPr>
      </w:pPr>
    </w:p>
    <w:p w14:paraId="1B42C751" w14:textId="779E1A38" w:rsidR="00B52CC6" w:rsidRDefault="00B52CC6" w:rsidP="00B52CC6">
      <w:pPr>
        <w:tabs>
          <w:tab w:val="left" w:pos="0"/>
        </w:tabs>
        <w:spacing w:before="120" w:after="120"/>
        <w:jc w:val="both"/>
        <w:rPr>
          <w:rFonts w:asciiTheme="minorHAnsi" w:hAnsiTheme="minorHAnsi" w:cstheme="minorHAnsi"/>
          <w:sz w:val="22"/>
          <w:szCs w:val="22"/>
        </w:rPr>
      </w:pPr>
    </w:p>
    <w:p w14:paraId="0760DD12" w14:textId="4A71CAEE" w:rsidR="00B52CC6" w:rsidRDefault="00B52CC6" w:rsidP="00B52CC6">
      <w:pPr>
        <w:tabs>
          <w:tab w:val="left" w:pos="0"/>
        </w:tabs>
        <w:spacing w:before="120" w:after="120"/>
        <w:jc w:val="both"/>
        <w:rPr>
          <w:rFonts w:asciiTheme="minorHAnsi" w:hAnsiTheme="minorHAnsi" w:cstheme="minorHAnsi"/>
          <w:sz w:val="22"/>
          <w:szCs w:val="22"/>
        </w:rPr>
      </w:pPr>
    </w:p>
    <w:p w14:paraId="0A82EDF2" w14:textId="77777777" w:rsidR="00B52CC6" w:rsidRPr="00B52CC6" w:rsidRDefault="00B52CC6" w:rsidP="00B52CC6">
      <w:pPr>
        <w:tabs>
          <w:tab w:val="left" w:pos="0"/>
        </w:tabs>
        <w:spacing w:before="120" w:after="120"/>
        <w:jc w:val="both"/>
        <w:rPr>
          <w:rFonts w:asciiTheme="minorHAnsi" w:hAnsiTheme="minorHAnsi" w:cstheme="minorHAnsi"/>
          <w:sz w:val="22"/>
          <w:szCs w:val="22"/>
        </w:rPr>
      </w:pPr>
    </w:p>
    <w:p w14:paraId="41854DC9" w14:textId="7AB8DDE0" w:rsidR="0096250A" w:rsidRPr="001A34A8" w:rsidRDefault="001A34A8" w:rsidP="001A34A8">
      <w:pPr>
        <w:pStyle w:val="Caption"/>
        <w:spacing w:after="0"/>
        <w:ind w:left="-360"/>
        <w:rPr>
          <w:b/>
          <w:bCs/>
          <w:i w:val="0"/>
          <w:iCs w:val="0"/>
          <w:color w:val="auto"/>
          <w:sz w:val="22"/>
          <w:szCs w:val="22"/>
        </w:rPr>
      </w:pPr>
      <w:r w:rsidRPr="001A34A8">
        <w:rPr>
          <w:b/>
          <w:bCs/>
          <w:i w:val="0"/>
          <w:iCs w:val="0"/>
          <w:color w:val="auto"/>
          <w:sz w:val="22"/>
          <w:szCs w:val="22"/>
        </w:rPr>
        <w:lastRenderedPageBreak/>
        <w:t xml:space="preserve">Table </w:t>
      </w:r>
      <w:r w:rsidRPr="001A34A8">
        <w:rPr>
          <w:b/>
          <w:bCs/>
          <w:i w:val="0"/>
          <w:iCs w:val="0"/>
          <w:color w:val="auto"/>
          <w:sz w:val="22"/>
          <w:szCs w:val="22"/>
        </w:rPr>
        <w:fldChar w:fldCharType="begin"/>
      </w:r>
      <w:r w:rsidRPr="001A34A8">
        <w:rPr>
          <w:b/>
          <w:bCs/>
          <w:i w:val="0"/>
          <w:iCs w:val="0"/>
          <w:color w:val="auto"/>
          <w:sz w:val="22"/>
          <w:szCs w:val="22"/>
        </w:rPr>
        <w:instrText xml:space="preserve"> SEQ Table \* ARABIC </w:instrText>
      </w:r>
      <w:r w:rsidRPr="001A34A8">
        <w:rPr>
          <w:b/>
          <w:bCs/>
          <w:i w:val="0"/>
          <w:iCs w:val="0"/>
          <w:color w:val="auto"/>
          <w:sz w:val="22"/>
          <w:szCs w:val="22"/>
        </w:rPr>
        <w:fldChar w:fldCharType="separate"/>
      </w:r>
      <w:r w:rsidR="00875DBA">
        <w:rPr>
          <w:b/>
          <w:bCs/>
          <w:i w:val="0"/>
          <w:iCs w:val="0"/>
          <w:noProof/>
          <w:color w:val="auto"/>
          <w:sz w:val="22"/>
          <w:szCs w:val="22"/>
        </w:rPr>
        <w:t>13</w:t>
      </w:r>
      <w:r w:rsidRPr="001A34A8">
        <w:rPr>
          <w:b/>
          <w:bCs/>
          <w:i w:val="0"/>
          <w:iCs w:val="0"/>
          <w:color w:val="auto"/>
          <w:sz w:val="22"/>
          <w:szCs w:val="22"/>
        </w:rPr>
        <w:fldChar w:fldCharType="end"/>
      </w:r>
      <w:r w:rsidRPr="001A34A8">
        <w:rPr>
          <w:b/>
          <w:bCs/>
          <w:i w:val="0"/>
          <w:iCs w:val="0"/>
          <w:color w:val="auto"/>
          <w:sz w:val="22"/>
          <w:szCs w:val="22"/>
        </w:rPr>
        <w:t xml:space="preserve">:  </w:t>
      </w:r>
      <w:r w:rsidRPr="001A34A8">
        <w:rPr>
          <w:rFonts w:cstheme="minorHAnsi"/>
          <w:b/>
          <w:bCs/>
          <w:i w:val="0"/>
          <w:iCs w:val="0"/>
          <w:color w:val="auto"/>
          <w:sz w:val="22"/>
          <w:szCs w:val="22"/>
        </w:rPr>
        <w:t>I</w:t>
      </w:r>
      <w:r w:rsidR="0096250A" w:rsidRPr="001A34A8">
        <w:rPr>
          <w:rFonts w:cstheme="minorHAnsi"/>
          <w:b/>
          <w:bCs/>
          <w:i w:val="0"/>
          <w:iCs w:val="0"/>
          <w:color w:val="auto"/>
          <w:sz w:val="22"/>
          <w:szCs w:val="22"/>
        </w:rPr>
        <w:t xml:space="preserve">mplementation </w:t>
      </w:r>
      <w:r w:rsidRPr="001A34A8">
        <w:rPr>
          <w:rFonts w:cstheme="minorHAnsi"/>
          <w:b/>
          <w:bCs/>
          <w:i w:val="0"/>
          <w:iCs w:val="0"/>
          <w:color w:val="auto"/>
          <w:sz w:val="22"/>
          <w:szCs w:val="22"/>
        </w:rPr>
        <w:t>S</w:t>
      </w:r>
      <w:r w:rsidR="0096250A" w:rsidRPr="001A34A8">
        <w:rPr>
          <w:rFonts w:cstheme="minorHAnsi"/>
          <w:b/>
          <w:bCs/>
          <w:i w:val="0"/>
          <w:iCs w:val="0"/>
          <w:color w:val="auto"/>
          <w:sz w:val="22"/>
          <w:szCs w:val="22"/>
        </w:rPr>
        <w:t xml:space="preserve">tatus of the Program’s FM </w:t>
      </w:r>
      <w:r w:rsidRPr="001A34A8">
        <w:rPr>
          <w:rFonts w:cstheme="minorHAnsi"/>
          <w:b/>
          <w:bCs/>
          <w:i w:val="0"/>
          <w:iCs w:val="0"/>
          <w:color w:val="auto"/>
          <w:sz w:val="22"/>
          <w:szCs w:val="22"/>
        </w:rPr>
        <w:t>A</w:t>
      </w:r>
      <w:r w:rsidR="0096250A" w:rsidRPr="001A34A8">
        <w:rPr>
          <w:rFonts w:cstheme="minorHAnsi"/>
          <w:b/>
          <w:bCs/>
          <w:i w:val="0"/>
          <w:iCs w:val="0"/>
          <w:color w:val="auto"/>
          <w:sz w:val="22"/>
          <w:szCs w:val="22"/>
        </w:rPr>
        <w:t xml:space="preserve">ctions </w:t>
      </w:r>
    </w:p>
    <w:tbl>
      <w:tblPr>
        <w:tblW w:w="97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44" w:type="dxa"/>
        </w:tblCellMar>
        <w:tblLook w:val="04A0" w:firstRow="1" w:lastRow="0" w:firstColumn="1" w:lastColumn="0" w:noHBand="0" w:noVBand="1"/>
      </w:tblPr>
      <w:tblGrid>
        <w:gridCol w:w="3240"/>
        <w:gridCol w:w="6480"/>
      </w:tblGrid>
      <w:tr w:rsidR="0096250A" w:rsidRPr="003F2F3B" w14:paraId="1F6E5D6A" w14:textId="77777777" w:rsidTr="001A34A8">
        <w:trPr>
          <w:trHeight w:val="323"/>
          <w:tblHeader/>
        </w:trPr>
        <w:tc>
          <w:tcPr>
            <w:tcW w:w="3240" w:type="dxa"/>
            <w:shd w:val="clear" w:color="auto" w:fill="D9D9D9" w:themeFill="background1" w:themeFillShade="D9"/>
          </w:tcPr>
          <w:p w14:paraId="3205FC46" w14:textId="77777777" w:rsidR="0096250A" w:rsidRPr="003F2F3B" w:rsidRDefault="0096250A" w:rsidP="00FB42CB">
            <w:pPr>
              <w:pStyle w:val="Normal314"/>
              <w:rPr>
                <w:rFonts w:asciiTheme="minorHAnsi" w:hAnsiTheme="minorHAnsi" w:cstheme="minorHAnsi"/>
                <w:b/>
                <w:color w:val="auto"/>
                <w:sz w:val="20"/>
                <w:szCs w:val="20"/>
              </w:rPr>
            </w:pPr>
            <w:r w:rsidRPr="003F2F3B">
              <w:rPr>
                <w:rFonts w:asciiTheme="minorHAnsi" w:hAnsiTheme="minorHAnsi" w:cstheme="minorHAnsi"/>
                <w:b/>
                <w:color w:val="auto"/>
                <w:sz w:val="20"/>
                <w:szCs w:val="20"/>
              </w:rPr>
              <w:t>Financial Management</w:t>
            </w:r>
          </w:p>
        </w:tc>
        <w:tc>
          <w:tcPr>
            <w:tcW w:w="6480" w:type="dxa"/>
            <w:shd w:val="clear" w:color="auto" w:fill="D9D9D9" w:themeFill="background1" w:themeFillShade="D9"/>
          </w:tcPr>
          <w:p w14:paraId="2AABE49E" w14:textId="62CF2B5B" w:rsidR="0096250A" w:rsidRPr="003F2F3B" w:rsidRDefault="001A34A8" w:rsidP="00FB42CB">
            <w:pPr>
              <w:pStyle w:val="Normal314"/>
              <w:ind w:left="-29" w:right="-149"/>
              <w:rPr>
                <w:rFonts w:asciiTheme="minorHAnsi" w:hAnsiTheme="minorHAnsi" w:cstheme="minorHAnsi"/>
                <w:b/>
                <w:color w:val="auto"/>
                <w:sz w:val="20"/>
                <w:szCs w:val="20"/>
              </w:rPr>
            </w:pPr>
            <w:r w:rsidRPr="003F2F3B">
              <w:rPr>
                <w:rFonts w:asciiTheme="minorHAnsi" w:hAnsiTheme="minorHAnsi" w:cstheme="minorHAnsi"/>
                <w:b/>
                <w:color w:val="auto"/>
                <w:sz w:val="20"/>
                <w:szCs w:val="20"/>
              </w:rPr>
              <w:t>Implementation Status</w:t>
            </w:r>
          </w:p>
        </w:tc>
      </w:tr>
      <w:tr w:rsidR="0096250A" w:rsidRPr="00CC4D7D" w14:paraId="1988C1AD" w14:textId="77777777" w:rsidTr="00FB42CB">
        <w:trPr>
          <w:trHeight w:val="532"/>
        </w:trPr>
        <w:tc>
          <w:tcPr>
            <w:tcW w:w="3240" w:type="dxa"/>
            <w:shd w:val="clear" w:color="auto" w:fill="auto"/>
          </w:tcPr>
          <w:p w14:paraId="68026114" w14:textId="77777777" w:rsidR="0096250A" w:rsidRPr="00FD6DA6" w:rsidRDefault="0096250A" w:rsidP="00FB42CB">
            <w:pPr>
              <w:pStyle w:val="Normal314"/>
              <w:rPr>
                <w:rFonts w:asciiTheme="minorHAnsi" w:hAnsiTheme="minorHAnsi" w:cstheme="minorHAnsi"/>
                <w:color w:val="auto"/>
                <w:sz w:val="20"/>
                <w:szCs w:val="20"/>
              </w:rPr>
            </w:pPr>
            <w:r w:rsidRPr="00FD6DA6">
              <w:rPr>
                <w:rFonts w:asciiTheme="minorHAnsi" w:hAnsiTheme="minorHAnsi" w:cstheme="minorHAnsi"/>
                <w:iCs/>
                <w:sz w:val="20"/>
                <w:szCs w:val="20"/>
              </w:rPr>
              <w:t>H</w:t>
            </w:r>
            <w:r w:rsidRPr="00FD6DA6">
              <w:rPr>
                <w:rFonts w:asciiTheme="minorHAnsi" w:hAnsiTheme="minorHAnsi" w:cstheme="minorHAnsi"/>
                <w:sz w:val="20"/>
                <w:szCs w:val="20"/>
              </w:rPr>
              <w:t>ire two additional internal audit staff for BT.</w:t>
            </w:r>
          </w:p>
        </w:tc>
        <w:tc>
          <w:tcPr>
            <w:tcW w:w="6480" w:type="dxa"/>
            <w:shd w:val="clear" w:color="auto" w:fill="auto"/>
          </w:tcPr>
          <w:p w14:paraId="3E533799" w14:textId="77777777" w:rsidR="0096250A" w:rsidRPr="00FD6DA6" w:rsidRDefault="0096250A" w:rsidP="00FB42CB">
            <w:pPr>
              <w:pStyle w:val="Normal314"/>
              <w:ind w:left="-29"/>
              <w:jc w:val="both"/>
              <w:rPr>
                <w:rFonts w:asciiTheme="minorHAnsi" w:hAnsiTheme="minorHAnsi" w:cstheme="minorHAnsi"/>
                <w:color w:val="auto"/>
                <w:sz w:val="20"/>
                <w:szCs w:val="20"/>
              </w:rPr>
            </w:pPr>
            <w:r w:rsidRPr="00FD6DA6">
              <w:rPr>
                <w:rFonts w:asciiTheme="minorHAnsi" w:hAnsiTheme="minorHAnsi" w:cstheme="minorHAnsi"/>
                <w:color w:val="auto"/>
                <w:sz w:val="20"/>
                <w:szCs w:val="20"/>
              </w:rPr>
              <w:t xml:space="preserve">BT hired the additional two internal auditors, as agreed with the Bank, and by the time of unbundling of BT into three separate entities, it had 5 internal auditors. Meanwhile, due to entity reorganization, and staff changes, currently there are 3 internal auditors, one per each at BT (with another vacant position), SIB and STD (with one more vacant position). It is agreed that BT and STD will fill in the vacant positions, which will result in having 5 internal auditors, as was originally </w:t>
            </w:r>
            <w:proofErr w:type="gramStart"/>
            <w:r w:rsidRPr="00FD6DA6">
              <w:rPr>
                <w:rFonts w:asciiTheme="minorHAnsi" w:hAnsiTheme="minorHAnsi" w:cstheme="minorHAnsi"/>
                <w:color w:val="auto"/>
                <w:sz w:val="20"/>
                <w:szCs w:val="20"/>
              </w:rPr>
              <w:t>agreed</w:t>
            </w:r>
            <w:proofErr w:type="gramEnd"/>
            <w:r w:rsidRPr="00FD6DA6">
              <w:rPr>
                <w:rFonts w:asciiTheme="minorHAnsi" w:hAnsiTheme="minorHAnsi" w:cstheme="minorHAnsi"/>
                <w:color w:val="auto"/>
                <w:sz w:val="20"/>
                <w:szCs w:val="20"/>
              </w:rPr>
              <w:t xml:space="preserve"> and implemented.</w:t>
            </w:r>
          </w:p>
        </w:tc>
      </w:tr>
      <w:tr w:rsidR="0096250A" w:rsidRPr="00CC4D7D" w14:paraId="5BC645AE" w14:textId="77777777" w:rsidTr="00FB42CB">
        <w:trPr>
          <w:trHeight w:val="532"/>
        </w:trPr>
        <w:tc>
          <w:tcPr>
            <w:tcW w:w="3240" w:type="dxa"/>
            <w:shd w:val="clear" w:color="auto" w:fill="auto"/>
          </w:tcPr>
          <w:p w14:paraId="2E7ABC33" w14:textId="77777777" w:rsidR="0096250A" w:rsidRPr="00FD6DA6" w:rsidRDefault="0096250A" w:rsidP="00FB42CB">
            <w:pPr>
              <w:pStyle w:val="Normal314"/>
              <w:rPr>
                <w:rFonts w:asciiTheme="minorHAnsi" w:hAnsiTheme="minorHAnsi" w:cstheme="minorHAnsi"/>
                <w:iCs/>
                <w:sz w:val="20"/>
                <w:szCs w:val="20"/>
              </w:rPr>
            </w:pPr>
            <w:r w:rsidRPr="00FD6DA6">
              <w:rPr>
                <w:rFonts w:asciiTheme="minorHAnsi" w:hAnsiTheme="minorHAnsi" w:cstheme="minorHAnsi"/>
                <w:iCs/>
                <w:sz w:val="20"/>
                <w:szCs w:val="20"/>
              </w:rPr>
              <w:t>Internal audit staff does not have the required certification.</w:t>
            </w:r>
          </w:p>
        </w:tc>
        <w:tc>
          <w:tcPr>
            <w:tcW w:w="6480" w:type="dxa"/>
            <w:shd w:val="clear" w:color="auto" w:fill="auto"/>
          </w:tcPr>
          <w:p w14:paraId="3592CCC4" w14:textId="77777777" w:rsidR="0096250A" w:rsidRPr="00FD6DA6" w:rsidRDefault="0096250A" w:rsidP="00FB42CB">
            <w:pPr>
              <w:pStyle w:val="Normal314"/>
              <w:ind w:left="-29"/>
              <w:jc w:val="both"/>
              <w:rPr>
                <w:rFonts w:asciiTheme="minorHAnsi" w:hAnsiTheme="minorHAnsi" w:cstheme="minorHAnsi"/>
                <w:color w:val="auto"/>
                <w:sz w:val="20"/>
                <w:szCs w:val="20"/>
              </w:rPr>
            </w:pPr>
            <w:r w:rsidRPr="00FD6DA6">
              <w:rPr>
                <w:rFonts w:asciiTheme="minorHAnsi" w:hAnsiTheme="minorHAnsi" w:cstheme="minorHAnsi"/>
                <w:color w:val="auto"/>
                <w:sz w:val="20"/>
                <w:szCs w:val="20"/>
              </w:rPr>
              <w:t xml:space="preserve">The originally agreed deadline for this action was </w:t>
            </w:r>
            <w:r w:rsidRPr="00FD6DA6">
              <w:rPr>
                <w:rFonts w:asciiTheme="minorHAnsi" w:hAnsiTheme="minorHAnsi" w:cstheme="minorHAnsi"/>
                <w:sz w:val="20"/>
                <w:szCs w:val="20"/>
              </w:rPr>
              <w:t xml:space="preserve">set as within one year after the parent </w:t>
            </w:r>
            <w:r w:rsidRPr="00FD6DA6">
              <w:rPr>
                <w:rFonts w:asciiTheme="minorHAnsi" w:hAnsiTheme="minorHAnsi" w:cstheme="minorHAnsi"/>
                <w:color w:val="auto"/>
                <w:sz w:val="20"/>
                <w:szCs w:val="20"/>
              </w:rPr>
              <w:t>Program</w:t>
            </w:r>
            <w:r w:rsidRPr="00FD6DA6">
              <w:rPr>
                <w:rFonts w:asciiTheme="minorHAnsi" w:hAnsiTheme="minorHAnsi" w:cstheme="minorHAnsi"/>
                <w:sz w:val="20"/>
                <w:szCs w:val="20"/>
              </w:rPr>
              <w:t xml:space="preserve"> effectiveness. Meanwhile, it was agreed to shift the deadline to December 31, 2022, due to Covid as well as reorganization and staff changes at BT. </w:t>
            </w:r>
          </w:p>
        </w:tc>
      </w:tr>
      <w:tr w:rsidR="0096250A" w:rsidRPr="00CC4D7D" w14:paraId="0B724340" w14:textId="77777777" w:rsidTr="00FB42CB">
        <w:trPr>
          <w:trHeight w:val="532"/>
        </w:trPr>
        <w:tc>
          <w:tcPr>
            <w:tcW w:w="3240" w:type="dxa"/>
            <w:shd w:val="clear" w:color="auto" w:fill="auto"/>
          </w:tcPr>
          <w:p w14:paraId="606C132E" w14:textId="77777777" w:rsidR="0096250A" w:rsidRPr="00FD6DA6" w:rsidRDefault="0096250A" w:rsidP="00FB42CB">
            <w:pPr>
              <w:pStyle w:val="Normal314"/>
              <w:rPr>
                <w:rFonts w:asciiTheme="minorHAnsi" w:hAnsiTheme="minorHAnsi" w:cstheme="minorHAnsi"/>
                <w:bCs/>
                <w:color w:val="auto"/>
                <w:sz w:val="20"/>
                <w:szCs w:val="20"/>
              </w:rPr>
            </w:pPr>
            <w:r w:rsidRPr="00FD6DA6">
              <w:rPr>
                <w:rFonts w:asciiTheme="minorHAnsi" w:hAnsiTheme="minorHAnsi" w:cstheme="minorHAnsi"/>
                <w:color w:val="auto"/>
                <w:sz w:val="20"/>
                <w:szCs w:val="20"/>
              </w:rPr>
              <w:t>Cost of BT debt from MOF is not reflective of the cost of funds for the Republic of Tajikistan.</w:t>
            </w:r>
          </w:p>
        </w:tc>
        <w:tc>
          <w:tcPr>
            <w:tcW w:w="6480" w:type="dxa"/>
            <w:shd w:val="clear" w:color="auto" w:fill="auto"/>
          </w:tcPr>
          <w:p w14:paraId="2D28A5ED" w14:textId="77777777" w:rsidR="0096250A" w:rsidRPr="00FD6DA6" w:rsidRDefault="0096250A" w:rsidP="00FB42CB">
            <w:pPr>
              <w:pStyle w:val="Normal314"/>
              <w:ind w:left="-29"/>
              <w:jc w:val="both"/>
              <w:rPr>
                <w:rFonts w:asciiTheme="minorHAnsi" w:hAnsiTheme="minorHAnsi" w:cstheme="minorHAnsi"/>
                <w:bCs/>
                <w:color w:val="auto"/>
                <w:sz w:val="20"/>
                <w:szCs w:val="20"/>
              </w:rPr>
            </w:pPr>
            <w:r w:rsidRPr="00FD6DA6">
              <w:rPr>
                <w:rFonts w:asciiTheme="minorHAnsi" w:hAnsiTheme="minorHAnsi" w:cstheme="minorHAnsi"/>
                <w:color w:val="auto"/>
                <w:sz w:val="20"/>
                <w:szCs w:val="20"/>
              </w:rPr>
              <w:t>The MOF and BT have already started the process. This action is one of the Program DLIs (DLI 2), and as of the assessment date the DLRs 2.1-2.5 have been implemented, with DLRs 2.6-2.9 still to be fully achieved.</w:t>
            </w:r>
          </w:p>
        </w:tc>
      </w:tr>
      <w:tr w:rsidR="0096250A" w:rsidRPr="00CC4D7D" w14:paraId="2A6366A8" w14:textId="77777777" w:rsidTr="00FB42CB">
        <w:trPr>
          <w:trHeight w:val="532"/>
        </w:trPr>
        <w:tc>
          <w:tcPr>
            <w:tcW w:w="3240" w:type="dxa"/>
            <w:shd w:val="clear" w:color="auto" w:fill="auto"/>
          </w:tcPr>
          <w:p w14:paraId="398AB309" w14:textId="77777777" w:rsidR="0096250A" w:rsidRPr="00FD6DA6" w:rsidRDefault="0096250A" w:rsidP="00FB42CB">
            <w:pPr>
              <w:pStyle w:val="Normal314"/>
              <w:rPr>
                <w:rFonts w:asciiTheme="minorHAnsi" w:hAnsiTheme="minorHAnsi" w:cstheme="minorHAnsi"/>
                <w:b/>
                <w:bCs/>
                <w:color w:val="auto"/>
                <w:sz w:val="20"/>
                <w:szCs w:val="20"/>
              </w:rPr>
            </w:pPr>
            <w:r w:rsidRPr="00FD6DA6">
              <w:rPr>
                <w:rFonts w:asciiTheme="minorHAnsi" w:hAnsiTheme="minorHAnsi" w:cstheme="minorHAnsi"/>
                <w:color w:val="auto"/>
                <w:sz w:val="20"/>
                <w:szCs w:val="20"/>
              </w:rPr>
              <w:t>Inefficient corporate governance of BT.</w:t>
            </w:r>
          </w:p>
        </w:tc>
        <w:tc>
          <w:tcPr>
            <w:tcW w:w="6480" w:type="dxa"/>
            <w:shd w:val="clear" w:color="auto" w:fill="auto"/>
          </w:tcPr>
          <w:p w14:paraId="1903305F" w14:textId="77777777" w:rsidR="0096250A" w:rsidRPr="00FD6DA6" w:rsidRDefault="0096250A" w:rsidP="00FB42CB">
            <w:pPr>
              <w:pStyle w:val="Normal314"/>
              <w:ind w:left="-29"/>
              <w:jc w:val="both"/>
              <w:rPr>
                <w:rFonts w:asciiTheme="minorHAnsi" w:hAnsiTheme="minorHAnsi" w:cstheme="minorHAnsi"/>
                <w:bCs/>
                <w:color w:val="auto"/>
                <w:sz w:val="20"/>
                <w:szCs w:val="20"/>
              </w:rPr>
            </w:pPr>
            <w:r w:rsidRPr="00FD6DA6">
              <w:rPr>
                <w:rFonts w:asciiTheme="minorHAnsi" w:hAnsiTheme="minorHAnsi" w:cstheme="minorHAnsi"/>
                <w:color w:val="auto"/>
                <w:sz w:val="20"/>
                <w:szCs w:val="20"/>
              </w:rPr>
              <w:t>This action is one of the Program DLIs (DLI 8), and as of the AF assessment date none of the DLRs have yet been achieved.</w:t>
            </w:r>
          </w:p>
        </w:tc>
      </w:tr>
      <w:tr w:rsidR="0096250A" w:rsidRPr="00CC4D7D" w14:paraId="6C2AA596" w14:textId="77777777" w:rsidTr="00FB42CB">
        <w:trPr>
          <w:trHeight w:val="532"/>
        </w:trPr>
        <w:tc>
          <w:tcPr>
            <w:tcW w:w="3240" w:type="dxa"/>
            <w:shd w:val="clear" w:color="auto" w:fill="auto"/>
          </w:tcPr>
          <w:p w14:paraId="42661312" w14:textId="77777777" w:rsidR="0096250A" w:rsidRPr="00FD6DA6" w:rsidRDefault="0096250A" w:rsidP="00FB42CB">
            <w:pPr>
              <w:pStyle w:val="Normal314"/>
              <w:rPr>
                <w:rFonts w:asciiTheme="minorHAnsi" w:hAnsiTheme="minorHAnsi" w:cstheme="minorHAnsi"/>
                <w:b/>
                <w:bCs/>
                <w:color w:val="auto"/>
                <w:sz w:val="20"/>
                <w:szCs w:val="20"/>
              </w:rPr>
            </w:pPr>
            <w:r w:rsidRPr="00FD6DA6">
              <w:rPr>
                <w:rFonts w:asciiTheme="minorHAnsi" w:hAnsiTheme="minorHAnsi" w:cstheme="minorHAnsi"/>
                <w:color w:val="auto"/>
                <w:sz w:val="20"/>
                <w:szCs w:val="20"/>
              </w:rPr>
              <w:t xml:space="preserve">Weak capacity of financial management, </w:t>
            </w:r>
            <w:proofErr w:type="gramStart"/>
            <w:r w:rsidRPr="00FD6DA6">
              <w:rPr>
                <w:rFonts w:asciiTheme="minorHAnsi" w:hAnsiTheme="minorHAnsi" w:cstheme="minorHAnsi"/>
                <w:color w:val="auto"/>
                <w:sz w:val="20"/>
                <w:szCs w:val="20"/>
              </w:rPr>
              <w:t>accounting</w:t>
            </w:r>
            <w:proofErr w:type="gramEnd"/>
            <w:r w:rsidRPr="00FD6DA6">
              <w:rPr>
                <w:rFonts w:asciiTheme="minorHAnsi" w:hAnsiTheme="minorHAnsi" w:cstheme="minorHAnsi"/>
                <w:color w:val="auto"/>
                <w:sz w:val="20"/>
                <w:szCs w:val="20"/>
              </w:rPr>
              <w:t xml:space="preserve"> and internal audit staff.</w:t>
            </w:r>
          </w:p>
        </w:tc>
        <w:tc>
          <w:tcPr>
            <w:tcW w:w="6480" w:type="dxa"/>
            <w:shd w:val="clear" w:color="auto" w:fill="auto"/>
          </w:tcPr>
          <w:p w14:paraId="60F683C9" w14:textId="77777777" w:rsidR="0096250A" w:rsidRPr="00FD6DA6" w:rsidRDefault="0096250A" w:rsidP="00FB42CB">
            <w:pPr>
              <w:pStyle w:val="Normal314"/>
              <w:ind w:left="-29"/>
              <w:jc w:val="both"/>
              <w:rPr>
                <w:rFonts w:asciiTheme="minorHAnsi" w:hAnsiTheme="minorHAnsi" w:cstheme="minorHAnsi"/>
                <w:sz w:val="20"/>
                <w:szCs w:val="20"/>
              </w:rPr>
            </w:pPr>
            <w:r w:rsidRPr="00FD6DA6">
              <w:rPr>
                <w:rFonts w:asciiTheme="minorHAnsi" w:hAnsiTheme="minorHAnsi" w:cstheme="minorHAnsi"/>
                <w:color w:val="auto"/>
                <w:sz w:val="20"/>
                <w:szCs w:val="20"/>
              </w:rPr>
              <w:t>BT has developed a capacity building and training plan, which was agreed with the Bank. The plan includes specific training activities focused on planning, accounting, financial reporting, internal audit, and covers BT, SIB and STD relevant staff. The Bank will monitor the implementation of the plan.</w:t>
            </w:r>
          </w:p>
        </w:tc>
      </w:tr>
    </w:tbl>
    <w:p w14:paraId="36799231" w14:textId="410454DA" w:rsidR="00E559AA" w:rsidRPr="00A204FE" w:rsidRDefault="0096250A" w:rsidP="00875DBA">
      <w:pPr>
        <w:pStyle w:val="ListParagraph"/>
        <w:widowControl/>
        <w:numPr>
          <w:ilvl w:val="0"/>
          <w:numId w:val="3"/>
        </w:numPr>
        <w:tabs>
          <w:tab w:val="left" w:pos="0"/>
        </w:tabs>
        <w:autoSpaceDE/>
        <w:autoSpaceDN/>
        <w:adjustRightInd/>
        <w:spacing w:before="120" w:after="120"/>
        <w:ind w:left="-360" w:firstLine="0"/>
        <w:contextualSpacing w:val="0"/>
        <w:jc w:val="both"/>
        <w:rPr>
          <w:rFonts w:asciiTheme="minorHAnsi" w:hAnsiTheme="minorHAnsi" w:cstheme="minorHAnsi"/>
          <w:b/>
          <w:bCs/>
          <w:i/>
          <w:iCs/>
          <w:sz w:val="22"/>
          <w:szCs w:val="22"/>
        </w:rPr>
      </w:pPr>
      <w:r w:rsidRPr="00FB42CB">
        <w:rPr>
          <w:rFonts w:asciiTheme="minorHAnsi" w:hAnsiTheme="minorHAnsi" w:cstheme="minorHAnsi"/>
          <w:sz w:val="22"/>
          <w:szCs w:val="22"/>
        </w:rPr>
        <w:t>There is an annual Program and entity</w:t>
      </w:r>
      <w:bookmarkStart w:id="12" w:name="_Ref85377710"/>
      <w:r w:rsidRPr="00231AC1">
        <w:rPr>
          <w:rStyle w:val="FootnoteReference"/>
          <w:rFonts w:asciiTheme="minorHAnsi" w:hAnsiTheme="minorHAnsi" w:cstheme="minorHAnsi"/>
          <w:iCs/>
          <w:sz w:val="22"/>
          <w:szCs w:val="22"/>
        </w:rPr>
        <w:footnoteReference w:id="11"/>
      </w:r>
      <w:bookmarkEnd w:id="12"/>
      <w:r w:rsidRPr="00231AC1">
        <w:rPr>
          <w:rFonts w:asciiTheme="minorHAnsi" w:hAnsiTheme="minorHAnsi" w:cstheme="minorHAnsi"/>
          <w:iCs/>
          <w:sz w:val="22"/>
          <w:szCs w:val="22"/>
        </w:rPr>
        <w:t xml:space="preserve"> </w:t>
      </w:r>
      <w:r w:rsidRPr="00231AC1">
        <w:rPr>
          <w:rFonts w:asciiTheme="minorHAnsi" w:hAnsiTheme="minorHAnsi" w:cstheme="minorHAnsi"/>
          <w:sz w:val="22"/>
          <w:szCs w:val="22"/>
        </w:rPr>
        <w:t xml:space="preserve">audit requirement under the Program. The auditor expressed unmodified (clean) opinion on the Program’s FY2020 audited financial statements, which were submitted to the Bank on time. No recommendations were provided by the auditor in the Program management letter. The same auditor expressed qualified opinion on the entity FY2020 financial statements, which were received with some </w:t>
      </w:r>
      <w:r w:rsidRPr="00A204FE">
        <w:rPr>
          <w:rFonts w:asciiTheme="minorHAnsi" w:hAnsiTheme="minorHAnsi" w:cstheme="minorHAnsi"/>
          <w:sz w:val="22"/>
          <w:szCs w:val="22"/>
        </w:rPr>
        <w:t>delay.</w:t>
      </w:r>
    </w:p>
    <w:p w14:paraId="2DA6B2C7" w14:textId="23195C8C" w:rsidR="00A204FE" w:rsidRPr="00A204FE" w:rsidRDefault="00A204FE" w:rsidP="00875DBA">
      <w:pPr>
        <w:pStyle w:val="ListParagraph"/>
        <w:widowControl/>
        <w:numPr>
          <w:ilvl w:val="0"/>
          <w:numId w:val="3"/>
        </w:numPr>
        <w:tabs>
          <w:tab w:val="left" w:pos="0"/>
        </w:tabs>
        <w:autoSpaceDE/>
        <w:autoSpaceDN/>
        <w:adjustRightInd/>
        <w:spacing w:before="120" w:after="120"/>
        <w:ind w:left="-360" w:firstLine="0"/>
        <w:contextualSpacing w:val="0"/>
        <w:jc w:val="both"/>
        <w:rPr>
          <w:rFonts w:asciiTheme="minorHAnsi" w:hAnsiTheme="minorHAnsi" w:cstheme="minorHAnsi"/>
          <w:b/>
          <w:bCs/>
          <w:i/>
          <w:iCs/>
          <w:sz w:val="22"/>
          <w:szCs w:val="22"/>
        </w:rPr>
      </w:pPr>
      <w:r w:rsidRPr="00A204FE">
        <w:rPr>
          <w:rFonts w:asciiTheme="minorHAnsi" w:hAnsiTheme="minorHAnsi" w:cstheme="minorHAnsi"/>
          <w:sz w:val="22"/>
          <w:szCs w:val="22"/>
        </w:rPr>
        <w:t xml:space="preserve">The qualified opinion was issued as </w:t>
      </w:r>
      <w:r>
        <w:rPr>
          <w:rFonts w:asciiTheme="minorHAnsi" w:hAnsiTheme="minorHAnsi" w:cstheme="minorHAnsi"/>
          <w:sz w:val="22"/>
          <w:szCs w:val="22"/>
        </w:rPr>
        <w:t xml:space="preserve">BT: (i) </w:t>
      </w:r>
      <w:r w:rsidRPr="00A204FE">
        <w:rPr>
          <w:rFonts w:asciiTheme="minorHAnsi" w:hAnsiTheme="minorHAnsi" w:cstheme="minorHAnsi"/>
          <w:sz w:val="22"/>
          <w:szCs w:val="22"/>
        </w:rPr>
        <w:t xml:space="preserve">has not adopted appropriate internal control procedures related to the recognition of its revenue and related receivables from its customers to assess the completeness of income; and (ii) </w:t>
      </w:r>
      <w:bookmarkStart w:id="13" w:name="_Hlk526087698"/>
      <w:r w:rsidRPr="00A204FE">
        <w:rPr>
          <w:rFonts w:asciiTheme="minorHAnsi" w:hAnsiTheme="minorHAnsi" w:cstheme="minorHAnsi"/>
          <w:sz w:val="22"/>
          <w:szCs w:val="22"/>
        </w:rPr>
        <w:t xml:space="preserve">has received electricity from </w:t>
      </w:r>
      <w:r>
        <w:rPr>
          <w:rFonts w:asciiTheme="minorHAnsi" w:hAnsiTheme="minorHAnsi" w:cstheme="minorHAnsi"/>
          <w:sz w:val="22"/>
          <w:szCs w:val="22"/>
        </w:rPr>
        <w:t>Sangtuda-2 IPP</w:t>
      </w:r>
      <w:r w:rsidRPr="00A204FE">
        <w:rPr>
          <w:rFonts w:asciiTheme="minorHAnsi" w:hAnsiTheme="minorHAnsi" w:cstheme="minorHAnsi"/>
          <w:sz w:val="22"/>
          <w:szCs w:val="22"/>
        </w:rPr>
        <w:t xml:space="preserve"> </w:t>
      </w:r>
      <w:r>
        <w:rPr>
          <w:rFonts w:asciiTheme="minorHAnsi" w:hAnsiTheme="minorHAnsi" w:cstheme="minorHAnsi"/>
          <w:sz w:val="22"/>
          <w:szCs w:val="22"/>
        </w:rPr>
        <w:t>during last several years</w:t>
      </w:r>
      <w:r w:rsidRPr="00A204FE">
        <w:rPr>
          <w:rFonts w:asciiTheme="minorHAnsi" w:hAnsiTheme="minorHAnsi" w:cstheme="minorHAnsi"/>
          <w:sz w:val="22"/>
          <w:szCs w:val="22"/>
        </w:rPr>
        <w:t xml:space="preserve">, related to which fines were charged on overdue payables with no accrued provision recognized for these fines as the management expects to waive the fines charged and currently is in the process of negotiations. </w:t>
      </w:r>
      <w:bookmarkEnd w:id="13"/>
    </w:p>
    <w:p w14:paraId="0684A65A" w14:textId="77777777" w:rsidR="001B79CD" w:rsidRPr="001B79CD" w:rsidRDefault="00A204FE" w:rsidP="00875DBA">
      <w:pPr>
        <w:pStyle w:val="ListParagraph"/>
        <w:widowControl/>
        <w:numPr>
          <w:ilvl w:val="0"/>
          <w:numId w:val="3"/>
        </w:numPr>
        <w:tabs>
          <w:tab w:val="left" w:pos="0"/>
        </w:tabs>
        <w:autoSpaceDE/>
        <w:autoSpaceDN/>
        <w:adjustRightInd/>
        <w:spacing w:before="120" w:after="120"/>
        <w:ind w:left="-360" w:firstLine="0"/>
        <w:contextualSpacing w:val="0"/>
        <w:jc w:val="both"/>
        <w:rPr>
          <w:rFonts w:asciiTheme="minorHAnsi" w:hAnsiTheme="minorHAnsi" w:cstheme="minorHAnsi"/>
          <w:b/>
          <w:bCs/>
          <w:i/>
          <w:iCs/>
          <w:sz w:val="22"/>
          <w:szCs w:val="22"/>
        </w:rPr>
      </w:pPr>
      <w:r w:rsidRPr="00A204FE">
        <w:rPr>
          <w:rFonts w:asciiTheme="minorHAnsi" w:hAnsiTheme="minorHAnsi" w:cstheme="minorHAnsi"/>
          <w:sz w:val="22"/>
          <w:szCs w:val="22"/>
        </w:rPr>
        <w:t>The Bank expects that: (a) the planned roll-out of metering and billing infrastructure would help to improve the billing and therefore the revenue recognition; and (b) the capacity building and training plan</w:t>
      </w:r>
      <w:r w:rsidR="008B2E05">
        <w:rPr>
          <w:rFonts w:asciiTheme="minorHAnsi" w:hAnsiTheme="minorHAnsi" w:cstheme="minorHAnsi"/>
          <w:sz w:val="22"/>
          <w:szCs w:val="22"/>
        </w:rPr>
        <w:t>, which was</w:t>
      </w:r>
      <w:r w:rsidRPr="00A204FE">
        <w:rPr>
          <w:rFonts w:asciiTheme="minorHAnsi" w:hAnsiTheme="minorHAnsi" w:cstheme="minorHAnsi"/>
          <w:sz w:val="22"/>
          <w:szCs w:val="22"/>
        </w:rPr>
        <w:t xml:space="preserve"> agreed with the Bank within the Program</w:t>
      </w:r>
      <w:r w:rsidR="008B2E05">
        <w:rPr>
          <w:rFonts w:asciiTheme="minorHAnsi" w:hAnsiTheme="minorHAnsi" w:cstheme="minorHAnsi"/>
          <w:sz w:val="22"/>
          <w:szCs w:val="22"/>
        </w:rPr>
        <w:t>,</w:t>
      </w:r>
      <w:r w:rsidRPr="00A204FE">
        <w:rPr>
          <w:rFonts w:asciiTheme="minorHAnsi" w:hAnsiTheme="minorHAnsi" w:cstheme="minorHAnsi"/>
          <w:sz w:val="22"/>
          <w:szCs w:val="22"/>
        </w:rPr>
        <w:t xml:space="preserve"> will result in enhancement of its accounting, financial </w:t>
      </w:r>
      <w:proofErr w:type="gramStart"/>
      <w:r w:rsidRPr="00A204FE">
        <w:rPr>
          <w:rFonts w:asciiTheme="minorHAnsi" w:hAnsiTheme="minorHAnsi" w:cstheme="minorHAnsi"/>
          <w:sz w:val="22"/>
          <w:szCs w:val="22"/>
        </w:rPr>
        <w:t>reporting</w:t>
      </w:r>
      <w:proofErr w:type="gramEnd"/>
      <w:r w:rsidRPr="00A204FE">
        <w:rPr>
          <w:rFonts w:asciiTheme="minorHAnsi" w:hAnsiTheme="minorHAnsi" w:cstheme="minorHAnsi"/>
          <w:sz w:val="22"/>
          <w:szCs w:val="22"/>
        </w:rPr>
        <w:t xml:space="preserve"> and internal control systems. </w:t>
      </w:r>
    </w:p>
    <w:p w14:paraId="4CCEABC1" w14:textId="2EF590CF" w:rsidR="001B79CD" w:rsidRPr="001B79CD" w:rsidRDefault="001B79CD" w:rsidP="00875DBA">
      <w:pPr>
        <w:pStyle w:val="ListParagraph"/>
        <w:widowControl/>
        <w:numPr>
          <w:ilvl w:val="0"/>
          <w:numId w:val="3"/>
        </w:numPr>
        <w:tabs>
          <w:tab w:val="left" w:pos="0"/>
        </w:tabs>
        <w:autoSpaceDE/>
        <w:autoSpaceDN/>
        <w:adjustRightInd/>
        <w:spacing w:before="120" w:after="120"/>
        <w:ind w:left="-360" w:firstLine="0"/>
        <w:contextualSpacing w:val="0"/>
        <w:jc w:val="both"/>
        <w:rPr>
          <w:rFonts w:asciiTheme="minorHAnsi" w:hAnsiTheme="minorHAnsi" w:cstheme="minorHAnsi"/>
          <w:b/>
          <w:bCs/>
          <w:i/>
          <w:iCs/>
          <w:color w:val="auto"/>
          <w:sz w:val="22"/>
          <w:szCs w:val="22"/>
        </w:rPr>
      </w:pPr>
      <w:r w:rsidRPr="001B79CD">
        <w:rPr>
          <w:rFonts w:asciiTheme="minorHAnsi" w:hAnsiTheme="minorHAnsi" w:cstheme="minorHAnsi"/>
          <w:b/>
          <w:bCs/>
          <w:sz w:val="22"/>
          <w:szCs w:val="22"/>
        </w:rPr>
        <w:t>Procurement</w:t>
      </w:r>
      <w:r w:rsidRPr="001B79CD">
        <w:rPr>
          <w:rFonts w:asciiTheme="minorHAnsi" w:hAnsiTheme="minorHAnsi" w:cstheme="minorHAnsi"/>
          <w:color w:val="auto"/>
          <w:sz w:val="22"/>
          <w:szCs w:val="22"/>
        </w:rPr>
        <w:t xml:space="preserve">. The procurement performance of the Program has been Moderately Satisfactory. The implementation of the Program expenditures required signing of works and goods contracts for procurement of equipment and materials and installation services during rehabilitation and upgrade of transmission and distribution assets. During the period from July 1, 2020 (effectiveness) to March 30, 2022, there were total of 12 contracts signed. The Recipient is currently working on the development of General Conditions of the Contract to be included into the bidding documents to be used for the Program. The Program action has been </w:t>
      </w:r>
      <w:r w:rsidRPr="001B79CD">
        <w:rPr>
          <w:rFonts w:asciiTheme="minorHAnsi" w:hAnsiTheme="minorHAnsi" w:cstheme="minorHAnsi"/>
          <w:color w:val="auto"/>
          <w:sz w:val="22"/>
          <w:szCs w:val="22"/>
        </w:rPr>
        <w:lastRenderedPageBreak/>
        <w:t xml:space="preserve">delayed and the proposed modifications will be submitted for Bank’s review by September 2022. No consultancy services were involved under the Program so far, but there is an ongoing hiring of one IVA for the needs of the Project that is carried out in a competitive manner. BT as well as the new companies – SIB and STB - are currently finalizing the work on creation of relevant sections on their websites related to share information on handling of procurement complaints. The work started in January </w:t>
      </w:r>
      <w:r w:rsidRPr="00AB68BD">
        <w:rPr>
          <w:rFonts w:asciiTheme="minorHAnsi" w:hAnsiTheme="minorHAnsi" w:cstheme="minorHAnsi"/>
          <w:color w:val="auto"/>
          <w:sz w:val="22"/>
          <w:szCs w:val="22"/>
        </w:rPr>
        <w:t>2021.</w:t>
      </w:r>
      <w:r w:rsidR="00AB68BD" w:rsidRPr="00AB68BD">
        <w:rPr>
          <w:rFonts w:asciiTheme="minorHAnsi" w:hAnsiTheme="minorHAnsi" w:cstheme="minorHAnsi"/>
          <w:color w:val="auto"/>
          <w:sz w:val="22"/>
          <w:szCs w:val="22"/>
        </w:rPr>
        <w:t xml:space="preserve"> </w:t>
      </w:r>
      <w:r w:rsidR="00AB68BD">
        <w:rPr>
          <w:rFonts w:asciiTheme="minorHAnsi" w:hAnsiTheme="minorHAnsi" w:cstheme="minorHAnsi"/>
          <w:color w:val="auto"/>
          <w:sz w:val="22"/>
          <w:szCs w:val="22"/>
        </w:rPr>
        <w:t xml:space="preserve">This </w:t>
      </w:r>
      <w:r w:rsidRPr="00AB68BD">
        <w:rPr>
          <w:rFonts w:asciiTheme="minorHAnsi" w:hAnsiTheme="minorHAnsi" w:cstheme="minorHAnsi"/>
          <w:color w:val="auto"/>
          <w:sz w:val="22"/>
          <w:szCs w:val="22"/>
        </w:rPr>
        <w:t>was</w:t>
      </w:r>
      <w:r w:rsidRPr="001B79CD">
        <w:rPr>
          <w:rFonts w:asciiTheme="minorHAnsi" w:hAnsiTheme="minorHAnsi" w:cstheme="minorHAnsi"/>
          <w:color w:val="auto"/>
          <w:sz w:val="22"/>
          <w:szCs w:val="22"/>
        </w:rPr>
        <w:t xml:space="preserve"> delayed due to restructuring of BT. Subject to implementation of procurement actions as defined in the Program Action Plan, procurement performance rating will be either re-confirmed or downgraded.</w:t>
      </w:r>
    </w:p>
    <w:p w14:paraId="5ECD7700" w14:textId="705D7497" w:rsidR="001B79CD" w:rsidRPr="001B79CD" w:rsidRDefault="001B79CD" w:rsidP="00875DBA">
      <w:pPr>
        <w:pStyle w:val="ListParagraph"/>
        <w:widowControl/>
        <w:numPr>
          <w:ilvl w:val="0"/>
          <w:numId w:val="3"/>
        </w:numPr>
        <w:tabs>
          <w:tab w:val="left" w:pos="0"/>
        </w:tabs>
        <w:autoSpaceDE/>
        <w:autoSpaceDN/>
        <w:adjustRightInd/>
        <w:spacing w:before="120" w:after="120"/>
        <w:ind w:left="-360" w:firstLine="0"/>
        <w:contextualSpacing w:val="0"/>
        <w:jc w:val="both"/>
        <w:rPr>
          <w:rFonts w:asciiTheme="minorHAnsi" w:hAnsiTheme="minorHAnsi" w:cstheme="minorHAnsi"/>
          <w:b/>
          <w:bCs/>
          <w:i/>
          <w:iCs/>
          <w:color w:val="auto"/>
          <w:sz w:val="22"/>
          <w:szCs w:val="22"/>
        </w:rPr>
      </w:pPr>
      <w:r w:rsidRPr="001B79CD">
        <w:rPr>
          <w:rFonts w:asciiTheme="minorHAnsi" w:hAnsiTheme="minorHAnsi" w:cstheme="minorHAnsi"/>
          <w:color w:val="auto"/>
          <w:sz w:val="22"/>
          <w:szCs w:val="22"/>
        </w:rPr>
        <w:t>The proposed activities under the revised Program include cost-saving measures by reducing the volumes and quantities of inputs purchases for the needs of the electricity sector operations as well as activities (escrow account mechanism) aimed at improving the predictability and transparency of distribution of revenues in the sector. Given the expenditure framework is unchanged and provided that Barqi Tajik (BT) remain overall responsible for the Program’s procurement arrangements, no additional procurement assessment</w:t>
      </w:r>
      <w:r w:rsidRPr="001B79CD">
        <w:rPr>
          <w:rFonts w:asciiTheme="minorHAnsi" w:hAnsiTheme="minorHAnsi" w:cstheme="minorHAnsi"/>
          <w:strike/>
          <w:color w:val="auto"/>
          <w:sz w:val="22"/>
          <w:szCs w:val="22"/>
        </w:rPr>
        <w:t>s</w:t>
      </w:r>
      <w:r w:rsidRPr="001B79CD">
        <w:rPr>
          <w:rFonts w:asciiTheme="minorHAnsi" w:hAnsiTheme="minorHAnsi" w:cstheme="minorHAnsi"/>
          <w:color w:val="auto"/>
          <w:sz w:val="22"/>
          <w:szCs w:val="22"/>
        </w:rPr>
        <w:t xml:space="preserve"> </w:t>
      </w:r>
      <w:proofErr w:type="gramStart"/>
      <w:r w:rsidRPr="001B79CD">
        <w:rPr>
          <w:rFonts w:asciiTheme="minorHAnsi" w:hAnsiTheme="minorHAnsi" w:cstheme="minorHAnsi"/>
          <w:color w:val="auto"/>
          <w:sz w:val="22"/>
          <w:szCs w:val="22"/>
        </w:rPr>
        <w:t>is</w:t>
      </w:r>
      <w:proofErr w:type="gramEnd"/>
      <w:r w:rsidRPr="001B79CD">
        <w:rPr>
          <w:rFonts w:asciiTheme="minorHAnsi" w:hAnsiTheme="minorHAnsi" w:cstheme="minorHAnsi"/>
          <w:color w:val="auto"/>
          <w:sz w:val="22"/>
          <w:szCs w:val="22"/>
        </w:rPr>
        <w:t xml:space="preserve"> required for the revised Program.</w:t>
      </w:r>
    </w:p>
    <w:p w14:paraId="017417D2" w14:textId="49FC9C67" w:rsidR="00B87927" w:rsidRPr="00B87927" w:rsidRDefault="00E559AA" w:rsidP="00875DBA">
      <w:pPr>
        <w:pStyle w:val="ListParagraph"/>
        <w:widowControl/>
        <w:numPr>
          <w:ilvl w:val="0"/>
          <w:numId w:val="3"/>
        </w:numPr>
        <w:tabs>
          <w:tab w:val="left" w:pos="0"/>
        </w:tabs>
        <w:autoSpaceDE/>
        <w:autoSpaceDN/>
        <w:adjustRightInd/>
        <w:spacing w:before="120" w:after="120"/>
        <w:ind w:left="-360" w:firstLine="0"/>
        <w:contextualSpacing w:val="0"/>
        <w:jc w:val="both"/>
        <w:rPr>
          <w:rFonts w:asciiTheme="minorHAnsi" w:hAnsiTheme="minorHAnsi" w:cstheme="minorHAnsi"/>
          <w:b/>
          <w:bCs/>
          <w:i/>
          <w:iCs/>
          <w:sz w:val="22"/>
          <w:szCs w:val="22"/>
        </w:rPr>
      </w:pPr>
      <w:r w:rsidRPr="00A204FE">
        <w:rPr>
          <w:rFonts w:asciiTheme="minorHAnsi" w:hAnsiTheme="minorHAnsi" w:cstheme="minorHAnsi"/>
          <w:b/>
          <w:bCs/>
          <w:sz w:val="22"/>
          <w:szCs w:val="22"/>
        </w:rPr>
        <w:t>Disbursements</w:t>
      </w:r>
      <w:r w:rsidRPr="00A204FE">
        <w:rPr>
          <w:rFonts w:asciiTheme="minorHAnsi" w:hAnsiTheme="minorHAnsi" w:cstheme="minorHAnsi"/>
          <w:sz w:val="22"/>
          <w:szCs w:val="22"/>
        </w:rPr>
        <w:t>. There will be also no</w:t>
      </w:r>
      <w:r w:rsidRPr="00B87927">
        <w:rPr>
          <w:rFonts w:asciiTheme="minorHAnsi" w:hAnsiTheme="minorHAnsi" w:cstheme="minorHAnsi"/>
          <w:sz w:val="22"/>
          <w:szCs w:val="22"/>
        </w:rPr>
        <w:t xml:space="preserve"> changes in the parent Program’s Disbursement Arrangements, which will also be applied to the additional financing. </w:t>
      </w:r>
      <w:r w:rsidR="00B87927" w:rsidRPr="00B87927">
        <w:rPr>
          <w:rFonts w:asciiTheme="minorHAnsi" w:hAnsiTheme="minorHAnsi" w:cstheme="minorHAnsi"/>
          <w:sz w:val="22"/>
          <w:szCs w:val="22"/>
        </w:rPr>
        <w:t>F</w:t>
      </w:r>
      <w:r w:rsidR="00B87927" w:rsidRPr="00B87927">
        <w:rPr>
          <w:rFonts w:asciiTheme="minorHAnsi" w:hAnsiTheme="minorHAnsi" w:cstheme="minorHAnsi"/>
          <w:sz w:val="22"/>
        </w:rPr>
        <w:t>ollowing the effectiveness of the IDA Financing Agreement for the AF, the Bank will provide an advance payment of US$</w:t>
      </w:r>
      <w:r w:rsidR="003221E2">
        <w:rPr>
          <w:rFonts w:asciiTheme="minorHAnsi" w:hAnsiTheme="minorHAnsi" w:cstheme="minorHAnsi"/>
          <w:sz w:val="22"/>
        </w:rPr>
        <w:t>20</w:t>
      </w:r>
      <w:r w:rsidR="00B87927" w:rsidRPr="00B87927">
        <w:rPr>
          <w:rFonts w:asciiTheme="minorHAnsi" w:hAnsiTheme="minorHAnsi" w:cstheme="minorHAnsi"/>
          <w:sz w:val="22"/>
        </w:rPr>
        <w:t xml:space="preserve"> million equivalent or </w:t>
      </w:r>
      <w:r w:rsidR="003221E2">
        <w:rPr>
          <w:rFonts w:asciiTheme="minorHAnsi" w:hAnsiTheme="minorHAnsi" w:cstheme="minorHAnsi"/>
          <w:sz w:val="22"/>
        </w:rPr>
        <w:t>25</w:t>
      </w:r>
      <w:r w:rsidR="00B87927" w:rsidRPr="00B87927">
        <w:rPr>
          <w:rFonts w:asciiTheme="minorHAnsi" w:hAnsiTheme="minorHAnsi" w:cstheme="minorHAnsi"/>
          <w:sz w:val="22"/>
        </w:rPr>
        <w:t xml:space="preserve"> percent of the total size of the proposed AF grant. The need for the advance is driven by the requirement of ensuring adequate </w:t>
      </w:r>
      <w:r w:rsidR="00785AA5">
        <w:rPr>
          <w:rFonts w:asciiTheme="minorHAnsi" w:hAnsiTheme="minorHAnsi" w:cstheme="minorHAnsi"/>
          <w:sz w:val="22"/>
        </w:rPr>
        <w:t>budget for annual rehabilitation and maintenance program of the T&amp;D assets</w:t>
      </w:r>
      <w:r w:rsidR="00B87927" w:rsidRPr="00B87927">
        <w:rPr>
          <w:rFonts w:asciiTheme="minorHAnsi" w:hAnsiTheme="minorHAnsi" w:cstheme="minorHAnsi"/>
          <w:sz w:val="22"/>
        </w:rPr>
        <w:t>.</w:t>
      </w:r>
      <w:r w:rsidR="00785AA5">
        <w:rPr>
          <w:rFonts w:asciiTheme="minorHAnsi" w:hAnsiTheme="minorHAnsi" w:cstheme="minorHAnsi"/>
          <w:sz w:val="22"/>
        </w:rPr>
        <w:t xml:space="preserve"> Addressing critical rehabilitation needs in timely manner is important for maintaining reliability of electricity supply.</w:t>
      </w:r>
    </w:p>
    <w:p w14:paraId="60606F5C" w14:textId="0FB6EB09" w:rsidR="00B87927" w:rsidRPr="00B52CC6" w:rsidRDefault="00B87927" w:rsidP="00875DBA">
      <w:pPr>
        <w:pStyle w:val="ListParagraph"/>
        <w:widowControl/>
        <w:numPr>
          <w:ilvl w:val="0"/>
          <w:numId w:val="3"/>
        </w:numPr>
        <w:tabs>
          <w:tab w:val="left" w:pos="0"/>
        </w:tabs>
        <w:autoSpaceDE/>
        <w:autoSpaceDN/>
        <w:adjustRightInd/>
        <w:spacing w:before="120" w:after="120"/>
        <w:ind w:left="-360" w:firstLine="0"/>
        <w:contextualSpacing w:val="0"/>
        <w:jc w:val="both"/>
        <w:rPr>
          <w:rFonts w:asciiTheme="minorHAnsi" w:hAnsiTheme="minorHAnsi" w:cstheme="minorHAnsi"/>
          <w:b/>
          <w:bCs/>
          <w:i/>
          <w:iCs/>
          <w:sz w:val="22"/>
          <w:szCs w:val="22"/>
        </w:rPr>
      </w:pPr>
      <w:r w:rsidRPr="00B87927">
        <w:rPr>
          <w:rFonts w:asciiTheme="minorHAnsi" w:hAnsiTheme="minorHAnsi" w:cstheme="minorHAnsi"/>
          <w:sz w:val="22"/>
        </w:rPr>
        <w:t>Whenever the DLRs are achieved, the amount of the advance will be deducted (recovered) from the amount due to be disbursed under the DLIs. The amount of the advance recovered by the Bank then will be available, as needed, for additional advances (“revolving advances”)</w:t>
      </w:r>
      <w:r w:rsidR="00C40143">
        <w:rPr>
          <w:rFonts w:asciiTheme="minorHAnsi" w:hAnsiTheme="minorHAnsi" w:cstheme="minorHAnsi"/>
          <w:sz w:val="22"/>
        </w:rPr>
        <w:t>.</w:t>
      </w:r>
    </w:p>
    <w:p w14:paraId="77637BA1" w14:textId="77777777" w:rsidR="00B52CC6" w:rsidRPr="002A53D0" w:rsidRDefault="00B52CC6" w:rsidP="00875DBA">
      <w:pPr>
        <w:pStyle w:val="ListParagraph"/>
        <w:widowControl/>
        <w:numPr>
          <w:ilvl w:val="0"/>
          <w:numId w:val="3"/>
        </w:numPr>
        <w:tabs>
          <w:tab w:val="left" w:pos="0"/>
        </w:tabs>
        <w:autoSpaceDE/>
        <w:autoSpaceDN/>
        <w:adjustRightInd/>
        <w:spacing w:before="120" w:after="120"/>
        <w:ind w:left="-360" w:firstLine="0"/>
        <w:contextualSpacing w:val="0"/>
        <w:jc w:val="both"/>
        <w:rPr>
          <w:rFonts w:asciiTheme="minorHAnsi" w:hAnsiTheme="minorHAnsi" w:cstheme="minorHAnsi"/>
          <w:b/>
          <w:bCs/>
          <w:i/>
          <w:iCs/>
          <w:sz w:val="22"/>
          <w:szCs w:val="22"/>
        </w:rPr>
      </w:pPr>
    </w:p>
    <w:p w14:paraId="7C78F2D3" w14:textId="5E924C33" w:rsidR="002A53D0" w:rsidRPr="00F1453D" w:rsidRDefault="002A53D0" w:rsidP="00875DBA">
      <w:pPr>
        <w:pStyle w:val="ListParagraph"/>
        <w:widowControl/>
        <w:numPr>
          <w:ilvl w:val="0"/>
          <w:numId w:val="3"/>
        </w:numPr>
        <w:tabs>
          <w:tab w:val="left" w:pos="0"/>
        </w:tabs>
        <w:autoSpaceDE/>
        <w:autoSpaceDN/>
        <w:adjustRightInd/>
        <w:spacing w:before="120" w:after="120"/>
        <w:ind w:left="-360" w:firstLine="0"/>
        <w:contextualSpacing w:val="0"/>
        <w:jc w:val="both"/>
        <w:rPr>
          <w:rFonts w:asciiTheme="minorHAnsi" w:hAnsiTheme="minorHAnsi" w:cstheme="minorHAnsi"/>
          <w:b/>
          <w:bCs/>
          <w:i/>
          <w:iCs/>
          <w:sz w:val="22"/>
          <w:szCs w:val="22"/>
        </w:rPr>
      </w:pPr>
      <w:r w:rsidRPr="00F1453D">
        <w:rPr>
          <w:rFonts w:asciiTheme="minorHAnsi" w:hAnsiTheme="minorHAnsi" w:cstheme="minorHAnsi"/>
          <w:b/>
          <w:bCs/>
          <w:sz w:val="22"/>
          <w:szCs w:val="22"/>
        </w:rPr>
        <w:t>An</w:t>
      </w:r>
      <w:r w:rsidRPr="00231AC1">
        <w:rPr>
          <w:rFonts w:asciiTheme="minorHAnsi" w:hAnsiTheme="minorHAnsi" w:cstheme="minorHAnsi"/>
          <w:b/>
          <w:bCs/>
          <w:sz w:val="22"/>
          <w:szCs w:val="22"/>
        </w:rPr>
        <w:t>ti-Corr</w:t>
      </w:r>
      <w:r w:rsidRPr="00F1453D">
        <w:rPr>
          <w:rFonts w:asciiTheme="minorHAnsi" w:hAnsiTheme="minorHAnsi" w:cstheme="minorHAnsi"/>
          <w:b/>
          <w:bCs/>
          <w:sz w:val="22"/>
          <w:szCs w:val="22"/>
        </w:rPr>
        <w:t xml:space="preserve">uption Arrangements. </w:t>
      </w:r>
      <w:r w:rsidRPr="00231AC1">
        <w:rPr>
          <w:rFonts w:asciiTheme="minorHAnsi" w:hAnsiTheme="minorHAnsi" w:cstheme="minorHAnsi"/>
          <w:sz w:val="22"/>
          <w:szCs w:val="22"/>
        </w:rPr>
        <w:t>The</w:t>
      </w:r>
      <w:r>
        <w:rPr>
          <w:rFonts w:asciiTheme="minorHAnsi" w:hAnsiTheme="minorHAnsi" w:cstheme="minorHAnsi"/>
          <w:sz w:val="22"/>
          <w:szCs w:val="22"/>
        </w:rPr>
        <w:t xml:space="preserve"> parent project’s </w:t>
      </w:r>
      <w:r w:rsidRPr="00231AC1">
        <w:rPr>
          <w:rFonts w:asciiTheme="minorHAnsi" w:hAnsiTheme="minorHAnsi" w:cstheme="minorHAnsi"/>
          <w:sz w:val="22"/>
          <w:szCs w:val="22"/>
        </w:rPr>
        <w:t xml:space="preserve">anti-corruption arrangements will also be applied to the </w:t>
      </w:r>
      <w:r>
        <w:rPr>
          <w:rFonts w:asciiTheme="minorHAnsi" w:hAnsiTheme="minorHAnsi" w:cstheme="minorHAnsi"/>
          <w:sz w:val="22"/>
          <w:szCs w:val="22"/>
        </w:rPr>
        <w:t>proposed AF</w:t>
      </w:r>
      <w:r w:rsidRPr="00231AC1">
        <w:rPr>
          <w:rFonts w:asciiTheme="minorHAnsi" w:hAnsiTheme="minorHAnsi" w:cstheme="minorHAnsi"/>
          <w:sz w:val="22"/>
          <w:szCs w:val="22"/>
        </w:rPr>
        <w:t xml:space="preserve">. The Agency for State Financial Control and Combating Corruption (ASFCCC) will oversee and control the Program, including the additional financing, on anti-corruption issues. The ASFCCC will inform the Bank annually on all credible and material allegations or other indications together with the investigative and other actions to be taken. </w:t>
      </w:r>
      <w:r w:rsidR="008864F1">
        <w:rPr>
          <w:rFonts w:asciiTheme="minorHAnsi" w:hAnsiTheme="minorHAnsi" w:cstheme="minorHAnsi"/>
          <w:sz w:val="22"/>
          <w:szCs w:val="22"/>
        </w:rPr>
        <w:t>As per letter from</w:t>
      </w:r>
      <w:r w:rsidRPr="00231AC1">
        <w:rPr>
          <w:rFonts w:asciiTheme="minorHAnsi" w:hAnsiTheme="minorHAnsi" w:cstheme="minorHAnsi"/>
          <w:sz w:val="22"/>
          <w:szCs w:val="22"/>
        </w:rPr>
        <w:t xml:space="preserve"> ASFCCC</w:t>
      </w:r>
      <w:r w:rsidR="008864F1">
        <w:rPr>
          <w:rFonts w:asciiTheme="minorHAnsi" w:hAnsiTheme="minorHAnsi" w:cstheme="minorHAnsi"/>
          <w:sz w:val="22"/>
          <w:szCs w:val="22"/>
        </w:rPr>
        <w:t xml:space="preserve">, there were no </w:t>
      </w:r>
      <w:r w:rsidR="008864F1" w:rsidRPr="00231AC1">
        <w:rPr>
          <w:rFonts w:asciiTheme="minorHAnsi" w:hAnsiTheme="minorHAnsi" w:cstheme="minorHAnsi"/>
          <w:sz w:val="22"/>
          <w:szCs w:val="22"/>
        </w:rPr>
        <w:t xml:space="preserve">such allegations or other indication identified under the Program </w:t>
      </w:r>
      <w:r w:rsidR="008864F1">
        <w:rPr>
          <w:rFonts w:asciiTheme="minorHAnsi" w:hAnsiTheme="minorHAnsi" w:cstheme="minorHAnsi"/>
          <w:sz w:val="22"/>
          <w:szCs w:val="22"/>
        </w:rPr>
        <w:t>during</w:t>
      </w:r>
      <w:r w:rsidRPr="00231AC1">
        <w:rPr>
          <w:rFonts w:asciiTheme="minorHAnsi" w:hAnsiTheme="minorHAnsi" w:cstheme="minorHAnsi"/>
          <w:sz w:val="22"/>
          <w:szCs w:val="22"/>
        </w:rPr>
        <w:t xml:space="preserve"> FY2020 and FY2021.</w:t>
      </w:r>
    </w:p>
    <w:p w14:paraId="389B69E5" w14:textId="5DB8864D" w:rsidR="00CF07BA" w:rsidRPr="00B170B7" w:rsidRDefault="00880CEC" w:rsidP="00880CEC">
      <w:pPr>
        <w:pStyle w:val="ListParagraph"/>
        <w:numPr>
          <w:ilvl w:val="0"/>
          <w:numId w:val="2"/>
        </w:numPr>
        <w:ind w:left="-180"/>
        <w:rPr>
          <w:rFonts w:ascii="Calibri" w:hAnsi="Calibri"/>
          <w:b/>
          <w:color w:val="172D5D"/>
          <w:sz w:val="22"/>
          <w:szCs w:val="22"/>
        </w:rPr>
      </w:pPr>
      <w:r w:rsidRPr="00B170B7">
        <w:rPr>
          <w:rFonts w:ascii="Calibri" w:hAnsi="Calibri"/>
          <w:b/>
          <w:color w:val="172D5D"/>
          <w:sz w:val="22"/>
          <w:szCs w:val="22"/>
        </w:rPr>
        <w:t>Environment and Social</w:t>
      </w:r>
    </w:p>
    <w:p w14:paraId="006C44DA" w14:textId="7E4BB464" w:rsidR="00F11B36" w:rsidRPr="00F11B36" w:rsidRDefault="007620FF" w:rsidP="00875DBA">
      <w:pPr>
        <w:pStyle w:val="ListParagraph"/>
        <w:widowControl/>
        <w:numPr>
          <w:ilvl w:val="0"/>
          <w:numId w:val="3"/>
        </w:numPr>
        <w:shd w:val="clear" w:color="auto" w:fill="FFFFFF"/>
        <w:tabs>
          <w:tab w:val="left" w:pos="0"/>
        </w:tabs>
        <w:autoSpaceDE/>
        <w:autoSpaceDN/>
        <w:adjustRightInd/>
        <w:spacing w:before="120" w:after="120"/>
        <w:ind w:left="-360" w:firstLine="0"/>
        <w:contextualSpacing w:val="0"/>
        <w:jc w:val="both"/>
        <w:rPr>
          <w:rFonts w:asciiTheme="minorHAnsi" w:hAnsiTheme="minorHAnsi" w:cstheme="minorHAnsi"/>
          <w:sz w:val="22"/>
          <w:szCs w:val="22"/>
        </w:rPr>
      </w:pPr>
      <w:r w:rsidRPr="00F11B36">
        <w:rPr>
          <w:rFonts w:asciiTheme="minorHAnsi" w:hAnsiTheme="minorHAnsi" w:cstheme="minorHAnsi"/>
          <w:b/>
          <w:bCs/>
          <w:sz w:val="22"/>
          <w:szCs w:val="22"/>
        </w:rPr>
        <w:t>Environmental</w:t>
      </w:r>
      <w:r w:rsidRPr="00F11B36">
        <w:rPr>
          <w:rFonts w:asciiTheme="minorHAnsi" w:hAnsiTheme="minorHAnsi" w:cstheme="minorHAnsi"/>
          <w:sz w:val="22"/>
          <w:szCs w:val="22"/>
        </w:rPr>
        <w:t xml:space="preserve">. </w:t>
      </w:r>
      <w:r w:rsidR="00F11B36" w:rsidRPr="00F11B36">
        <w:rPr>
          <w:rFonts w:asciiTheme="minorHAnsi" w:hAnsiTheme="minorHAnsi" w:cstheme="minorHAnsi"/>
          <w:sz w:val="22"/>
          <w:szCs w:val="22"/>
        </w:rPr>
        <w:t xml:space="preserve">The environmental performance of the Program remains consistently satisfactory.  The Government has made progress implementing the four Environmental Actions in the </w:t>
      </w:r>
      <w:r w:rsidR="00F11B36">
        <w:rPr>
          <w:rFonts w:asciiTheme="minorHAnsi" w:hAnsiTheme="minorHAnsi" w:cstheme="minorHAnsi"/>
          <w:sz w:val="22"/>
          <w:szCs w:val="22"/>
        </w:rPr>
        <w:t>PAP</w:t>
      </w:r>
      <w:r w:rsidR="00F11B36" w:rsidRPr="00F11B36">
        <w:rPr>
          <w:rFonts w:asciiTheme="minorHAnsi" w:hAnsiTheme="minorHAnsi" w:cstheme="minorHAnsi"/>
          <w:sz w:val="22"/>
          <w:szCs w:val="22"/>
        </w:rPr>
        <w:t>. Specifically, the following three are completed: (i) BT, SIB, and STB developed corporate environmental policy and key guidelines, regulations and norms to facilitate adequate environmental performance in implementing rehabilitation, replacement, and upgrade of key assets; those will be adopted formally by the companies by end of July 2022; (ii) BT hired an additional environmental consultant to work with its operations;  SIB and STB are in the process of hiring their relevant environmental staff; and (iii) developed the relevant educational modules related to requirements of the Committee of Environmental Protection and carried out the trainings with participation of all three companies. The fourth, the annual evaluation and monitoring of Program activities with the requirements of local legislation has been delayed due to COVID-19 impacts and first such assessment will be completed by December 2022.</w:t>
      </w:r>
    </w:p>
    <w:p w14:paraId="3C95E465" w14:textId="6F30F426" w:rsidR="007620FF" w:rsidRPr="006E5326" w:rsidRDefault="00F11B36" w:rsidP="00875DBA">
      <w:pPr>
        <w:pStyle w:val="ListParagraph"/>
        <w:widowControl/>
        <w:numPr>
          <w:ilvl w:val="0"/>
          <w:numId w:val="3"/>
        </w:numPr>
        <w:shd w:val="clear" w:color="auto" w:fill="FFFFFF"/>
        <w:tabs>
          <w:tab w:val="left" w:pos="0"/>
        </w:tabs>
        <w:autoSpaceDE/>
        <w:autoSpaceDN/>
        <w:adjustRightInd/>
        <w:spacing w:before="120" w:after="120"/>
        <w:ind w:left="-360" w:firstLine="0"/>
        <w:contextualSpacing w:val="0"/>
        <w:jc w:val="both"/>
        <w:rPr>
          <w:rFonts w:asciiTheme="minorHAnsi" w:hAnsiTheme="minorHAnsi" w:cstheme="minorHAnsi"/>
          <w:sz w:val="22"/>
          <w:szCs w:val="22"/>
        </w:rPr>
      </w:pPr>
      <w:r>
        <w:rPr>
          <w:rFonts w:ascii="Calibri" w:hAnsi="Calibri"/>
          <w:color w:val="auto"/>
          <w:sz w:val="22"/>
          <w:szCs w:val="22"/>
        </w:rPr>
        <w:lastRenderedPageBreak/>
        <w:t>The proposed new measures under the Program related to fuel cost savings (elimination of HFO purchases), reduction of costs of materials and some other expenditures, and improvement of predictability and transparency of revenue distribution in the sector are not expected to have any negative environmental impacts. In fact, reduction of purchases of HFO would help to reduce the CO2 emissions from use of HFO in supply of electricity and heat and thus would have a positive environmental impact.</w:t>
      </w:r>
    </w:p>
    <w:p w14:paraId="42949198" w14:textId="59E2D6B4" w:rsidR="00AC7A4C" w:rsidRPr="005B7DA6" w:rsidRDefault="00A97307" w:rsidP="00875DBA">
      <w:pPr>
        <w:pStyle w:val="ListParagraph"/>
        <w:numPr>
          <w:ilvl w:val="0"/>
          <w:numId w:val="3"/>
        </w:numPr>
        <w:tabs>
          <w:tab w:val="left" w:pos="0"/>
        </w:tabs>
        <w:spacing w:before="120" w:after="120"/>
        <w:ind w:left="-360" w:firstLine="0"/>
        <w:contextualSpacing w:val="0"/>
        <w:jc w:val="both"/>
        <w:rPr>
          <w:rFonts w:asciiTheme="minorHAnsi" w:hAnsiTheme="minorHAnsi" w:cstheme="minorHAnsi"/>
          <w:color w:val="auto"/>
          <w:sz w:val="22"/>
          <w:szCs w:val="22"/>
        </w:rPr>
      </w:pPr>
      <w:r w:rsidRPr="006E5326">
        <w:rPr>
          <w:rFonts w:asciiTheme="minorHAnsi" w:hAnsiTheme="minorHAnsi" w:cstheme="minorHAnsi"/>
          <w:b/>
          <w:bCs/>
          <w:color w:val="auto"/>
          <w:sz w:val="22"/>
          <w:szCs w:val="22"/>
        </w:rPr>
        <w:t>Social</w:t>
      </w:r>
      <w:r w:rsidRPr="006E5326">
        <w:rPr>
          <w:rFonts w:asciiTheme="minorHAnsi" w:hAnsiTheme="minorHAnsi" w:cstheme="minorHAnsi"/>
          <w:color w:val="auto"/>
          <w:sz w:val="22"/>
          <w:szCs w:val="22"/>
        </w:rPr>
        <w:t xml:space="preserve">. </w:t>
      </w:r>
      <w:r w:rsidR="00ED41A6" w:rsidRPr="006E5326">
        <w:rPr>
          <w:rFonts w:asciiTheme="minorHAnsi" w:hAnsiTheme="minorHAnsi" w:cstheme="minorHAnsi"/>
          <w:color w:val="auto"/>
          <w:sz w:val="22"/>
          <w:szCs w:val="22"/>
        </w:rPr>
        <w:t>The new activities under the Program do not have any social impacts. The overall impacts of the updated Program remain largely positive because it will improve the financial standing of electricity sector and therefore contribute to improving reliability of electricity supply</w:t>
      </w:r>
      <w:r w:rsidR="00AC7A4C">
        <w:rPr>
          <w:rFonts w:asciiTheme="minorHAnsi" w:hAnsiTheme="minorHAnsi" w:cstheme="minorHAnsi"/>
          <w:color w:val="auto"/>
          <w:sz w:val="22"/>
          <w:szCs w:val="22"/>
        </w:rPr>
        <w:t xml:space="preserve">. </w:t>
      </w:r>
      <w:r w:rsidR="00AC7A4C">
        <w:rPr>
          <w:rFonts w:ascii="Calibri" w:hAnsi="Calibri"/>
          <w:color w:val="auto"/>
          <w:sz w:val="22"/>
          <w:szCs w:val="22"/>
        </w:rPr>
        <w:t xml:space="preserve">However, two aspects of the Program merit attention. First, STB needs to enhance efforts at reaching out to the consumers and improvements on complaint handling. </w:t>
      </w:r>
      <w:r w:rsidR="00AC7A4C">
        <w:rPr>
          <w:rFonts w:asciiTheme="minorHAnsi" w:hAnsiTheme="minorHAnsi" w:cstheme="minorHAnsi"/>
          <w:color w:val="auto"/>
          <w:sz w:val="22"/>
          <w:szCs w:val="22"/>
        </w:rPr>
        <w:t>Second, tariff revisions are expected. T</w:t>
      </w:r>
      <w:r w:rsidR="006E5326" w:rsidRPr="006E5326">
        <w:rPr>
          <w:rFonts w:asciiTheme="minorHAnsi" w:hAnsiTheme="minorHAnsi" w:cstheme="minorHAnsi"/>
          <w:color w:val="auto"/>
          <w:sz w:val="22"/>
          <w:szCs w:val="22"/>
        </w:rPr>
        <w:t xml:space="preserve">he </w:t>
      </w:r>
      <w:r w:rsidR="006E5326" w:rsidRPr="006E5326">
        <w:rPr>
          <w:rFonts w:asciiTheme="minorHAnsi" w:eastAsia="Times New Roman" w:hAnsiTheme="minorHAnsi" w:cstheme="minorHAnsi"/>
          <w:sz w:val="22"/>
          <w:szCs w:val="22"/>
        </w:rPr>
        <w:t>expected tariff increase trajectory, which anticipates lower tariff increases until 2026</w:t>
      </w:r>
      <w:r w:rsidR="006E5326" w:rsidRPr="006E5326">
        <w:rPr>
          <w:rStyle w:val="FootnoteReference"/>
          <w:rFonts w:asciiTheme="minorHAnsi" w:eastAsia="Times New Roman" w:hAnsiTheme="minorHAnsi" w:cstheme="minorHAnsi"/>
          <w:sz w:val="22"/>
          <w:szCs w:val="22"/>
        </w:rPr>
        <w:footnoteReference w:id="12"/>
      </w:r>
      <w:r w:rsidR="006E5326" w:rsidRPr="006E5326">
        <w:rPr>
          <w:rFonts w:asciiTheme="minorHAnsi" w:eastAsia="Times New Roman" w:hAnsiTheme="minorHAnsi" w:cstheme="minorHAnsi"/>
          <w:sz w:val="22"/>
          <w:szCs w:val="22"/>
        </w:rPr>
        <w:t xml:space="preserve"> compared to the trajectory in the original project and relatively higher tariff increases after 2026, is not likely to lead to material impacts on the poor and that was confirmed during preparation of the parent operation. Specifically, it was estimated that poverty will increase by less than 0.6 percent in 2024 under the anticipated tariff increase trajectory. </w:t>
      </w:r>
      <w:r w:rsidR="00ED41A6" w:rsidRPr="006E5326">
        <w:rPr>
          <w:rFonts w:asciiTheme="minorHAnsi" w:hAnsiTheme="minorHAnsi" w:cstheme="minorHAnsi"/>
          <w:color w:val="auto"/>
          <w:sz w:val="22"/>
          <w:szCs w:val="22"/>
        </w:rPr>
        <w:t>The impacts of potential tariff increases would be mitigated through introduction of block tariffs, which is under development, and, once the fiscal situation of the country allows, with increased allocation to Targeted Social Assistance (TSA) program to mitigate those impacts.</w:t>
      </w:r>
      <w:r w:rsidR="00C443DF" w:rsidRPr="006E5326">
        <w:rPr>
          <w:rFonts w:asciiTheme="minorHAnsi" w:hAnsiTheme="minorHAnsi" w:cstheme="minorHAnsi"/>
          <w:color w:val="auto"/>
          <w:sz w:val="22"/>
          <w:szCs w:val="22"/>
        </w:rPr>
        <w:t xml:space="preserve"> </w:t>
      </w:r>
    </w:p>
    <w:p w14:paraId="6EB03156" w14:textId="77777777" w:rsidR="00CF07BA" w:rsidRDefault="00880CEC" w:rsidP="00880CEC">
      <w:pPr>
        <w:pStyle w:val="ListParagraph"/>
        <w:numPr>
          <w:ilvl w:val="0"/>
          <w:numId w:val="2"/>
        </w:numPr>
        <w:ind w:left="-180"/>
        <w:rPr>
          <w:rFonts w:ascii="Calibri" w:hAnsi="Calibri"/>
          <w:b/>
          <w:color w:val="172D5D"/>
          <w:sz w:val="22"/>
          <w:szCs w:val="22"/>
        </w:rPr>
      </w:pPr>
      <w:r>
        <w:rPr>
          <w:rFonts w:ascii="Calibri" w:hAnsi="Calibri"/>
          <w:b/>
          <w:color w:val="172D5D"/>
          <w:sz w:val="22"/>
          <w:szCs w:val="22"/>
        </w:rPr>
        <w:t>Any changes to implementation arrangements and appraisal thereof</w:t>
      </w:r>
    </w:p>
    <w:p w14:paraId="5E28D11F" w14:textId="23785691" w:rsidR="002837F8" w:rsidRPr="002837F8" w:rsidRDefault="00E3761D" w:rsidP="00875DBA">
      <w:pPr>
        <w:pStyle w:val="ListParagraph"/>
        <w:widowControl/>
        <w:numPr>
          <w:ilvl w:val="0"/>
          <w:numId w:val="3"/>
        </w:numPr>
        <w:tabs>
          <w:tab w:val="left" w:pos="0"/>
        </w:tabs>
        <w:autoSpaceDE/>
        <w:autoSpaceDN/>
        <w:adjustRightInd/>
        <w:spacing w:before="120" w:after="120"/>
        <w:ind w:left="-360" w:firstLine="0"/>
        <w:contextualSpacing w:val="0"/>
        <w:jc w:val="both"/>
        <w:rPr>
          <w:rFonts w:asciiTheme="minorHAnsi" w:hAnsiTheme="minorHAnsi" w:cstheme="minorHAnsi"/>
          <w:b/>
          <w:bCs/>
          <w:i/>
          <w:iCs/>
          <w:sz w:val="22"/>
          <w:szCs w:val="22"/>
        </w:rPr>
      </w:pPr>
      <w:r w:rsidRPr="002837F8">
        <w:rPr>
          <w:rFonts w:asciiTheme="minorHAnsi" w:hAnsiTheme="minorHAnsi" w:cstheme="minorHAnsi"/>
          <w:b/>
          <w:bCs/>
          <w:sz w:val="22"/>
          <w:szCs w:val="22"/>
        </w:rPr>
        <w:t>Implementation arrangements</w:t>
      </w:r>
      <w:r w:rsidRPr="002837F8">
        <w:rPr>
          <w:rFonts w:asciiTheme="minorHAnsi" w:hAnsiTheme="minorHAnsi" w:cstheme="minorHAnsi"/>
          <w:sz w:val="22"/>
          <w:szCs w:val="22"/>
        </w:rPr>
        <w:t xml:space="preserve">. The overall oversight for implementation of the Program would remain MEWR’s responsibility. </w:t>
      </w:r>
      <w:r w:rsidR="00D60C01">
        <w:rPr>
          <w:rFonts w:asciiTheme="minorHAnsi" w:hAnsiTheme="minorHAnsi" w:cstheme="minorHAnsi"/>
          <w:sz w:val="22"/>
          <w:szCs w:val="22"/>
        </w:rPr>
        <w:t xml:space="preserve">BT, SIB, and STB will be responsible for reporting to MEWR on implementation progress of the Program, providing required inputs and information, and securing MEWR concurrence, without breaching the requirements of the corporate governance arrangements in place, on actions that have direct implications for the achievement of DLIs and </w:t>
      </w:r>
      <w:proofErr w:type="spellStart"/>
      <w:r w:rsidR="00D60C01">
        <w:rPr>
          <w:rFonts w:asciiTheme="minorHAnsi" w:hAnsiTheme="minorHAnsi" w:cstheme="minorHAnsi"/>
          <w:sz w:val="22"/>
          <w:szCs w:val="22"/>
        </w:rPr>
        <w:t>DLRs.</w:t>
      </w:r>
      <w:proofErr w:type="spellEnd"/>
      <w:r w:rsidR="00D60C01">
        <w:rPr>
          <w:rFonts w:asciiTheme="minorHAnsi" w:hAnsiTheme="minorHAnsi" w:cstheme="minorHAnsi"/>
          <w:sz w:val="22"/>
          <w:szCs w:val="22"/>
        </w:rPr>
        <w:t xml:space="preserve"> </w:t>
      </w:r>
      <w:r w:rsidRPr="002837F8">
        <w:rPr>
          <w:rFonts w:asciiTheme="minorHAnsi" w:hAnsiTheme="minorHAnsi" w:cstheme="minorHAnsi"/>
          <w:sz w:val="22"/>
          <w:szCs w:val="22"/>
        </w:rPr>
        <w:t>MEWR would also be responsible for preparing and updating the GEP, as well as the T&amp;D network investment plans. AM</w:t>
      </w:r>
      <w:r w:rsidR="00842CA3">
        <w:rPr>
          <w:rFonts w:asciiTheme="minorHAnsi" w:hAnsiTheme="minorHAnsi" w:cstheme="minorHAnsi"/>
          <w:sz w:val="22"/>
          <w:szCs w:val="22"/>
        </w:rPr>
        <w:t>S</w:t>
      </w:r>
      <w:r w:rsidRPr="002837F8">
        <w:rPr>
          <w:rFonts w:asciiTheme="minorHAnsi" w:hAnsiTheme="minorHAnsi" w:cstheme="minorHAnsi"/>
          <w:sz w:val="22"/>
          <w:szCs w:val="22"/>
        </w:rPr>
        <w:t xml:space="preserve"> would be responsible for implementation of the new tariff methodology, including development of the Electricity Tariff Paper specifying the trajectory of annual tariff increases until 2031 to reach cost recovery levels, review of tariffs to be submitted by BT, SIB, and STB and making at least annual recommendations to the Government regarding the tariff adjustments. BT would be responsible for the parts of the</w:t>
      </w:r>
      <w:r w:rsidR="00FD4A78" w:rsidRPr="002837F8">
        <w:rPr>
          <w:rFonts w:asciiTheme="minorHAnsi" w:hAnsiTheme="minorHAnsi" w:cstheme="minorHAnsi"/>
          <w:sz w:val="22"/>
          <w:szCs w:val="22"/>
        </w:rPr>
        <w:t xml:space="preserve"> Program</w:t>
      </w:r>
      <w:r w:rsidRPr="002837F8">
        <w:rPr>
          <w:rFonts w:asciiTheme="minorHAnsi" w:hAnsiTheme="minorHAnsi" w:cstheme="minorHAnsi"/>
          <w:sz w:val="22"/>
          <w:szCs w:val="22"/>
        </w:rPr>
        <w:t xml:space="preserve"> activities related to securing adequate electricity supply</w:t>
      </w:r>
      <w:r w:rsidR="00FD4A78" w:rsidRPr="002837F8">
        <w:rPr>
          <w:rFonts w:asciiTheme="minorHAnsi" w:hAnsiTheme="minorHAnsi" w:cstheme="minorHAnsi"/>
          <w:sz w:val="22"/>
          <w:szCs w:val="22"/>
        </w:rPr>
        <w:t xml:space="preserve">, </w:t>
      </w:r>
      <w:r w:rsidRPr="002837F8">
        <w:rPr>
          <w:rFonts w:asciiTheme="minorHAnsi" w:hAnsiTheme="minorHAnsi" w:cstheme="minorHAnsi"/>
          <w:sz w:val="22"/>
          <w:szCs w:val="22"/>
        </w:rPr>
        <w:t>implementation of the annual capital repair and upgrade of key generation assets</w:t>
      </w:r>
      <w:r w:rsidR="00FD4A78" w:rsidRPr="002837F8">
        <w:rPr>
          <w:rFonts w:asciiTheme="minorHAnsi" w:hAnsiTheme="minorHAnsi" w:cstheme="minorHAnsi"/>
          <w:sz w:val="22"/>
          <w:szCs w:val="22"/>
        </w:rPr>
        <w:t>.</w:t>
      </w:r>
      <w:r w:rsidRPr="002837F8">
        <w:rPr>
          <w:rFonts w:asciiTheme="minorHAnsi" w:hAnsiTheme="minorHAnsi" w:cstheme="minorHAnsi"/>
          <w:sz w:val="22"/>
          <w:szCs w:val="22"/>
        </w:rPr>
        <w:t xml:space="preserve"> implementation of the good-practice corporate governance</w:t>
      </w:r>
      <w:r w:rsidR="00FD4A78" w:rsidRPr="002837F8">
        <w:rPr>
          <w:rFonts w:asciiTheme="minorHAnsi" w:hAnsiTheme="minorHAnsi" w:cstheme="minorHAnsi"/>
          <w:sz w:val="22"/>
          <w:szCs w:val="22"/>
        </w:rPr>
        <w:t>,</w:t>
      </w:r>
      <w:r w:rsidRPr="002837F8">
        <w:rPr>
          <w:rFonts w:asciiTheme="minorHAnsi" w:hAnsiTheme="minorHAnsi" w:cstheme="minorHAnsi"/>
          <w:sz w:val="22"/>
          <w:szCs w:val="22"/>
        </w:rPr>
        <w:t xml:space="preserve"> and disclosure of key operational and financial data and information</w:t>
      </w:r>
      <w:r w:rsidR="00FD4A78" w:rsidRPr="002837F8">
        <w:rPr>
          <w:rFonts w:asciiTheme="minorHAnsi" w:hAnsiTheme="minorHAnsi" w:cstheme="minorHAnsi"/>
          <w:sz w:val="22"/>
          <w:szCs w:val="22"/>
        </w:rPr>
        <w:t xml:space="preserve"> related to generation</w:t>
      </w:r>
      <w:r w:rsidRPr="002837F8">
        <w:rPr>
          <w:rFonts w:asciiTheme="minorHAnsi" w:hAnsiTheme="minorHAnsi" w:cstheme="minorHAnsi"/>
          <w:sz w:val="22"/>
          <w:szCs w:val="22"/>
        </w:rPr>
        <w:t xml:space="preserve">. </w:t>
      </w:r>
    </w:p>
    <w:p w14:paraId="0EAAB9CA" w14:textId="33B01D99" w:rsidR="002837F8" w:rsidRPr="00B035BA" w:rsidRDefault="00FD4A78" w:rsidP="00875DBA">
      <w:pPr>
        <w:pStyle w:val="ListParagraph"/>
        <w:widowControl/>
        <w:numPr>
          <w:ilvl w:val="0"/>
          <w:numId w:val="3"/>
        </w:numPr>
        <w:tabs>
          <w:tab w:val="left" w:pos="0"/>
        </w:tabs>
        <w:autoSpaceDE/>
        <w:autoSpaceDN/>
        <w:adjustRightInd/>
        <w:spacing w:before="120" w:after="120"/>
        <w:ind w:left="-360" w:firstLine="0"/>
        <w:contextualSpacing w:val="0"/>
        <w:jc w:val="both"/>
        <w:rPr>
          <w:rFonts w:asciiTheme="minorHAnsi" w:hAnsiTheme="minorHAnsi" w:cstheme="minorHAnsi"/>
          <w:b/>
          <w:bCs/>
          <w:i/>
          <w:iCs/>
          <w:sz w:val="22"/>
          <w:szCs w:val="22"/>
        </w:rPr>
      </w:pPr>
      <w:r w:rsidRPr="002837F8">
        <w:rPr>
          <w:rFonts w:asciiTheme="minorHAnsi" w:hAnsiTheme="minorHAnsi" w:cstheme="minorHAnsi"/>
          <w:sz w:val="22"/>
          <w:szCs w:val="22"/>
        </w:rPr>
        <w:t xml:space="preserve">Now that the electricity sector has been restructured, </w:t>
      </w:r>
      <w:r w:rsidR="00E3761D" w:rsidRPr="002837F8">
        <w:rPr>
          <w:rFonts w:asciiTheme="minorHAnsi" w:hAnsiTheme="minorHAnsi" w:cstheme="minorHAnsi"/>
          <w:sz w:val="22"/>
          <w:szCs w:val="22"/>
        </w:rPr>
        <w:t>SIB and STB would be responsible for implementation of annual recurrent repairs and upgrades of transmission and distribution assets</w:t>
      </w:r>
      <w:r w:rsidRPr="002837F8">
        <w:rPr>
          <w:rFonts w:asciiTheme="minorHAnsi" w:hAnsiTheme="minorHAnsi" w:cstheme="minorHAnsi"/>
          <w:sz w:val="22"/>
          <w:szCs w:val="22"/>
        </w:rPr>
        <w:t xml:space="preserve"> as well as implementation of the established corporate governance functions and disclosure of key operational and financial data related to their operations.</w:t>
      </w:r>
      <w:r w:rsidR="002837F8" w:rsidRPr="002837F8">
        <w:rPr>
          <w:rFonts w:asciiTheme="minorHAnsi" w:hAnsiTheme="minorHAnsi" w:cstheme="minorHAnsi"/>
          <w:sz w:val="22"/>
          <w:szCs w:val="22"/>
        </w:rPr>
        <w:t xml:space="preserve"> </w:t>
      </w:r>
      <w:r w:rsidR="002837F8" w:rsidRPr="002837F8">
        <w:rPr>
          <w:rFonts w:asciiTheme="minorHAnsi" w:hAnsiTheme="minorHAnsi" w:cstheme="minorHAnsi"/>
          <w:bCs/>
          <w:sz w:val="22"/>
          <w:szCs w:val="22"/>
        </w:rPr>
        <w:t>Therefore, to facilitate the carrying out of the Program, the Recipient and/or BT will enter into Implementation Agreements with SIB and STB each, which shall define the specific roles and responsibilities of SIB and STB to facilitate timely implementation of the Program.</w:t>
      </w:r>
    </w:p>
    <w:p w14:paraId="5284E795" w14:textId="0D97754F" w:rsidR="00CF07BA" w:rsidRDefault="00880CEC" w:rsidP="00880CEC">
      <w:pPr>
        <w:pStyle w:val="ListParagraph"/>
        <w:numPr>
          <w:ilvl w:val="0"/>
          <w:numId w:val="2"/>
        </w:numPr>
        <w:ind w:left="-180"/>
        <w:rPr>
          <w:rFonts w:ascii="Calibri" w:hAnsi="Calibri"/>
          <w:b/>
          <w:color w:val="172D5D"/>
          <w:sz w:val="22"/>
          <w:szCs w:val="22"/>
        </w:rPr>
      </w:pPr>
      <w:r>
        <w:rPr>
          <w:rFonts w:ascii="Calibri" w:hAnsi="Calibri"/>
          <w:b/>
          <w:color w:val="172D5D"/>
          <w:sz w:val="22"/>
          <w:szCs w:val="22"/>
        </w:rPr>
        <w:t>Corporate requirements</w:t>
      </w:r>
    </w:p>
    <w:p w14:paraId="6AB6D269" w14:textId="512994E6" w:rsidR="00EE7D20" w:rsidRPr="00EE7D20" w:rsidRDefault="00EE7D20" w:rsidP="00875DBA">
      <w:pPr>
        <w:pStyle w:val="ListParagraph"/>
        <w:numPr>
          <w:ilvl w:val="0"/>
          <w:numId w:val="3"/>
        </w:numPr>
        <w:tabs>
          <w:tab w:val="left" w:pos="0"/>
        </w:tabs>
        <w:spacing w:before="120" w:after="120"/>
        <w:ind w:left="-360" w:firstLine="0"/>
        <w:contextualSpacing w:val="0"/>
        <w:jc w:val="both"/>
        <w:rPr>
          <w:rFonts w:asciiTheme="minorHAnsi" w:hAnsiTheme="minorHAnsi" w:cstheme="minorHAnsi"/>
          <w:b/>
          <w:color w:val="172D5D"/>
          <w:sz w:val="22"/>
          <w:szCs w:val="22"/>
        </w:rPr>
      </w:pPr>
      <w:r w:rsidRPr="00EE7D20">
        <w:rPr>
          <w:rFonts w:ascii="Calibri" w:hAnsi="Calibri" w:cs="Calibri"/>
          <w:b/>
          <w:bCs/>
          <w:sz w:val="22"/>
        </w:rPr>
        <w:t>Climate Change Context</w:t>
      </w:r>
      <w:r w:rsidRPr="00EE7D20">
        <w:rPr>
          <w:rFonts w:ascii="Calibri" w:hAnsi="Calibri" w:cs="Calibri"/>
          <w:sz w:val="22"/>
        </w:rPr>
        <w:t xml:space="preserve">. </w:t>
      </w:r>
      <w:r w:rsidRPr="00EE7D20">
        <w:rPr>
          <w:rFonts w:asciiTheme="minorHAnsi" w:hAnsiTheme="minorHAnsi" w:cstheme="minorHAnsi"/>
          <w:sz w:val="22"/>
          <w:szCs w:val="15"/>
          <w:lang w:val="en"/>
        </w:rPr>
        <w:t xml:space="preserve">Tajikistan is at risk of hydrometeorological hazards and natural disasters. Frequent natural disasters include landslides, floods, flash-flooding, mudflows, droughts, avalanches, heavy </w:t>
      </w:r>
      <w:proofErr w:type="gramStart"/>
      <w:r w:rsidRPr="00EE7D20">
        <w:rPr>
          <w:rFonts w:asciiTheme="minorHAnsi" w:hAnsiTheme="minorHAnsi" w:cstheme="minorHAnsi"/>
          <w:sz w:val="22"/>
          <w:szCs w:val="15"/>
          <w:lang w:val="en"/>
        </w:rPr>
        <w:lastRenderedPageBreak/>
        <w:t>winds</w:t>
      </w:r>
      <w:proofErr w:type="gramEnd"/>
      <w:r w:rsidRPr="00EE7D20">
        <w:rPr>
          <w:rFonts w:asciiTheme="minorHAnsi" w:hAnsiTheme="minorHAnsi" w:cstheme="minorHAnsi"/>
          <w:sz w:val="22"/>
          <w:szCs w:val="15"/>
          <w:lang w:val="en"/>
        </w:rPr>
        <w:t xml:space="preserve"> and storms. These risks are in part due to the country’s complex mountainous </w:t>
      </w:r>
      <w:r w:rsidR="00DF7F9C" w:rsidRPr="00EE7D20">
        <w:rPr>
          <w:rFonts w:asciiTheme="minorHAnsi" w:hAnsiTheme="minorHAnsi" w:cstheme="minorHAnsi"/>
          <w:sz w:val="22"/>
          <w:szCs w:val="15"/>
          <w:lang w:val="en"/>
        </w:rPr>
        <w:t>terrain but</w:t>
      </w:r>
      <w:r w:rsidRPr="00EE7D20">
        <w:rPr>
          <w:rFonts w:asciiTheme="minorHAnsi" w:hAnsiTheme="minorHAnsi" w:cstheme="minorHAnsi"/>
          <w:sz w:val="22"/>
          <w:szCs w:val="15"/>
          <w:lang w:val="en"/>
        </w:rPr>
        <w:t xml:space="preserve"> are expected to be exacerbated and heightened through expected climate changes. The projected impacts from climate change make Tajikistan increasingly vulnerable to heavy precipitation, landslides, earthquakes, and floods. Climate change is also expected to increase risks and severity of natural disasters. In recent years, the number of natural disasters has increased nearly three times and, in many cases, have been considered as catastrophic, causing </w:t>
      </w:r>
      <w:proofErr w:type="gramStart"/>
      <w:r w:rsidRPr="00EE7D20">
        <w:rPr>
          <w:rFonts w:asciiTheme="minorHAnsi" w:hAnsiTheme="minorHAnsi" w:cstheme="minorHAnsi"/>
          <w:sz w:val="22"/>
          <w:szCs w:val="15"/>
          <w:lang w:val="en"/>
        </w:rPr>
        <w:t>fatalities</w:t>
      </w:r>
      <w:proofErr w:type="gramEnd"/>
      <w:r w:rsidRPr="00EE7D20">
        <w:rPr>
          <w:rFonts w:asciiTheme="minorHAnsi" w:hAnsiTheme="minorHAnsi" w:cstheme="minorHAnsi"/>
          <w:sz w:val="22"/>
          <w:szCs w:val="15"/>
          <w:lang w:val="en"/>
        </w:rPr>
        <w:t xml:space="preserve"> and leading to significant economic losses. The </w:t>
      </w:r>
      <w:r w:rsidRPr="00EE7D20">
        <w:rPr>
          <w:rFonts w:asciiTheme="minorHAnsi" w:hAnsiTheme="minorHAnsi" w:cstheme="minorHAnsi"/>
          <w:sz w:val="22"/>
        </w:rPr>
        <w:t>Program activities will help address this vulnerability context and increase the resilience of the T&amp;D network to anticipated adverse effects of climate change.</w:t>
      </w:r>
    </w:p>
    <w:p w14:paraId="3B9C3CC6" w14:textId="02802A0D" w:rsidR="00EE7D20" w:rsidRPr="00EE7D20" w:rsidRDefault="00EE7D20" w:rsidP="00875DBA">
      <w:pPr>
        <w:pStyle w:val="ListParagraph"/>
        <w:numPr>
          <w:ilvl w:val="0"/>
          <w:numId w:val="3"/>
        </w:numPr>
        <w:tabs>
          <w:tab w:val="left" w:pos="0"/>
        </w:tabs>
        <w:spacing w:before="120" w:after="120"/>
        <w:ind w:left="-360" w:firstLine="0"/>
        <w:contextualSpacing w:val="0"/>
        <w:jc w:val="both"/>
        <w:rPr>
          <w:rFonts w:asciiTheme="minorHAnsi" w:hAnsiTheme="minorHAnsi" w:cstheme="minorHAnsi"/>
          <w:b/>
          <w:color w:val="172D5D"/>
          <w:sz w:val="22"/>
          <w:szCs w:val="22"/>
        </w:rPr>
      </w:pPr>
      <w:r w:rsidRPr="00EE7D20">
        <w:rPr>
          <w:rFonts w:ascii="Calibri" w:hAnsi="Calibri" w:cs="Calibri"/>
          <w:b/>
          <w:sz w:val="22"/>
          <w:szCs w:val="22"/>
        </w:rPr>
        <w:t>Adaptation to Climate Change</w:t>
      </w:r>
      <w:r w:rsidRPr="00EE7D20">
        <w:rPr>
          <w:rFonts w:ascii="Calibri" w:hAnsi="Calibri" w:cs="Calibri"/>
          <w:sz w:val="22"/>
          <w:szCs w:val="22"/>
        </w:rPr>
        <w:t xml:space="preserve">. </w:t>
      </w:r>
      <w:r w:rsidRPr="00EE7D20">
        <w:rPr>
          <w:rFonts w:asciiTheme="minorHAnsi" w:hAnsiTheme="minorHAnsi" w:cstheme="minorHAnsi"/>
          <w:sz w:val="22"/>
        </w:rPr>
        <w:t xml:space="preserve">The Program will help to adapt the electricity T&amp;D sector to impacts from climate change. Specifically, improved financial viability of </w:t>
      </w:r>
      <w:r w:rsidR="00DF7F9C">
        <w:rPr>
          <w:rFonts w:asciiTheme="minorHAnsi" w:hAnsiTheme="minorHAnsi" w:cstheme="minorHAnsi"/>
          <w:sz w:val="22"/>
        </w:rPr>
        <w:t xml:space="preserve">electricity sector </w:t>
      </w:r>
      <w:r w:rsidRPr="00EE7D20">
        <w:rPr>
          <w:rFonts w:asciiTheme="minorHAnsi" w:hAnsiTheme="minorHAnsi" w:cstheme="minorHAnsi"/>
          <w:sz w:val="22"/>
        </w:rPr>
        <w:t xml:space="preserve">would enable the company to make the required investments into further strengthening of reliability of the T&amp;D network by adopting design solutions that consider the increased frequency of extreme meteorological events caused by climate change. Without financial viability of </w:t>
      </w:r>
      <w:r w:rsidR="00DF7F9C">
        <w:rPr>
          <w:rFonts w:asciiTheme="minorHAnsi" w:hAnsiTheme="minorHAnsi" w:cstheme="minorHAnsi"/>
          <w:sz w:val="22"/>
        </w:rPr>
        <w:t>electricity sector</w:t>
      </w:r>
      <w:r w:rsidRPr="00EE7D20">
        <w:rPr>
          <w:rFonts w:asciiTheme="minorHAnsi" w:hAnsiTheme="minorHAnsi" w:cstheme="minorHAnsi"/>
          <w:sz w:val="22"/>
        </w:rPr>
        <w:t xml:space="preserve">, such investments, which </w:t>
      </w:r>
      <w:proofErr w:type="gramStart"/>
      <w:r w:rsidRPr="00EE7D20">
        <w:rPr>
          <w:rFonts w:asciiTheme="minorHAnsi" w:hAnsiTheme="minorHAnsi" w:cstheme="minorHAnsi"/>
          <w:sz w:val="22"/>
        </w:rPr>
        <w:t>take into account</w:t>
      </w:r>
      <w:proofErr w:type="gramEnd"/>
      <w:r w:rsidRPr="00EE7D20">
        <w:rPr>
          <w:rFonts w:asciiTheme="minorHAnsi" w:hAnsiTheme="minorHAnsi" w:cstheme="minorHAnsi"/>
          <w:sz w:val="22"/>
        </w:rPr>
        <w:t xml:space="preserve"> potential impacts from climate change, cannot be implemented. Therefore, without this Program, the T&amp;D sector would remain significantly exposed to impacts from climate change.</w:t>
      </w:r>
    </w:p>
    <w:p w14:paraId="6F227CEC" w14:textId="19BDA062" w:rsidR="00E067D6" w:rsidRPr="00E067D6" w:rsidRDefault="00494FE0" w:rsidP="00875DBA">
      <w:pPr>
        <w:pStyle w:val="ListParagraph"/>
        <w:numPr>
          <w:ilvl w:val="0"/>
          <w:numId w:val="3"/>
        </w:numPr>
        <w:tabs>
          <w:tab w:val="left" w:pos="0"/>
        </w:tabs>
        <w:spacing w:after="120"/>
        <w:ind w:left="-360" w:firstLine="0"/>
        <w:contextualSpacing w:val="0"/>
        <w:jc w:val="both"/>
        <w:rPr>
          <w:rFonts w:asciiTheme="minorHAnsi" w:hAnsiTheme="minorHAnsi" w:cstheme="minorHAnsi"/>
          <w:sz w:val="22"/>
          <w:szCs w:val="22"/>
        </w:rPr>
      </w:pPr>
      <w:r w:rsidRPr="00E067D6">
        <w:rPr>
          <w:rFonts w:ascii="Calibri" w:hAnsi="Calibri"/>
          <w:b/>
          <w:color w:val="auto"/>
          <w:sz w:val="22"/>
          <w:szCs w:val="22"/>
        </w:rPr>
        <w:t>Gender.</w:t>
      </w:r>
      <w:r w:rsidRPr="00E067D6">
        <w:rPr>
          <w:rFonts w:ascii="Calibri" w:hAnsi="Calibri"/>
          <w:b/>
          <w:color w:val="172D5D"/>
          <w:sz w:val="22"/>
          <w:szCs w:val="22"/>
        </w:rPr>
        <w:t xml:space="preserve"> </w:t>
      </w:r>
      <w:r w:rsidR="00E067D6" w:rsidRPr="00E067D6">
        <w:rPr>
          <w:rFonts w:asciiTheme="minorHAnsi" w:eastAsia="Times New Roman" w:hAnsiTheme="minorHAnsi" w:cstheme="minorHAnsi"/>
          <w:sz w:val="22"/>
          <w:szCs w:val="22"/>
        </w:rPr>
        <w:t xml:space="preserve">The gender gap in labor force participation in </w:t>
      </w:r>
      <w:r w:rsidR="00E067D6" w:rsidRPr="00E067D6">
        <w:rPr>
          <w:rFonts w:asciiTheme="minorHAnsi" w:hAnsiTheme="minorHAnsi" w:cstheme="minorHAnsi"/>
          <w:sz w:val="22"/>
          <w:szCs w:val="22"/>
        </w:rPr>
        <w:t>Tajikistan is significant. The International Labor Organization estimates that only 32.9 percent of women aged 15-64 years old participated in the labor force in 2020, compared to 55 percent of men in the same age range who did so. The gap is even wider in the e</w:t>
      </w:r>
      <w:r w:rsidR="00E067D6">
        <w:rPr>
          <w:rFonts w:asciiTheme="minorHAnsi" w:hAnsiTheme="minorHAnsi" w:cstheme="minorHAnsi"/>
          <w:sz w:val="22"/>
          <w:szCs w:val="22"/>
        </w:rPr>
        <w:t>lectricity</w:t>
      </w:r>
      <w:r w:rsidR="00E067D6" w:rsidRPr="00E067D6">
        <w:rPr>
          <w:rFonts w:asciiTheme="minorHAnsi" w:hAnsiTheme="minorHAnsi" w:cstheme="minorHAnsi"/>
          <w:sz w:val="22"/>
          <w:szCs w:val="22"/>
        </w:rPr>
        <w:t xml:space="preserve"> and gas supply sector where </w:t>
      </w:r>
      <w:r w:rsidR="00E067D6" w:rsidRPr="00E067D6">
        <w:rPr>
          <w:rFonts w:asciiTheme="minorHAnsi" w:hAnsiTheme="minorHAnsi" w:cstheme="minorHAnsi"/>
          <w:color w:val="000000" w:themeColor="text1"/>
          <w:sz w:val="22"/>
          <w:szCs w:val="22"/>
        </w:rPr>
        <w:t xml:space="preserve">the share of women employed was only 4 percent in </w:t>
      </w:r>
      <w:r w:rsidR="00E067D6" w:rsidRPr="00E067D6">
        <w:rPr>
          <w:rFonts w:asciiTheme="minorHAnsi" w:hAnsiTheme="minorHAnsi" w:cstheme="minorHAnsi"/>
          <w:sz w:val="22"/>
          <w:szCs w:val="22"/>
        </w:rPr>
        <w:t xml:space="preserve">2016, according to the World Bank’s Country Gender Assessment of Tajikistan (2021). This report also notes that the </w:t>
      </w:r>
      <w:r w:rsidR="00E067D6">
        <w:rPr>
          <w:rFonts w:asciiTheme="minorHAnsi" w:hAnsiTheme="minorHAnsi" w:cstheme="minorHAnsi"/>
          <w:sz w:val="22"/>
          <w:szCs w:val="22"/>
        </w:rPr>
        <w:t xml:space="preserve">estimated </w:t>
      </w:r>
      <w:r w:rsidR="00E067D6" w:rsidRPr="00E067D6">
        <w:rPr>
          <w:rFonts w:asciiTheme="minorHAnsi" w:hAnsiTheme="minorHAnsi" w:cstheme="minorHAnsi"/>
          <w:sz w:val="22"/>
          <w:szCs w:val="22"/>
        </w:rPr>
        <w:t xml:space="preserve">income </w:t>
      </w:r>
      <w:r w:rsidR="00E067D6">
        <w:rPr>
          <w:rFonts w:asciiTheme="minorHAnsi" w:hAnsiTheme="minorHAnsi" w:cstheme="minorHAnsi"/>
          <w:sz w:val="22"/>
          <w:szCs w:val="22"/>
        </w:rPr>
        <w:t xml:space="preserve">earned by </w:t>
      </w:r>
      <w:r w:rsidR="00E067D6" w:rsidRPr="00E067D6">
        <w:rPr>
          <w:rFonts w:asciiTheme="minorHAnsi" w:hAnsiTheme="minorHAnsi" w:cstheme="minorHAnsi"/>
          <w:sz w:val="22"/>
          <w:szCs w:val="22"/>
        </w:rPr>
        <w:t>female</w:t>
      </w:r>
      <w:r w:rsidR="00E067D6">
        <w:rPr>
          <w:rFonts w:asciiTheme="minorHAnsi" w:hAnsiTheme="minorHAnsi" w:cstheme="minorHAnsi"/>
          <w:sz w:val="22"/>
          <w:szCs w:val="22"/>
        </w:rPr>
        <w:t>s</w:t>
      </w:r>
      <w:r w:rsidR="00E067D6" w:rsidRPr="00E067D6">
        <w:rPr>
          <w:rFonts w:asciiTheme="minorHAnsi" w:hAnsiTheme="minorHAnsi" w:cstheme="minorHAnsi"/>
          <w:sz w:val="22"/>
          <w:szCs w:val="22"/>
        </w:rPr>
        <w:t xml:space="preserve"> is 4.5 times lower </w:t>
      </w:r>
      <w:r w:rsidR="00E067D6">
        <w:rPr>
          <w:rFonts w:asciiTheme="minorHAnsi" w:hAnsiTheme="minorHAnsi" w:cstheme="minorHAnsi"/>
          <w:sz w:val="22"/>
          <w:szCs w:val="22"/>
        </w:rPr>
        <w:t>compared to income earned by males</w:t>
      </w:r>
      <w:r w:rsidR="00E067D6" w:rsidRPr="00E067D6">
        <w:rPr>
          <w:rFonts w:asciiTheme="minorHAnsi" w:hAnsiTheme="minorHAnsi" w:cstheme="minorHAnsi"/>
          <w:sz w:val="22"/>
          <w:szCs w:val="22"/>
        </w:rPr>
        <w:t xml:space="preserve">. Technical jobs in the </w:t>
      </w:r>
      <w:r w:rsidR="00E067D6">
        <w:rPr>
          <w:rFonts w:asciiTheme="minorHAnsi" w:hAnsiTheme="minorHAnsi" w:cstheme="minorHAnsi"/>
          <w:sz w:val="22"/>
          <w:szCs w:val="22"/>
        </w:rPr>
        <w:t>energy</w:t>
      </w:r>
      <w:r w:rsidR="00E067D6" w:rsidRPr="00E067D6">
        <w:rPr>
          <w:rFonts w:asciiTheme="minorHAnsi" w:hAnsiTheme="minorHAnsi" w:cstheme="minorHAnsi"/>
          <w:sz w:val="22"/>
          <w:szCs w:val="22"/>
        </w:rPr>
        <w:t xml:space="preserve"> sector tend to offer higher wages and are thus of interest for providing more and better job opportunities for women. Under Results Area 3 - Strengthening of </w:t>
      </w:r>
      <w:r w:rsidR="00E067D6" w:rsidRPr="00E067D6">
        <w:rPr>
          <w:rFonts w:asciiTheme="minorHAnsi" w:eastAsia="Times New Roman" w:hAnsiTheme="minorHAnsi" w:cstheme="minorHAnsi"/>
          <w:bCs/>
          <w:sz w:val="22"/>
          <w:szCs w:val="22"/>
        </w:rPr>
        <w:t>BT, SIB, and STB Governance</w:t>
      </w:r>
      <w:r w:rsidR="00E067D6" w:rsidRPr="00E067D6">
        <w:rPr>
          <w:rFonts w:asciiTheme="minorHAnsi" w:hAnsiTheme="minorHAnsi" w:cstheme="minorHAnsi"/>
          <w:sz w:val="22"/>
          <w:szCs w:val="22"/>
        </w:rPr>
        <w:t xml:space="preserve"> and Improvement of Transparency, the </w:t>
      </w:r>
      <w:r w:rsidR="00E067D6">
        <w:rPr>
          <w:rFonts w:asciiTheme="minorHAnsi" w:hAnsiTheme="minorHAnsi" w:cstheme="minorHAnsi"/>
          <w:sz w:val="22"/>
          <w:szCs w:val="22"/>
        </w:rPr>
        <w:t>P</w:t>
      </w:r>
      <w:r w:rsidR="00E067D6" w:rsidRPr="00E067D6">
        <w:rPr>
          <w:rFonts w:asciiTheme="minorHAnsi" w:hAnsiTheme="minorHAnsi" w:cstheme="minorHAnsi"/>
          <w:sz w:val="22"/>
          <w:szCs w:val="22"/>
        </w:rPr>
        <w:t>rogram will thus seek to address the gender gap in women’s employment in the e</w:t>
      </w:r>
      <w:r w:rsidR="00E067D6">
        <w:rPr>
          <w:rFonts w:asciiTheme="minorHAnsi" w:hAnsiTheme="minorHAnsi" w:cstheme="minorHAnsi"/>
          <w:sz w:val="22"/>
          <w:szCs w:val="22"/>
        </w:rPr>
        <w:t>nergy sector</w:t>
      </w:r>
      <w:r w:rsidR="00E067D6" w:rsidRPr="00E067D6">
        <w:rPr>
          <w:rFonts w:asciiTheme="minorHAnsi" w:hAnsiTheme="minorHAnsi" w:cstheme="minorHAnsi"/>
          <w:sz w:val="22"/>
          <w:szCs w:val="22"/>
        </w:rPr>
        <w:t>, complementing the activities envisaged under other ongoing operations in Tajikistan, namely the Rural Electrification Project (P170132) and the Nurek Hydropower Rehabilitation Project Phase 2 (</w:t>
      </w:r>
      <w:r w:rsidR="00E067D6" w:rsidRPr="00E067D6">
        <w:rPr>
          <w:rFonts w:ascii="Calibri" w:hAnsi="Calibri" w:cs="Calibri"/>
          <w:sz w:val="22"/>
          <w:szCs w:val="22"/>
        </w:rPr>
        <w:t>P173804</w:t>
      </w:r>
      <w:r w:rsidR="00E067D6" w:rsidRPr="00E067D6">
        <w:rPr>
          <w:rFonts w:asciiTheme="minorHAnsi" w:hAnsiTheme="minorHAnsi" w:cstheme="minorHAnsi"/>
          <w:sz w:val="22"/>
          <w:szCs w:val="22"/>
        </w:rPr>
        <w:t xml:space="preserve">). </w:t>
      </w:r>
    </w:p>
    <w:p w14:paraId="0CD77BAC" w14:textId="3AA65A62" w:rsidR="00E067D6" w:rsidRPr="001702C0" w:rsidRDefault="00E067D6" w:rsidP="00875DBA">
      <w:pPr>
        <w:pStyle w:val="ListParagraph"/>
        <w:numPr>
          <w:ilvl w:val="0"/>
          <w:numId w:val="3"/>
        </w:numPr>
        <w:tabs>
          <w:tab w:val="left" w:pos="0"/>
        </w:tabs>
        <w:spacing w:after="120"/>
        <w:ind w:left="-360" w:firstLine="0"/>
        <w:contextualSpacing w:val="0"/>
        <w:jc w:val="both"/>
        <w:rPr>
          <w:rFonts w:asciiTheme="minorHAnsi" w:hAnsiTheme="minorHAnsi" w:cstheme="minorHAnsi"/>
          <w:b/>
          <w:color w:val="172D5D"/>
          <w:sz w:val="22"/>
          <w:szCs w:val="22"/>
        </w:rPr>
      </w:pPr>
      <w:r w:rsidRPr="008743CB">
        <w:rPr>
          <w:rFonts w:asciiTheme="minorHAnsi" w:hAnsiTheme="minorHAnsi" w:cstheme="minorHAnsi"/>
          <w:sz w:val="22"/>
          <w:szCs w:val="22"/>
        </w:rPr>
        <w:t>A baseline assessment of women’s employment in the energy sector in four Central Asian countries including Tajikistan, planned to start in June 2022, will provide a baseline on women’s employment in technical and managerial jobs in the energy sector, the share of</w:t>
      </w:r>
      <w:r>
        <w:rPr>
          <w:rFonts w:asciiTheme="minorHAnsi" w:hAnsiTheme="minorHAnsi" w:cstheme="minorHAnsi"/>
          <w:sz w:val="22"/>
          <w:szCs w:val="22"/>
        </w:rPr>
        <w:t xml:space="preserve"> female</w:t>
      </w:r>
      <w:r w:rsidRPr="008743CB">
        <w:rPr>
          <w:rFonts w:asciiTheme="minorHAnsi" w:hAnsiTheme="minorHAnsi" w:cstheme="minorHAnsi"/>
          <w:sz w:val="22"/>
          <w:szCs w:val="22"/>
        </w:rPr>
        <w:t xml:space="preserve"> students graduating from the academic programs that are relevant to the energy sector, and women’s experience in pursuing engineering studies, and in entering and advancing their careers in the energy sector. Based on the results of this assessment, specific actions will be discussed with </w:t>
      </w:r>
      <w:r w:rsidR="001702C0">
        <w:rPr>
          <w:rFonts w:asciiTheme="minorHAnsi" w:hAnsiTheme="minorHAnsi" w:cstheme="minorHAnsi"/>
          <w:sz w:val="22"/>
          <w:szCs w:val="22"/>
        </w:rPr>
        <w:t>MEWR</w:t>
      </w:r>
      <w:r w:rsidRPr="008743CB">
        <w:rPr>
          <w:rFonts w:asciiTheme="minorHAnsi" w:eastAsia="Times New Roman" w:hAnsiTheme="minorHAnsi" w:cstheme="minorHAnsi"/>
          <w:noProof/>
          <w:sz w:val="22"/>
          <w:szCs w:val="22"/>
        </w:rPr>
        <w:t xml:space="preserve"> and B</w:t>
      </w:r>
      <w:r w:rsidR="001702C0">
        <w:rPr>
          <w:rFonts w:asciiTheme="minorHAnsi" w:eastAsia="Times New Roman" w:hAnsiTheme="minorHAnsi" w:cstheme="minorHAnsi"/>
          <w:noProof/>
          <w:sz w:val="22"/>
          <w:szCs w:val="22"/>
        </w:rPr>
        <w:t>T</w:t>
      </w:r>
      <w:r w:rsidRPr="008743CB">
        <w:rPr>
          <w:rFonts w:asciiTheme="minorHAnsi" w:hAnsiTheme="minorHAnsi" w:cstheme="minorHAnsi"/>
          <w:sz w:val="22"/>
          <w:szCs w:val="22"/>
        </w:rPr>
        <w:t xml:space="preserve"> for advancing opportunities for women in the energy companies engaged in </w:t>
      </w:r>
      <w:r w:rsidR="001702C0">
        <w:rPr>
          <w:rFonts w:asciiTheme="minorHAnsi" w:hAnsiTheme="minorHAnsi" w:cstheme="minorHAnsi"/>
          <w:sz w:val="22"/>
          <w:szCs w:val="22"/>
        </w:rPr>
        <w:t>the P</w:t>
      </w:r>
      <w:r w:rsidRPr="008743CB">
        <w:rPr>
          <w:rFonts w:asciiTheme="minorHAnsi" w:hAnsiTheme="minorHAnsi" w:cstheme="minorHAnsi"/>
          <w:sz w:val="22"/>
          <w:szCs w:val="22"/>
        </w:rPr>
        <w:t>rogram implementation.</w:t>
      </w:r>
      <w:r w:rsidRPr="00CA4894">
        <w:rPr>
          <w:rFonts w:asciiTheme="minorHAnsi" w:hAnsiTheme="minorHAnsi" w:cstheme="minorHAnsi"/>
          <w:bCs/>
          <w:color w:val="auto"/>
          <w:sz w:val="22"/>
          <w:szCs w:val="22"/>
        </w:rPr>
        <w:t xml:space="preserve"> Those activities may</w:t>
      </w:r>
      <w:r w:rsidRPr="00DC4C7D">
        <w:rPr>
          <w:rFonts w:asciiTheme="minorHAnsi" w:hAnsiTheme="minorHAnsi" w:cstheme="minorHAnsi"/>
          <w:bCs/>
          <w:color w:val="auto"/>
          <w:sz w:val="22"/>
          <w:szCs w:val="22"/>
        </w:rPr>
        <w:t xml:space="preserve"> include, but not</w:t>
      </w:r>
      <w:r>
        <w:rPr>
          <w:rFonts w:asciiTheme="minorHAnsi" w:hAnsiTheme="minorHAnsi" w:cstheme="minorHAnsi"/>
          <w:bCs/>
          <w:color w:val="auto"/>
          <w:sz w:val="22"/>
          <w:szCs w:val="22"/>
        </w:rPr>
        <w:t xml:space="preserve"> be</w:t>
      </w:r>
      <w:r w:rsidRPr="00DC4C7D">
        <w:rPr>
          <w:rFonts w:asciiTheme="minorHAnsi" w:hAnsiTheme="minorHAnsi" w:cstheme="minorHAnsi"/>
          <w:bCs/>
          <w:color w:val="auto"/>
          <w:sz w:val="22"/>
          <w:szCs w:val="22"/>
        </w:rPr>
        <w:t xml:space="preserve"> limited to providing technical and/or leadership trainings for female employees, providing</w:t>
      </w:r>
      <w:r w:rsidRPr="00DC4C7D">
        <w:rPr>
          <w:rFonts w:asciiTheme="minorHAnsi" w:hAnsiTheme="minorHAnsi" w:cstheme="minorHAnsi"/>
          <w:color w:val="auto"/>
          <w:sz w:val="22"/>
          <w:szCs w:val="22"/>
        </w:rPr>
        <w:t xml:space="preserve"> </w:t>
      </w:r>
      <w:r w:rsidRPr="00DC4C7D">
        <w:rPr>
          <w:rFonts w:asciiTheme="minorHAnsi" w:hAnsiTheme="minorHAnsi" w:cstheme="minorHAnsi"/>
          <w:sz w:val="22"/>
          <w:szCs w:val="22"/>
        </w:rPr>
        <w:t>trainings for managerial and technical staff on gender inclusion, strengthening existing internship programs (if available) in collaboration with relevant academic institutions to attract more female engineers, providing childcare services and facilities at the companies</w:t>
      </w:r>
      <w:r>
        <w:rPr>
          <w:rFonts w:asciiTheme="minorHAnsi" w:hAnsiTheme="minorHAnsi" w:cstheme="minorHAnsi"/>
          <w:sz w:val="22"/>
          <w:szCs w:val="22"/>
        </w:rPr>
        <w:t>, etc</w:t>
      </w:r>
      <w:r w:rsidRPr="00DC4C7D">
        <w:rPr>
          <w:rFonts w:asciiTheme="minorHAnsi" w:hAnsiTheme="minorHAnsi" w:cstheme="minorHAnsi"/>
          <w:sz w:val="22"/>
          <w:szCs w:val="22"/>
        </w:rPr>
        <w:t>. T</w:t>
      </w:r>
      <w:r>
        <w:rPr>
          <w:rFonts w:asciiTheme="minorHAnsi" w:hAnsiTheme="minorHAnsi" w:cstheme="minorHAnsi"/>
          <w:sz w:val="22"/>
          <w:szCs w:val="22"/>
        </w:rPr>
        <w:t>o</w:t>
      </w:r>
      <w:r w:rsidRPr="00DC4C7D">
        <w:rPr>
          <w:rFonts w:asciiTheme="minorHAnsi" w:hAnsiTheme="minorHAnsi" w:cstheme="minorHAnsi"/>
          <w:sz w:val="22"/>
          <w:szCs w:val="22"/>
        </w:rPr>
        <w:t xml:space="preserve"> </w:t>
      </w:r>
      <w:r>
        <w:rPr>
          <w:rFonts w:asciiTheme="minorHAnsi" w:hAnsiTheme="minorHAnsi" w:cstheme="minorHAnsi"/>
          <w:sz w:val="22"/>
          <w:szCs w:val="22"/>
        </w:rPr>
        <w:t xml:space="preserve">monitor </w:t>
      </w:r>
      <w:r w:rsidRPr="00DC4C7D">
        <w:rPr>
          <w:rFonts w:asciiTheme="minorHAnsi" w:hAnsiTheme="minorHAnsi" w:cstheme="minorHAnsi"/>
          <w:sz w:val="22"/>
          <w:szCs w:val="22"/>
        </w:rPr>
        <w:t xml:space="preserve">progress </w:t>
      </w:r>
      <w:r>
        <w:rPr>
          <w:rFonts w:asciiTheme="minorHAnsi" w:hAnsiTheme="minorHAnsi" w:cstheme="minorHAnsi"/>
          <w:sz w:val="22"/>
          <w:szCs w:val="22"/>
        </w:rPr>
        <w:t xml:space="preserve">of the gender actions toward narrowing the gender gap in employment in the energy sector, the </w:t>
      </w:r>
      <w:r w:rsidR="001702C0">
        <w:rPr>
          <w:rFonts w:asciiTheme="minorHAnsi" w:hAnsiTheme="minorHAnsi" w:cstheme="minorHAnsi"/>
          <w:sz w:val="22"/>
          <w:szCs w:val="22"/>
        </w:rPr>
        <w:t>P</w:t>
      </w:r>
      <w:r>
        <w:rPr>
          <w:rFonts w:asciiTheme="minorHAnsi" w:hAnsiTheme="minorHAnsi" w:cstheme="minorHAnsi"/>
          <w:sz w:val="22"/>
          <w:szCs w:val="22"/>
        </w:rPr>
        <w:t xml:space="preserve">rogram will include </w:t>
      </w:r>
      <w:r w:rsidRPr="00DC4C7D">
        <w:rPr>
          <w:rFonts w:asciiTheme="minorHAnsi" w:hAnsiTheme="minorHAnsi" w:cstheme="minorHAnsi"/>
          <w:sz w:val="22"/>
          <w:szCs w:val="22"/>
        </w:rPr>
        <w:t>the following intermediate result indicator: “</w:t>
      </w:r>
      <w:r w:rsidRPr="00DC4C7D">
        <w:rPr>
          <w:rFonts w:asciiTheme="minorHAnsi" w:hAnsiTheme="minorHAnsi" w:cstheme="minorHAnsi"/>
          <w:i/>
          <w:iCs/>
          <w:sz w:val="22"/>
          <w:szCs w:val="22"/>
        </w:rPr>
        <w:t>Increase in the share of women taking on permanent jobs</w:t>
      </w:r>
      <w:r>
        <w:rPr>
          <w:rFonts w:asciiTheme="minorHAnsi" w:hAnsiTheme="minorHAnsi" w:cstheme="minorHAnsi"/>
          <w:i/>
          <w:iCs/>
          <w:sz w:val="22"/>
          <w:szCs w:val="22"/>
        </w:rPr>
        <w:t xml:space="preserve"> at BT</w:t>
      </w:r>
      <w:r w:rsidRPr="00DC4C7D">
        <w:rPr>
          <w:rFonts w:asciiTheme="minorHAnsi" w:hAnsiTheme="minorHAnsi" w:cstheme="minorHAnsi"/>
          <w:i/>
          <w:iCs/>
          <w:sz w:val="22"/>
          <w:szCs w:val="22"/>
        </w:rPr>
        <w:t xml:space="preserve"> at technical and managerial levels (baseline: 0%, target: 10% increase)</w:t>
      </w:r>
      <w:r w:rsidRPr="00DC4C7D">
        <w:rPr>
          <w:rFonts w:asciiTheme="minorHAnsi" w:hAnsiTheme="minorHAnsi" w:cstheme="minorHAnsi"/>
          <w:sz w:val="22"/>
          <w:szCs w:val="22"/>
        </w:rPr>
        <w:t>.</w:t>
      </w:r>
      <w:r w:rsidR="001702C0">
        <w:rPr>
          <w:rFonts w:asciiTheme="minorHAnsi" w:hAnsiTheme="minorHAnsi" w:cstheme="minorHAnsi"/>
          <w:sz w:val="22"/>
          <w:szCs w:val="22"/>
        </w:rPr>
        <w:t>”</w:t>
      </w:r>
    </w:p>
    <w:p w14:paraId="73513383" w14:textId="4A9A26FF" w:rsidR="00D6313B" w:rsidRDefault="00E067D6" w:rsidP="00875DBA">
      <w:pPr>
        <w:pStyle w:val="ListParagraph"/>
        <w:numPr>
          <w:ilvl w:val="0"/>
          <w:numId w:val="3"/>
        </w:numPr>
        <w:tabs>
          <w:tab w:val="left" w:pos="0"/>
        </w:tabs>
        <w:spacing w:after="120"/>
        <w:ind w:left="-360" w:firstLine="0"/>
        <w:contextualSpacing w:val="0"/>
        <w:jc w:val="both"/>
        <w:rPr>
          <w:rFonts w:asciiTheme="minorHAnsi" w:hAnsiTheme="minorHAnsi"/>
          <w:bCs/>
          <w:color w:val="auto"/>
          <w:sz w:val="22"/>
          <w:szCs w:val="22"/>
        </w:rPr>
      </w:pPr>
      <w:r w:rsidRPr="00E067D6">
        <w:rPr>
          <w:rFonts w:asciiTheme="minorHAnsi" w:hAnsiTheme="minorHAnsi"/>
          <w:b/>
          <w:color w:val="auto"/>
          <w:sz w:val="22"/>
          <w:szCs w:val="22"/>
        </w:rPr>
        <w:t>Citizen engagement</w:t>
      </w:r>
      <w:r>
        <w:rPr>
          <w:rFonts w:asciiTheme="minorHAnsi" w:hAnsiTheme="minorHAnsi"/>
          <w:bCs/>
          <w:color w:val="auto"/>
          <w:sz w:val="22"/>
          <w:szCs w:val="22"/>
        </w:rPr>
        <w:t xml:space="preserve">. </w:t>
      </w:r>
      <w:r w:rsidR="00D6313B" w:rsidRPr="00D6313B">
        <w:rPr>
          <w:rFonts w:asciiTheme="minorHAnsi" w:hAnsiTheme="minorHAnsi"/>
          <w:bCs/>
          <w:color w:val="auto"/>
          <w:sz w:val="22"/>
          <w:szCs w:val="22"/>
        </w:rPr>
        <w:t xml:space="preserve">The Program is currently supporting number of activities, which would allow to improve the participatory decision-making and incorporate feedback from the </w:t>
      </w:r>
      <w:proofErr w:type="gramStart"/>
      <w:r w:rsidR="00D6313B" w:rsidRPr="00D6313B">
        <w:rPr>
          <w:rFonts w:asciiTheme="minorHAnsi" w:hAnsiTheme="minorHAnsi"/>
          <w:bCs/>
          <w:color w:val="auto"/>
          <w:sz w:val="22"/>
          <w:szCs w:val="22"/>
        </w:rPr>
        <w:t>general public</w:t>
      </w:r>
      <w:proofErr w:type="gramEnd"/>
      <w:r w:rsidR="00D6313B" w:rsidRPr="00D6313B">
        <w:rPr>
          <w:rFonts w:asciiTheme="minorHAnsi" w:hAnsiTheme="minorHAnsi"/>
          <w:bCs/>
          <w:color w:val="auto"/>
          <w:sz w:val="22"/>
          <w:szCs w:val="22"/>
        </w:rPr>
        <w:t xml:space="preserve"> on important issues related to long-term financial viability of the power sector and the reliability of electricity supply.</w:t>
      </w:r>
    </w:p>
    <w:p w14:paraId="1DF1E71A" w14:textId="77777777" w:rsidR="00D6313B" w:rsidRDefault="00D6313B" w:rsidP="00875DBA">
      <w:pPr>
        <w:pStyle w:val="ListParagraph"/>
        <w:numPr>
          <w:ilvl w:val="0"/>
          <w:numId w:val="3"/>
        </w:numPr>
        <w:tabs>
          <w:tab w:val="left" w:pos="0"/>
        </w:tabs>
        <w:spacing w:after="120"/>
        <w:ind w:left="-360" w:firstLine="0"/>
        <w:contextualSpacing w:val="0"/>
        <w:jc w:val="both"/>
        <w:rPr>
          <w:rFonts w:asciiTheme="minorHAnsi" w:hAnsiTheme="minorHAnsi"/>
          <w:bCs/>
          <w:color w:val="auto"/>
          <w:sz w:val="22"/>
          <w:szCs w:val="22"/>
        </w:rPr>
      </w:pPr>
      <w:r w:rsidRPr="00D6313B">
        <w:rPr>
          <w:rFonts w:asciiTheme="minorHAnsi" w:hAnsiTheme="minorHAnsi"/>
          <w:b/>
          <w:bCs/>
          <w:i/>
          <w:color w:val="auto"/>
          <w:sz w:val="22"/>
          <w:szCs w:val="22"/>
        </w:rPr>
        <w:lastRenderedPageBreak/>
        <w:t>Tariff revisions and development of mitigation mechanisms</w:t>
      </w:r>
      <w:r w:rsidRPr="00D6313B">
        <w:rPr>
          <w:rFonts w:asciiTheme="minorHAnsi" w:hAnsiTheme="minorHAnsi"/>
          <w:bCs/>
          <w:color w:val="auto"/>
          <w:sz w:val="22"/>
          <w:szCs w:val="22"/>
        </w:rPr>
        <w:t>. Each planned revision of tariffs, the Electricity Tariff Paper, which would specify the mid-term tariff increase trajectory, and the proposed lifeline/block tariff mechanism would need to be disclosed and undergo public consultations. The feedback from key stakeholders will be considered in the revised Electricity Tariff Paper as well as the final design of the proposed lifeline/block tariff structure, which would be used to mitigate the impact of the planned electricity tariff increases on end-users. An intermediate outcome indicator is proposed to measure the efficiency of citizen engagement into decision-making on such matters. The results would be measured through surveys to be carried out each year.</w:t>
      </w:r>
    </w:p>
    <w:p w14:paraId="677C2465" w14:textId="1CFBDAA6" w:rsidR="005B7DA6" w:rsidRPr="004C64DE" w:rsidRDefault="00D6313B" w:rsidP="00875DBA">
      <w:pPr>
        <w:pStyle w:val="ListParagraph"/>
        <w:numPr>
          <w:ilvl w:val="0"/>
          <w:numId w:val="3"/>
        </w:numPr>
        <w:tabs>
          <w:tab w:val="left" w:pos="0"/>
        </w:tabs>
        <w:spacing w:after="120"/>
        <w:ind w:left="-360" w:firstLine="0"/>
        <w:contextualSpacing w:val="0"/>
        <w:jc w:val="both"/>
        <w:rPr>
          <w:rFonts w:asciiTheme="minorHAnsi" w:hAnsiTheme="minorHAnsi"/>
          <w:bCs/>
          <w:i/>
          <w:iCs/>
          <w:color w:val="auto"/>
          <w:sz w:val="22"/>
          <w:szCs w:val="22"/>
        </w:rPr>
      </w:pPr>
      <w:r w:rsidRPr="00B460B0">
        <w:rPr>
          <w:rFonts w:asciiTheme="minorHAnsi" w:hAnsiTheme="minorHAnsi" w:cstheme="minorHAnsi"/>
          <w:b/>
          <w:i/>
          <w:sz w:val="22"/>
          <w:szCs w:val="22"/>
        </w:rPr>
        <w:t>Use of technically, economically, and financially sound principles for investment decision-making in electricity generation and T&amp;D</w:t>
      </w:r>
      <w:r w:rsidRPr="00B460B0">
        <w:rPr>
          <w:rFonts w:asciiTheme="minorHAnsi" w:hAnsiTheme="minorHAnsi" w:cstheme="minorHAnsi"/>
          <w:b/>
          <w:sz w:val="22"/>
          <w:szCs w:val="22"/>
        </w:rPr>
        <w:t xml:space="preserve">. </w:t>
      </w:r>
      <w:r w:rsidRPr="00B460B0">
        <w:rPr>
          <w:rFonts w:asciiTheme="minorHAnsi" w:hAnsiTheme="minorHAnsi" w:cstheme="minorHAnsi"/>
          <w:sz w:val="22"/>
          <w:szCs w:val="22"/>
        </w:rPr>
        <w:t xml:space="preserve">The finalization of the GEP and T&amp;D plans should be carried out with broad involvement of stakeholders. Those plans will be shaping the development of the power sector in the long-term and therefore inputs from all stakeholders should be taken into account, </w:t>
      </w:r>
      <w:proofErr w:type="gramStart"/>
      <w:r w:rsidRPr="00B460B0">
        <w:rPr>
          <w:rFonts w:asciiTheme="minorHAnsi" w:hAnsiTheme="minorHAnsi" w:cstheme="minorHAnsi"/>
          <w:sz w:val="22"/>
          <w:szCs w:val="22"/>
        </w:rPr>
        <w:t>i.e.</w:t>
      </w:r>
      <w:proofErr w:type="gramEnd"/>
      <w:r w:rsidRPr="00B460B0">
        <w:rPr>
          <w:rFonts w:asciiTheme="minorHAnsi" w:hAnsiTheme="minorHAnsi" w:cstheme="minorHAnsi"/>
          <w:sz w:val="22"/>
          <w:szCs w:val="22"/>
        </w:rPr>
        <w:t xml:space="preserve"> the preparation and finalization of those investment plans should proceed in participatory manner. Thus, MEWR would organize round-table discussions to present the approach related to planning of investments; the main inputs and assumptions; as well as the timeline and process to be followed for finalization of those plans. Subsequently, the drafts of those plans would be </w:t>
      </w:r>
      <w:proofErr w:type="gramStart"/>
      <w:r w:rsidRPr="00B460B0">
        <w:rPr>
          <w:rFonts w:asciiTheme="minorHAnsi" w:hAnsiTheme="minorHAnsi" w:cstheme="minorHAnsi"/>
          <w:sz w:val="22"/>
          <w:szCs w:val="22"/>
        </w:rPr>
        <w:t>disclosed</w:t>
      </w:r>
      <w:proofErr w:type="gramEnd"/>
      <w:r w:rsidRPr="00B460B0">
        <w:rPr>
          <w:rFonts w:asciiTheme="minorHAnsi" w:hAnsiTheme="minorHAnsi" w:cstheme="minorHAnsi"/>
          <w:sz w:val="22"/>
          <w:szCs w:val="22"/>
        </w:rPr>
        <w:t xml:space="preserve"> and public consultation meetings would take place. The feedback collected from public consultations will be used to finalize the documents. The efficiency of citizen engagement would be measured through </w:t>
      </w:r>
      <w:r w:rsidR="00AD0295" w:rsidRPr="00B460B0">
        <w:rPr>
          <w:rFonts w:asciiTheme="minorHAnsi" w:hAnsiTheme="minorHAnsi" w:cstheme="minorHAnsi"/>
          <w:sz w:val="22"/>
          <w:szCs w:val="22"/>
        </w:rPr>
        <w:t xml:space="preserve">the following intermediate results indicator: </w:t>
      </w:r>
      <w:r w:rsidR="00AD0295" w:rsidRPr="00B460B0">
        <w:rPr>
          <w:rFonts w:asciiTheme="minorHAnsi" w:hAnsiTheme="minorHAnsi" w:cstheme="minorHAnsi"/>
          <w:i/>
          <w:iCs/>
          <w:sz w:val="22"/>
          <w:szCs w:val="22"/>
        </w:rPr>
        <w:t>“</w:t>
      </w:r>
      <w:r w:rsidR="00B460B0" w:rsidRPr="00B460B0">
        <w:rPr>
          <w:rFonts w:asciiTheme="minorHAnsi" w:hAnsiTheme="minorHAnsi"/>
          <w:i/>
          <w:iCs/>
          <w:color w:val="auto"/>
          <w:sz w:val="22"/>
          <w:szCs w:val="22"/>
        </w:rPr>
        <w:t>Percentage of citizens who believe that the Program has established effective engagement processes.”</w:t>
      </w:r>
    </w:p>
    <w:tbl>
      <w:tblPr>
        <w:tblStyle w:val="TableGrid3"/>
        <w:tblW w:w="10714" w:type="dxa"/>
        <w:tblInd w:w="-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C"/>
        <w:tblLayout w:type="fixed"/>
        <w:tblLook w:val="04A0" w:firstRow="1" w:lastRow="0" w:firstColumn="1" w:lastColumn="0" w:noHBand="0" w:noVBand="1"/>
      </w:tblPr>
      <w:tblGrid>
        <w:gridCol w:w="10714"/>
      </w:tblGrid>
      <w:tr w:rsidR="004F0F3F" w14:paraId="625C54E8" w14:textId="77777777" w:rsidTr="00514C31">
        <w:trPr>
          <w:trHeight w:val="432"/>
        </w:trPr>
        <w:tc>
          <w:tcPr>
            <w:tcW w:w="10714" w:type="dxa"/>
            <w:shd w:val="clear" w:color="auto" w:fill="F2F7FC"/>
            <w:vAlign w:val="center"/>
          </w:tcPr>
          <w:p w14:paraId="65FE2849" w14:textId="77777777" w:rsidR="00CF07BA" w:rsidRPr="00DD5666" w:rsidRDefault="00880CEC" w:rsidP="00CB0465">
            <w:pPr>
              <w:pStyle w:val="NoSpacing"/>
              <w:numPr>
                <w:ilvl w:val="0"/>
                <w:numId w:val="29"/>
              </w:numPr>
              <w:ind w:left="346"/>
              <w:outlineLvl w:val="0"/>
              <w:rPr>
                <w:rFonts w:asciiTheme="minorHAnsi" w:hAnsiTheme="minorHAnsi"/>
                <w:b/>
                <w:sz w:val="22"/>
                <w:szCs w:val="22"/>
              </w:rPr>
            </w:pPr>
            <w:bookmarkStart w:id="14" w:name="_Toc256000005"/>
            <w:bookmarkStart w:id="15" w:name="_Toc517269160"/>
            <w:bookmarkStart w:id="16" w:name="_Toc520325355"/>
            <w:bookmarkStart w:id="17" w:name="_Toc104869134"/>
            <w:r>
              <w:rPr>
                <w:rFonts w:ascii="Calibri" w:hAnsi="Calibri"/>
                <w:b/>
                <w:color w:val="auto"/>
                <w:sz w:val="22"/>
                <w:szCs w:val="22"/>
              </w:rPr>
              <w:t>KEY RISKS</w:t>
            </w:r>
            <w:bookmarkEnd w:id="14"/>
            <w:bookmarkEnd w:id="15"/>
            <w:bookmarkEnd w:id="16"/>
            <w:bookmarkEnd w:id="17"/>
          </w:p>
        </w:tc>
      </w:tr>
    </w:tbl>
    <w:p w14:paraId="4FE71D65" w14:textId="44949466" w:rsidR="009638BF" w:rsidRPr="009638BF" w:rsidRDefault="009638BF" w:rsidP="00875DBA">
      <w:pPr>
        <w:pStyle w:val="ListParagraph"/>
        <w:widowControl/>
        <w:numPr>
          <w:ilvl w:val="0"/>
          <w:numId w:val="3"/>
        </w:numPr>
        <w:tabs>
          <w:tab w:val="left" w:pos="0"/>
        </w:tabs>
        <w:autoSpaceDE/>
        <w:autoSpaceDN/>
        <w:adjustRightInd/>
        <w:spacing w:before="120" w:after="120"/>
        <w:ind w:left="-360" w:firstLine="0"/>
        <w:contextualSpacing w:val="0"/>
        <w:jc w:val="both"/>
        <w:rPr>
          <w:rFonts w:asciiTheme="minorHAnsi" w:hAnsiTheme="minorHAnsi" w:cstheme="minorHAnsi"/>
          <w:bCs/>
          <w:sz w:val="16"/>
          <w:szCs w:val="22"/>
        </w:rPr>
      </w:pPr>
      <w:r w:rsidRPr="009638BF">
        <w:rPr>
          <w:rFonts w:asciiTheme="minorHAnsi" w:hAnsiTheme="minorHAnsi" w:cstheme="minorHAnsi"/>
          <w:bCs/>
          <w:sz w:val="22"/>
          <w:szCs w:val="22"/>
        </w:rPr>
        <w:t xml:space="preserve">The risks to achieving the Program Development Objective and associated results are rated as Substantial. </w:t>
      </w:r>
      <w:bookmarkStart w:id="18" w:name="_Toc466581996"/>
    </w:p>
    <w:p w14:paraId="705F7C76" w14:textId="1D10A7D0" w:rsidR="009638BF" w:rsidRPr="009638BF" w:rsidRDefault="009638BF" w:rsidP="00875DBA">
      <w:pPr>
        <w:pStyle w:val="ListParagraph"/>
        <w:widowControl/>
        <w:numPr>
          <w:ilvl w:val="0"/>
          <w:numId w:val="3"/>
        </w:numPr>
        <w:tabs>
          <w:tab w:val="left" w:pos="0"/>
        </w:tabs>
        <w:autoSpaceDE/>
        <w:autoSpaceDN/>
        <w:adjustRightInd/>
        <w:spacing w:after="120"/>
        <w:ind w:left="-360" w:firstLine="0"/>
        <w:contextualSpacing w:val="0"/>
        <w:jc w:val="both"/>
        <w:rPr>
          <w:rFonts w:asciiTheme="minorHAnsi" w:hAnsiTheme="minorHAnsi" w:cstheme="minorHAnsi"/>
          <w:sz w:val="16"/>
          <w:szCs w:val="22"/>
        </w:rPr>
      </w:pPr>
      <w:r w:rsidRPr="009638BF">
        <w:rPr>
          <w:rFonts w:asciiTheme="minorHAnsi" w:hAnsiTheme="minorHAnsi" w:cstheme="minorHAnsi"/>
          <w:b/>
          <w:bCs/>
          <w:sz w:val="22"/>
          <w:szCs w:val="22"/>
        </w:rPr>
        <w:t>The Political and Governance Risk is Substantial.</w:t>
      </w:r>
      <w:r w:rsidRPr="009638BF">
        <w:rPr>
          <w:rFonts w:asciiTheme="minorHAnsi" w:hAnsiTheme="minorHAnsi" w:cstheme="minorHAnsi"/>
          <w:i/>
          <w:sz w:val="22"/>
          <w:szCs w:val="22"/>
        </w:rPr>
        <w:t xml:space="preserve"> </w:t>
      </w:r>
      <w:bookmarkEnd w:id="18"/>
      <w:r w:rsidRPr="009638BF">
        <w:rPr>
          <w:rFonts w:asciiTheme="minorHAnsi" w:hAnsiTheme="minorHAnsi" w:cstheme="minorHAnsi"/>
          <w:sz w:val="22"/>
          <w:szCs w:val="22"/>
        </w:rPr>
        <w:t>At the Program level, the political decision on the priority of electricity sector financial recovery, including the measures to be implemented, were made at the highest level and the authorities demonstrated full commitment. The operation does not present any threat to political stability of the country and the Program is supported across the entire political spectrum and other key stakeholders</w:t>
      </w:r>
      <w:r w:rsidR="000D2C33">
        <w:rPr>
          <w:rFonts w:asciiTheme="minorHAnsi" w:hAnsiTheme="minorHAnsi" w:cstheme="minorHAnsi"/>
          <w:sz w:val="22"/>
          <w:szCs w:val="22"/>
        </w:rPr>
        <w:t>. It</w:t>
      </w:r>
      <w:r w:rsidRPr="009638BF">
        <w:rPr>
          <w:rFonts w:asciiTheme="minorHAnsi" w:hAnsiTheme="minorHAnsi" w:cstheme="minorHAnsi"/>
          <w:sz w:val="22"/>
          <w:szCs w:val="22"/>
        </w:rPr>
        <w:t xml:space="preserve"> is consistent with the development strategy of the country. There are no major corruption or transparency risks related to expenditures considering that all expenditures above threshold (around US$10,000) are to be approved by the Supervisory Board of BT and the expenditures need to be consistent with the annual budgets. The </w:t>
      </w:r>
      <w:r w:rsidR="000D2C33">
        <w:rPr>
          <w:rFonts w:asciiTheme="minorHAnsi" w:hAnsiTheme="minorHAnsi" w:cstheme="minorHAnsi"/>
          <w:sz w:val="22"/>
          <w:szCs w:val="22"/>
        </w:rPr>
        <w:t xml:space="preserve">elements of good-practice corporate governance have already been introduced </w:t>
      </w:r>
      <w:r w:rsidRPr="009638BF">
        <w:rPr>
          <w:rFonts w:asciiTheme="minorHAnsi" w:hAnsiTheme="minorHAnsi" w:cstheme="minorHAnsi"/>
          <w:sz w:val="22"/>
          <w:szCs w:val="22"/>
        </w:rPr>
        <w:t>at BT, SIB, and STB. The mitigation of this risk will depend on efficiency of the functioning of corporate governance structures at those companies, which is a DLI under th</w:t>
      </w:r>
      <w:r w:rsidR="000D2C33">
        <w:rPr>
          <w:rFonts w:asciiTheme="minorHAnsi" w:hAnsiTheme="minorHAnsi" w:cstheme="minorHAnsi"/>
          <w:sz w:val="22"/>
          <w:szCs w:val="22"/>
        </w:rPr>
        <w:t>e Program</w:t>
      </w:r>
      <w:r w:rsidRPr="009638BF">
        <w:rPr>
          <w:rFonts w:asciiTheme="minorHAnsi" w:hAnsiTheme="minorHAnsi" w:cstheme="minorHAnsi"/>
          <w:sz w:val="22"/>
          <w:szCs w:val="22"/>
        </w:rPr>
        <w:t>.</w:t>
      </w:r>
    </w:p>
    <w:p w14:paraId="1A36B3BB" w14:textId="77777777" w:rsidR="009638BF" w:rsidRPr="009638BF" w:rsidRDefault="009638BF" w:rsidP="00875DBA">
      <w:pPr>
        <w:pStyle w:val="ListParagraph"/>
        <w:widowControl/>
        <w:numPr>
          <w:ilvl w:val="0"/>
          <w:numId w:val="3"/>
        </w:numPr>
        <w:tabs>
          <w:tab w:val="left" w:pos="0"/>
        </w:tabs>
        <w:autoSpaceDE/>
        <w:autoSpaceDN/>
        <w:adjustRightInd/>
        <w:spacing w:after="120"/>
        <w:ind w:left="-360" w:firstLine="0"/>
        <w:contextualSpacing w:val="0"/>
        <w:jc w:val="both"/>
        <w:rPr>
          <w:rFonts w:asciiTheme="minorHAnsi" w:hAnsiTheme="minorHAnsi" w:cstheme="minorHAnsi"/>
          <w:sz w:val="16"/>
          <w:szCs w:val="22"/>
        </w:rPr>
      </w:pPr>
      <w:r w:rsidRPr="009638BF">
        <w:rPr>
          <w:rFonts w:asciiTheme="minorHAnsi" w:hAnsiTheme="minorHAnsi" w:cstheme="minorHAnsi"/>
          <w:b/>
          <w:bCs/>
          <w:sz w:val="22"/>
        </w:rPr>
        <w:t>Macroeconomic Risk is High.</w:t>
      </w:r>
      <w:r w:rsidRPr="009638BF">
        <w:rPr>
          <w:rFonts w:asciiTheme="minorHAnsi" w:hAnsiTheme="minorHAnsi" w:cstheme="minorHAnsi"/>
          <w:sz w:val="22"/>
        </w:rPr>
        <w:t xml:space="preserve"> </w:t>
      </w:r>
      <w:bookmarkStart w:id="19" w:name="_Toc466581998"/>
      <w:r w:rsidRPr="009638BF">
        <w:rPr>
          <w:rFonts w:asciiTheme="minorHAnsi" w:hAnsiTheme="minorHAnsi" w:cstheme="minorHAnsi"/>
          <w:sz w:val="22"/>
          <w:szCs w:val="22"/>
        </w:rPr>
        <w:t>The slow-down of economic activity caused by COVID-19 and the economic situation in Russia, due to Ukrainian events, negatively impacted the financial standing of BT. Any further deterioration of economic situation may create significant risks for this operation through tariff and local currency depreciation channels. Specifically, deceleration of economic activity and reduction in disposable income of residential consumers may lead to deterioration in collection rates for billed electricity and render infeasible further tariff increases that may be required for the electricity sector to reach financial recovery. There are no direct budget subsidies to electricity sector to mitigate any potential impacts, therefore, financial standing of electricity sector may deteriorate. Additionally, there will be indirect impacts from depreciation of TJS vs. US$, which would impact the cost of electricity purchased from IPPs and the debt service costs of BT. The Government’s ongoing engagements with the Bank and IMF, aimed at securing budget support and other type of emergency financing, should help to shore up the macro-fiscal situation.</w:t>
      </w:r>
    </w:p>
    <w:p w14:paraId="3F99BFF6" w14:textId="282F869A" w:rsidR="009638BF" w:rsidRPr="009638BF" w:rsidRDefault="009638BF" w:rsidP="00875DBA">
      <w:pPr>
        <w:pStyle w:val="ListParagraph"/>
        <w:widowControl/>
        <w:numPr>
          <w:ilvl w:val="0"/>
          <w:numId w:val="3"/>
        </w:numPr>
        <w:tabs>
          <w:tab w:val="left" w:pos="0"/>
        </w:tabs>
        <w:autoSpaceDE/>
        <w:autoSpaceDN/>
        <w:adjustRightInd/>
        <w:spacing w:after="120"/>
        <w:ind w:left="-360" w:firstLine="0"/>
        <w:contextualSpacing w:val="0"/>
        <w:jc w:val="both"/>
        <w:rPr>
          <w:rFonts w:asciiTheme="minorHAnsi" w:hAnsiTheme="minorHAnsi" w:cstheme="minorHAnsi"/>
          <w:sz w:val="16"/>
          <w:szCs w:val="22"/>
        </w:rPr>
      </w:pPr>
      <w:r w:rsidRPr="009638BF">
        <w:rPr>
          <w:rFonts w:asciiTheme="minorHAnsi" w:hAnsiTheme="minorHAnsi" w:cstheme="minorHAnsi"/>
          <w:b/>
          <w:sz w:val="22"/>
          <w:szCs w:val="22"/>
        </w:rPr>
        <w:lastRenderedPageBreak/>
        <w:t xml:space="preserve">Sector Strategies and Policy Risk is </w:t>
      </w:r>
      <w:r w:rsidR="00CD60A3">
        <w:rPr>
          <w:rFonts w:asciiTheme="minorHAnsi" w:hAnsiTheme="minorHAnsi" w:cstheme="minorHAnsi"/>
          <w:b/>
          <w:sz w:val="22"/>
          <w:szCs w:val="22"/>
        </w:rPr>
        <w:t>Substantial</w:t>
      </w:r>
      <w:r w:rsidRPr="009638BF">
        <w:rPr>
          <w:rFonts w:asciiTheme="minorHAnsi" w:hAnsiTheme="minorHAnsi" w:cstheme="minorHAnsi"/>
          <w:b/>
          <w:sz w:val="22"/>
          <w:szCs w:val="22"/>
        </w:rPr>
        <w:t>.</w:t>
      </w:r>
      <w:r w:rsidRPr="009638BF">
        <w:rPr>
          <w:rFonts w:asciiTheme="minorHAnsi" w:hAnsiTheme="minorHAnsi" w:cstheme="minorHAnsi"/>
          <w:sz w:val="22"/>
          <w:szCs w:val="22"/>
        </w:rPr>
        <w:t xml:space="preserve"> </w:t>
      </w:r>
      <w:bookmarkStart w:id="20" w:name="_Toc466582000"/>
      <w:bookmarkEnd w:id="19"/>
      <w:r w:rsidRPr="009638BF">
        <w:rPr>
          <w:rFonts w:asciiTheme="minorHAnsi" w:hAnsiTheme="minorHAnsi" w:cstheme="minorHAnsi"/>
          <w:sz w:val="22"/>
          <w:szCs w:val="22"/>
        </w:rPr>
        <w:t xml:space="preserve">The key activities under the Program have been endorsed at the highest level and there is low probability of reversal or change as demonstrated by the Government’s commitment since start of the Program. Specifically, the tariff increase trajectory in the updated Government Program for Financial Recovery of </w:t>
      </w:r>
      <w:r w:rsidR="000D2C33">
        <w:rPr>
          <w:rFonts w:asciiTheme="minorHAnsi" w:hAnsiTheme="minorHAnsi" w:cstheme="minorHAnsi"/>
          <w:sz w:val="22"/>
          <w:szCs w:val="22"/>
        </w:rPr>
        <w:t>Electricity Sector</w:t>
      </w:r>
      <w:r w:rsidRPr="009638BF">
        <w:rPr>
          <w:rFonts w:asciiTheme="minorHAnsi" w:hAnsiTheme="minorHAnsi" w:cstheme="minorHAnsi"/>
          <w:sz w:val="22"/>
          <w:szCs w:val="22"/>
        </w:rPr>
        <w:t xml:space="preserve"> for 20</w:t>
      </w:r>
      <w:r w:rsidR="000D2C33">
        <w:rPr>
          <w:rFonts w:asciiTheme="minorHAnsi" w:hAnsiTheme="minorHAnsi" w:cstheme="minorHAnsi"/>
          <w:sz w:val="22"/>
          <w:szCs w:val="22"/>
        </w:rPr>
        <w:t>22</w:t>
      </w:r>
      <w:r w:rsidRPr="009638BF">
        <w:rPr>
          <w:rFonts w:asciiTheme="minorHAnsi" w:hAnsiTheme="minorHAnsi" w:cstheme="minorHAnsi"/>
          <w:sz w:val="22"/>
          <w:szCs w:val="22"/>
        </w:rPr>
        <w:t>-203</w:t>
      </w:r>
      <w:r w:rsidR="00CD60A3">
        <w:rPr>
          <w:rFonts w:asciiTheme="minorHAnsi" w:hAnsiTheme="minorHAnsi" w:cstheme="minorHAnsi"/>
          <w:sz w:val="22"/>
          <w:szCs w:val="22"/>
        </w:rPr>
        <w:t>1</w:t>
      </w:r>
      <w:r w:rsidRPr="009638BF">
        <w:rPr>
          <w:rFonts w:asciiTheme="minorHAnsi" w:hAnsiTheme="minorHAnsi" w:cstheme="minorHAnsi"/>
          <w:sz w:val="22"/>
          <w:szCs w:val="22"/>
        </w:rPr>
        <w:t>; revisions to subsidiary agreements between BT and MOF to reduce the debt burden of BT; conversion into BT's equity of accumulated fines and penalties; introduction of elements of good-practice corporate governance; and some other measures are already underway, and the Government is making adequate good progress in all those directions. The financing allocated to those critical policy reform DLIs as well as the Bank’s engagement to provide technical assistance to improve financing framework for Rogun HPP would help to mitigate those risks. Financial viability of the broader electricity sector is important for improved bankability of Rogun HPP project given that Rogun HPP is selling electricity to BT (</w:t>
      </w:r>
      <w:r w:rsidR="000D2C33">
        <w:rPr>
          <w:rFonts w:asciiTheme="minorHAnsi" w:hAnsiTheme="minorHAnsi" w:cstheme="minorHAnsi"/>
          <w:sz w:val="22"/>
          <w:szCs w:val="22"/>
        </w:rPr>
        <w:t>or other designated off-taker</w:t>
      </w:r>
      <w:r w:rsidRPr="009638BF">
        <w:rPr>
          <w:rFonts w:asciiTheme="minorHAnsi" w:hAnsiTheme="minorHAnsi" w:cstheme="minorHAnsi"/>
          <w:sz w:val="22"/>
          <w:szCs w:val="22"/>
        </w:rPr>
        <w:t>) for the purposes of domestic supply.</w:t>
      </w:r>
    </w:p>
    <w:p w14:paraId="08660E99" w14:textId="77777777" w:rsidR="009638BF" w:rsidRPr="009638BF" w:rsidRDefault="009638BF" w:rsidP="00875DBA">
      <w:pPr>
        <w:pStyle w:val="ListParagraph"/>
        <w:widowControl/>
        <w:numPr>
          <w:ilvl w:val="0"/>
          <w:numId w:val="3"/>
        </w:numPr>
        <w:tabs>
          <w:tab w:val="left" w:pos="0"/>
        </w:tabs>
        <w:autoSpaceDE/>
        <w:autoSpaceDN/>
        <w:adjustRightInd/>
        <w:spacing w:after="120"/>
        <w:ind w:left="-360" w:firstLine="0"/>
        <w:contextualSpacing w:val="0"/>
        <w:jc w:val="both"/>
        <w:rPr>
          <w:rFonts w:asciiTheme="minorHAnsi" w:hAnsiTheme="minorHAnsi" w:cstheme="minorHAnsi"/>
          <w:sz w:val="16"/>
          <w:szCs w:val="22"/>
        </w:rPr>
      </w:pPr>
      <w:r w:rsidRPr="009638BF">
        <w:rPr>
          <w:rFonts w:asciiTheme="minorHAnsi" w:hAnsiTheme="minorHAnsi" w:cstheme="minorHAnsi"/>
          <w:b/>
          <w:sz w:val="22"/>
          <w:szCs w:val="22"/>
        </w:rPr>
        <w:t>Technical Design of Program is Moderate.</w:t>
      </w:r>
      <w:r w:rsidRPr="009638BF">
        <w:rPr>
          <w:rFonts w:asciiTheme="minorHAnsi" w:hAnsiTheme="minorHAnsi" w:cstheme="minorHAnsi"/>
          <w:sz w:val="16"/>
          <w:szCs w:val="22"/>
        </w:rPr>
        <w:t xml:space="preserve"> </w:t>
      </w:r>
      <w:r w:rsidRPr="009638BF">
        <w:rPr>
          <w:rFonts w:asciiTheme="minorHAnsi" w:hAnsiTheme="minorHAnsi" w:cstheme="minorHAnsi"/>
          <w:sz w:val="22"/>
          <w:szCs w:val="22"/>
        </w:rPr>
        <w:t>The analytical underpinnings and design of the Program are robust and do not create material risks for achievement of development objective. The technical design will remain relevant even considering the impacts of COVID-19. The Program would require an update to reflect the impacts of COVID-19 on revenue and cost side of BT and revision of targets considering the changes in financial situation.</w:t>
      </w:r>
    </w:p>
    <w:p w14:paraId="56AFCB34" w14:textId="77777777" w:rsidR="003270DB" w:rsidRPr="003270DB" w:rsidRDefault="009638BF" w:rsidP="00875DBA">
      <w:pPr>
        <w:pStyle w:val="ListParagraph"/>
        <w:widowControl/>
        <w:numPr>
          <w:ilvl w:val="0"/>
          <w:numId w:val="3"/>
        </w:numPr>
        <w:tabs>
          <w:tab w:val="left" w:pos="0"/>
        </w:tabs>
        <w:autoSpaceDE/>
        <w:autoSpaceDN/>
        <w:adjustRightInd/>
        <w:spacing w:after="120"/>
        <w:ind w:left="-360" w:firstLine="0"/>
        <w:contextualSpacing w:val="0"/>
        <w:jc w:val="both"/>
        <w:rPr>
          <w:rFonts w:asciiTheme="minorHAnsi" w:eastAsia="Times New Roman" w:hAnsiTheme="minorHAnsi" w:cstheme="minorHAnsi"/>
          <w:sz w:val="22"/>
          <w:szCs w:val="22"/>
        </w:rPr>
      </w:pPr>
      <w:r w:rsidRPr="009638BF">
        <w:rPr>
          <w:rFonts w:asciiTheme="minorHAnsi" w:hAnsiTheme="minorHAnsi" w:cstheme="minorHAnsi"/>
          <w:b/>
          <w:sz w:val="22"/>
          <w:szCs w:val="22"/>
        </w:rPr>
        <w:t>Institutional Capacity for Implementation and Sustainability Risk is Substantial.</w:t>
      </w:r>
      <w:r w:rsidRPr="009638BF">
        <w:rPr>
          <w:rFonts w:asciiTheme="minorHAnsi" w:hAnsiTheme="minorHAnsi" w:cstheme="minorHAnsi"/>
          <w:sz w:val="22"/>
          <w:szCs w:val="22"/>
        </w:rPr>
        <w:t xml:space="preserve"> BT and MEWR do not have experience in implementing such complex operations, however, its technical, </w:t>
      </w:r>
      <w:proofErr w:type="gramStart"/>
      <w:r w:rsidRPr="009638BF">
        <w:rPr>
          <w:rFonts w:asciiTheme="minorHAnsi" w:hAnsiTheme="minorHAnsi" w:cstheme="minorHAnsi"/>
          <w:sz w:val="22"/>
          <w:szCs w:val="22"/>
        </w:rPr>
        <w:t>economic</w:t>
      </w:r>
      <w:proofErr w:type="gramEnd"/>
      <w:r w:rsidRPr="009638BF">
        <w:rPr>
          <w:rFonts w:asciiTheme="minorHAnsi" w:hAnsiTheme="minorHAnsi" w:cstheme="minorHAnsi"/>
          <w:sz w:val="22"/>
          <w:szCs w:val="22"/>
        </w:rPr>
        <w:t xml:space="preserve"> and financial departments (which will play a role in implementation) are overall adequately staffed with experienced professionals. Moreover, BT would hire external consultants to advise on various issues on as-needed basis. The team at AM</w:t>
      </w:r>
      <w:r w:rsidR="00842CA3">
        <w:rPr>
          <w:rFonts w:asciiTheme="minorHAnsi" w:hAnsiTheme="minorHAnsi" w:cstheme="minorHAnsi"/>
          <w:sz w:val="22"/>
          <w:szCs w:val="22"/>
        </w:rPr>
        <w:t>S</w:t>
      </w:r>
      <w:r w:rsidRPr="009638BF">
        <w:rPr>
          <w:rFonts w:asciiTheme="minorHAnsi" w:hAnsiTheme="minorHAnsi" w:cstheme="minorHAnsi"/>
          <w:sz w:val="22"/>
          <w:szCs w:val="22"/>
        </w:rPr>
        <w:t>, which will be responsible for review of tariff revision requests filed by BT, SIB, and STB, and submission of a recommendation to the Government on tariff approval, has just been formed and it does n</w:t>
      </w:r>
    </w:p>
    <w:p w14:paraId="4E4AA8F9" w14:textId="650D9F94" w:rsidR="009638BF" w:rsidRPr="0013119C" w:rsidRDefault="009638BF" w:rsidP="0013119C">
      <w:pPr>
        <w:widowControl/>
        <w:tabs>
          <w:tab w:val="left" w:pos="0"/>
        </w:tabs>
        <w:autoSpaceDE/>
        <w:autoSpaceDN/>
        <w:adjustRightInd/>
        <w:spacing w:after="120"/>
        <w:ind w:left="-360"/>
        <w:jc w:val="both"/>
        <w:rPr>
          <w:rFonts w:asciiTheme="minorHAnsi" w:eastAsia="Times New Roman" w:hAnsiTheme="minorHAnsi" w:cstheme="minorHAnsi"/>
          <w:sz w:val="22"/>
          <w:szCs w:val="22"/>
        </w:rPr>
      </w:pPr>
      <w:proofErr w:type="spellStart"/>
      <w:r w:rsidRPr="0013119C">
        <w:rPr>
          <w:rFonts w:asciiTheme="minorHAnsi" w:hAnsiTheme="minorHAnsi" w:cstheme="minorHAnsi"/>
          <w:sz w:val="22"/>
          <w:szCs w:val="22"/>
        </w:rPr>
        <w:t>ot</w:t>
      </w:r>
      <w:proofErr w:type="spellEnd"/>
      <w:r w:rsidRPr="0013119C">
        <w:rPr>
          <w:rFonts w:asciiTheme="minorHAnsi" w:hAnsiTheme="minorHAnsi" w:cstheme="minorHAnsi"/>
          <w:sz w:val="22"/>
          <w:szCs w:val="22"/>
        </w:rPr>
        <w:t xml:space="preserve"> have experience with the tariff-setting and review consistent with the requirements of the new methodology. Key MEWR and BT staff have demonstrated solid performance since inception of the Program and good understanding of the Program design. Further capacity building will be provided to key staff at MEWR and BT, which are responsible for the implementation of various parts of the Program. Moreover, capacity-building support will be provided by some development partners (</w:t>
      </w:r>
      <w:proofErr w:type="gramStart"/>
      <w:r w:rsidRPr="0013119C">
        <w:rPr>
          <w:rFonts w:asciiTheme="minorHAnsi" w:hAnsiTheme="minorHAnsi" w:cstheme="minorHAnsi"/>
          <w:sz w:val="22"/>
          <w:szCs w:val="22"/>
        </w:rPr>
        <w:t>e.g.</w:t>
      </w:r>
      <w:proofErr w:type="gramEnd"/>
      <w:r w:rsidRPr="0013119C">
        <w:rPr>
          <w:rFonts w:asciiTheme="minorHAnsi" w:hAnsiTheme="minorHAnsi" w:cstheme="minorHAnsi"/>
          <w:sz w:val="22"/>
          <w:szCs w:val="22"/>
        </w:rPr>
        <w:t xml:space="preserve"> USAID regulatory capacity-building project). There are no material risks for sustainability of Program results because institutional/legal and regulatory mechanisms are being put in place to ensure sustainability of achievements under the Program. </w:t>
      </w:r>
      <w:bookmarkStart w:id="21" w:name="_Hlk29980121"/>
      <w:bookmarkEnd w:id="20"/>
    </w:p>
    <w:bookmarkEnd w:id="21"/>
    <w:p w14:paraId="21412470" w14:textId="77777777" w:rsidR="009638BF" w:rsidRPr="009638BF" w:rsidRDefault="009638BF" w:rsidP="00875DBA">
      <w:pPr>
        <w:pStyle w:val="ListParagraph"/>
        <w:widowControl/>
        <w:numPr>
          <w:ilvl w:val="0"/>
          <w:numId w:val="3"/>
        </w:numPr>
        <w:tabs>
          <w:tab w:val="left" w:pos="0"/>
        </w:tabs>
        <w:autoSpaceDE/>
        <w:autoSpaceDN/>
        <w:adjustRightInd/>
        <w:spacing w:after="120"/>
        <w:ind w:left="-360" w:firstLine="0"/>
        <w:contextualSpacing w:val="0"/>
        <w:jc w:val="both"/>
        <w:rPr>
          <w:rFonts w:asciiTheme="minorHAnsi" w:hAnsiTheme="minorHAnsi" w:cstheme="minorHAnsi"/>
          <w:sz w:val="22"/>
          <w:szCs w:val="22"/>
        </w:rPr>
      </w:pPr>
      <w:r w:rsidRPr="009638BF">
        <w:rPr>
          <w:rFonts w:asciiTheme="minorHAnsi" w:hAnsiTheme="minorHAnsi" w:cstheme="minorHAnsi"/>
          <w:b/>
          <w:sz w:val="22"/>
          <w:szCs w:val="22"/>
        </w:rPr>
        <w:t>Fiduciary Risk is Substantial</w:t>
      </w:r>
      <w:r w:rsidRPr="009638BF">
        <w:rPr>
          <w:rFonts w:asciiTheme="minorHAnsi" w:hAnsiTheme="minorHAnsi" w:cstheme="minorHAnsi"/>
          <w:b/>
          <w:i/>
          <w:sz w:val="22"/>
          <w:szCs w:val="22"/>
        </w:rPr>
        <w:t xml:space="preserve">. </w:t>
      </w:r>
      <w:r w:rsidRPr="009638BF">
        <w:rPr>
          <w:rFonts w:asciiTheme="minorHAnsi" w:hAnsiTheme="minorHAnsi" w:cstheme="minorHAnsi"/>
          <w:sz w:val="22"/>
          <w:szCs w:val="22"/>
        </w:rPr>
        <w:t xml:space="preserve">The findings on financial management risks include, but not limited to: (i) limited capacities of the FM/accounting staff at BT, </w:t>
      </w:r>
      <w:proofErr w:type="gramStart"/>
      <w:r w:rsidRPr="009638BF">
        <w:rPr>
          <w:rFonts w:asciiTheme="minorHAnsi" w:hAnsiTheme="minorHAnsi" w:cstheme="minorHAnsi"/>
          <w:sz w:val="22"/>
          <w:szCs w:val="22"/>
        </w:rPr>
        <w:t>in particular at</w:t>
      </w:r>
      <w:proofErr w:type="gramEnd"/>
      <w:r w:rsidRPr="009638BF">
        <w:rPr>
          <w:rFonts w:asciiTheme="minorHAnsi" w:hAnsiTheme="minorHAnsi" w:cstheme="minorHAnsi"/>
          <w:sz w:val="22"/>
          <w:szCs w:val="22"/>
        </w:rPr>
        <w:t xml:space="preserve"> regional level; (ii) weak internal controls, and (iii) lack of good governance practice at BT. The findings on procurement risks indicate the following key weaknesses: (i) use of incomplete bidding documents, unclear qualifications and technical requirements, evaluation criteria and contract conditions; (ii) lack of contract management mechanism including contract delivery quality and cost controls; and (iii) lack of clarity and transparency on matters related to filing of complaints, their processing, and decisions made</w:t>
      </w:r>
      <w:bookmarkStart w:id="22" w:name="_Hlk29980924"/>
      <w:r w:rsidRPr="009638BF">
        <w:rPr>
          <w:rFonts w:asciiTheme="minorHAnsi" w:hAnsiTheme="minorHAnsi" w:cstheme="minorHAnsi"/>
          <w:sz w:val="22"/>
          <w:szCs w:val="22"/>
        </w:rPr>
        <w:t xml:space="preserve">. The fiduciary risks will be mitigated through improved capacity building of BT on accounting and auditing, consistent implementation of good-practice corporate governance principles, and improvements to be made to standard procurement documents. </w:t>
      </w:r>
    </w:p>
    <w:bookmarkEnd w:id="22"/>
    <w:p w14:paraId="5B1F9735" w14:textId="0B52A3FB" w:rsidR="009638BF" w:rsidRPr="009638BF" w:rsidRDefault="009638BF" w:rsidP="00875DBA">
      <w:pPr>
        <w:pStyle w:val="ListParagraph"/>
        <w:widowControl/>
        <w:numPr>
          <w:ilvl w:val="0"/>
          <w:numId w:val="3"/>
        </w:numPr>
        <w:tabs>
          <w:tab w:val="left" w:pos="0"/>
        </w:tabs>
        <w:autoSpaceDE/>
        <w:autoSpaceDN/>
        <w:adjustRightInd/>
        <w:spacing w:after="120"/>
        <w:ind w:left="-360" w:firstLine="0"/>
        <w:contextualSpacing w:val="0"/>
        <w:jc w:val="both"/>
        <w:rPr>
          <w:rFonts w:asciiTheme="minorHAnsi" w:hAnsiTheme="minorHAnsi" w:cstheme="minorHAnsi"/>
          <w:sz w:val="22"/>
          <w:szCs w:val="22"/>
        </w:rPr>
      </w:pPr>
      <w:r w:rsidRPr="009638BF">
        <w:rPr>
          <w:rFonts w:asciiTheme="minorHAnsi" w:hAnsiTheme="minorHAnsi" w:cstheme="minorHAnsi"/>
          <w:b/>
          <w:sz w:val="22"/>
          <w:szCs w:val="22"/>
        </w:rPr>
        <w:t>Environmental and Social Risk is Substantial</w:t>
      </w:r>
      <w:r w:rsidRPr="009638BF">
        <w:rPr>
          <w:rFonts w:asciiTheme="minorHAnsi" w:hAnsiTheme="minorHAnsi" w:cstheme="minorHAnsi"/>
          <w:b/>
          <w:i/>
          <w:sz w:val="22"/>
          <w:szCs w:val="22"/>
        </w:rPr>
        <w:t xml:space="preserve">. </w:t>
      </w:r>
      <w:r w:rsidR="00BD3614">
        <w:rPr>
          <w:rFonts w:asciiTheme="minorHAnsi" w:hAnsiTheme="minorHAnsi" w:cstheme="minorHAnsi"/>
          <w:sz w:val="22"/>
          <w:szCs w:val="22"/>
        </w:rPr>
        <w:t>The e</w:t>
      </w:r>
      <w:r w:rsidR="00BD3614" w:rsidRPr="009638BF">
        <w:rPr>
          <w:rFonts w:asciiTheme="minorHAnsi" w:hAnsiTheme="minorHAnsi" w:cstheme="minorHAnsi"/>
          <w:sz w:val="22"/>
          <w:szCs w:val="22"/>
        </w:rPr>
        <w:t xml:space="preserve">nvironmental risk rating is Substantial. </w:t>
      </w:r>
      <w:r w:rsidRPr="009638BF">
        <w:rPr>
          <w:rFonts w:asciiTheme="minorHAnsi" w:hAnsiTheme="minorHAnsi" w:cstheme="minorHAnsi"/>
          <w:sz w:val="22"/>
          <w:szCs w:val="22"/>
        </w:rPr>
        <w:t xml:space="preserve">Activities proposed under Results Area 2 of the </w:t>
      </w:r>
      <w:proofErr w:type="spellStart"/>
      <w:r w:rsidRPr="009638BF">
        <w:rPr>
          <w:rFonts w:asciiTheme="minorHAnsi" w:hAnsiTheme="minorHAnsi" w:cstheme="minorHAnsi"/>
          <w:sz w:val="22"/>
          <w:szCs w:val="22"/>
        </w:rPr>
        <w:t>PforR</w:t>
      </w:r>
      <w:proofErr w:type="spellEnd"/>
      <w:r w:rsidRPr="009638BF">
        <w:rPr>
          <w:rFonts w:asciiTheme="minorHAnsi" w:hAnsiTheme="minorHAnsi" w:cstheme="minorHAnsi"/>
          <w:sz w:val="22"/>
          <w:szCs w:val="22"/>
        </w:rPr>
        <w:t xml:space="preserve"> Program could lead to environmental </w:t>
      </w:r>
      <w:r w:rsidR="003B185D">
        <w:rPr>
          <w:rFonts w:asciiTheme="minorHAnsi" w:hAnsiTheme="minorHAnsi" w:cstheme="minorHAnsi"/>
          <w:sz w:val="22"/>
          <w:szCs w:val="22"/>
        </w:rPr>
        <w:t>impacts</w:t>
      </w:r>
      <w:r w:rsidRPr="009638BF">
        <w:rPr>
          <w:rFonts w:asciiTheme="minorHAnsi" w:hAnsiTheme="minorHAnsi" w:cstheme="minorHAnsi"/>
          <w:sz w:val="22"/>
          <w:szCs w:val="22"/>
        </w:rPr>
        <w:t xml:space="preserve">. BT, as the main implementing agency, </w:t>
      </w:r>
      <w:r w:rsidR="003B185D">
        <w:rPr>
          <w:rFonts w:asciiTheme="minorHAnsi" w:hAnsiTheme="minorHAnsi" w:cstheme="minorHAnsi"/>
          <w:sz w:val="22"/>
          <w:szCs w:val="22"/>
        </w:rPr>
        <w:t xml:space="preserve">as well as SIB and STB </w:t>
      </w:r>
      <w:r w:rsidRPr="009638BF">
        <w:rPr>
          <w:rFonts w:asciiTheme="minorHAnsi" w:hAnsiTheme="minorHAnsi" w:cstheme="minorHAnsi"/>
          <w:sz w:val="22"/>
          <w:szCs w:val="22"/>
        </w:rPr>
        <w:t>ha</w:t>
      </w:r>
      <w:r w:rsidR="003B185D">
        <w:rPr>
          <w:rFonts w:asciiTheme="minorHAnsi" w:hAnsiTheme="minorHAnsi" w:cstheme="minorHAnsi"/>
          <w:sz w:val="22"/>
          <w:szCs w:val="22"/>
        </w:rPr>
        <w:t>ve</w:t>
      </w:r>
      <w:r w:rsidRPr="009638BF">
        <w:rPr>
          <w:rFonts w:asciiTheme="minorHAnsi" w:hAnsiTheme="minorHAnsi" w:cstheme="minorHAnsi"/>
          <w:sz w:val="22"/>
          <w:szCs w:val="22"/>
        </w:rPr>
        <w:t xml:space="preserve"> limited in-house capacity for environmental due diligence. BT</w:t>
      </w:r>
      <w:r w:rsidR="00BD3614">
        <w:rPr>
          <w:rFonts w:asciiTheme="minorHAnsi" w:hAnsiTheme="minorHAnsi" w:cstheme="minorHAnsi"/>
          <w:sz w:val="22"/>
          <w:szCs w:val="22"/>
        </w:rPr>
        <w:t xml:space="preserve"> hired in-house environmental specialist and SIB and STB are in the process of hiring environmental </w:t>
      </w:r>
      <w:r w:rsidR="00BD3614">
        <w:rPr>
          <w:rFonts w:asciiTheme="minorHAnsi" w:hAnsiTheme="minorHAnsi" w:cstheme="minorHAnsi"/>
          <w:sz w:val="22"/>
          <w:szCs w:val="22"/>
        </w:rPr>
        <w:lastRenderedPageBreak/>
        <w:t>specialists. Additionally, BT,</w:t>
      </w:r>
      <w:r w:rsidR="003B185D">
        <w:rPr>
          <w:rFonts w:asciiTheme="minorHAnsi" w:hAnsiTheme="minorHAnsi" w:cstheme="minorHAnsi"/>
          <w:sz w:val="22"/>
          <w:szCs w:val="22"/>
        </w:rPr>
        <w:t xml:space="preserve"> SIB and STB</w:t>
      </w:r>
      <w:r w:rsidRPr="009638BF">
        <w:rPr>
          <w:rFonts w:asciiTheme="minorHAnsi" w:hAnsiTheme="minorHAnsi" w:cstheme="minorHAnsi"/>
          <w:sz w:val="22"/>
          <w:szCs w:val="22"/>
        </w:rPr>
        <w:t xml:space="preserve"> </w:t>
      </w:r>
      <w:r w:rsidR="003B185D">
        <w:rPr>
          <w:rFonts w:asciiTheme="minorHAnsi" w:hAnsiTheme="minorHAnsi" w:cstheme="minorHAnsi"/>
          <w:sz w:val="22"/>
          <w:szCs w:val="22"/>
        </w:rPr>
        <w:t>prepared</w:t>
      </w:r>
      <w:r w:rsidR="00BD3614">
        <w:rPr>
          <w:rFonts w:asciiTheme="minorHAnsi" w:hAnsiTheme="minorHAnsi" w:cstheme="minorHAnsi"/>
          <w:sz w:val="22"/>
          <w:szCs w:val="22"/>
        </w:rPr>
        <w:t xml:space="preserve"> and adopted</w:t>
      </w:r>
      <w:r w:rsidR="003B185D">
        <w:rPr>
          <w:rFonts w:asciiTheme="minorHAnsi" w:hAnsiTheme="minorHAnsi" w:cstheme="minorHAnsi"/>
          <w:sz w:val="22"/>
          <w:szCs w:val="22"/>
        </w:rPr>
        <w:t xml:space="preserve"> </w:t>
      </w:r>
      <w:r w:rsidRPr="009638BF">
        <w:rPr>
          <w:rFonts w:asciiTheme="minorHAnsi" w:hAnsiTheme="minorHAnsi" w:cstheme="minorHAnsi"/>
          <w:sz w:val="22"/>
          <w:szCs w:val="22"/>
        </w:rPr>
        <w:t>corporate level environmental polic</w:t>
      </w:r>
      <w:r w:rsidR="003B185D">
        <w:rPr>
          <w:rFonts w:asciiTheme="minorHAnsi" w:hAnsiTheme="minorHAnsi" w:cstheme="minorHAnsi"/>
          <w:sz w:val="22"/>
          <w:szCs w:val="22"/>
        </w:rPr>
        <w:t xml:space="preserve">ies </w:t>
      </w:r>
      <w:r w:rsidR="00D00AA8">
        <w:rPr>
          <w:rFonts w:asciiTheme="minorHAnsi" w:hAnsiTheme="minorHAnsi" w:cstheme="minorHAnsi"/>
          <w:sz w:val="22"/>
          <w:szCs w:val="22"/>
        </w:rPr>
        <w:t>statements, which were found to be acceptable by the Bank</w:t>
      </w:r>
      <w:r w:rsidRPr="009638BF">
        <w:rPr>
          <w:rFonts w:asciiTheme="minorHAnsi" w:hAnsiTheme="minorHAnsi" w:cstheme="minorHAnsi"/>
          <w:sz w:val="22"/>
          <w:szCs w:val="22"/>
        </w:rPr>
        <w:t xml:space="preserve">. However, </w:t>
      </w:r>
      <w:r w:rsidR="00BD3614">
        <w:rPr>
          <w:rFonts w:asciiTheme="minorHAnsi" w:hAnsiTheme="minorHAnsi" w:cstheme="minorHAnsi"/>
          <w:sz w:val="22"/>
          <w:szCs w:val="22"/>
        </w:rPr>
        <w:t>Program-</w:t>
      </w:r>
      <w:r w:rsidRPr="009638BF">
        <w:rPr>
          <w:rFonts w:asciiTheme="minorHAnsi" w:hAnsiTheme="minorHAnsi" w:cstheme="minorHAnsi"/>
          <w:sz w:val="22"/>
          <w:szCs w:val="22"/>
        </w:rPr>
        <w:t xml:space="preserve">level environmental management including procedures and practices to manage hazardous waste remains weak. The environmental risk would be mitigated through </w:t>
      </w:r>
      <w:r w:rsidR="00BD3614">
        <w:rPr>
          <w:rFonts w:asciiTheme="minorHAnsi" w:hAnsiTheme="minorHAnsi" w:cstheme="minorHAnsi"/>
          <w:sz w:val="22"/>
          <w:szCs w:val="22"/>
        </w:rPr>
        <w:t xml:space="preserve">implementation of the </w:t>
      </w:r>
      <w:r w:rsidRPr="009638BF">
        <w:rPr>
          <w:rFonts w:asciiTheme="minorHAnsi" w:hAnsiTheme="minorHAnsi" w:cstheme="minorHAnsi"/>
          <w:sz w:val="22"/>
          <w:szCs w:val="22"/>
        </w:rPr>
        <w:t xml:space="preserve">corporate environmental policy and guidelines for carrying out rehabilitation works; hiring of additional environmental staff; and training activities. The tariff increases, supported under the Program, would have impacts on socially vulnerable consumers. Therefore, the Program requires, through the </w:t>
      </w:r>
      <w:r w:rsidR="00BD3614">
        <w:rPr>
          <w:rFonts w:asciiTheme="minorHAnsi" w:hAnsiTheme="minorHAnsi" w:cstheme="minorHAnsi"/>
          <w:sz w:val="22"/>
          <w:szCs w:val="22"/>
        </w:rPr>
        <w:t>PAP</w:t>
      </w:r>
      <w:r w:rsidRPr="009638BF">
        <w:rPr>
          <w:rFonts w:asciiTheme="minorHAnsi" w:hAnsiTheme="minorHAnsi" w:cstheme="minorHAnsi"/>
          <w:sz w:val="22"/>
          <w:szCs w:val="22"/>
        </w:rPr>
        <w:t>, further roll-out of TSA program with required budget top-up and introduction of</w:t>
      </w:r>
      <w:r w:rsidR="00BD3614">
        <w:rPr>
          <w:rFonts w:asciiTheme="minorHAnsi" w:hAnsiTheme="minorHAnsi" w:cstheme="minorHAnsi"/>
          <w:sz w:val="22"/>
          <w:szCs w:val="22"/>
        </w:rPr>
        <w:t xml:space="preserve"> block or</w:t>
      </w:r>
      <w:r w:rsidRPr="009638BF">
        <w:rPr>
          <w:rFonts w:asciiTheme="minorHAnsi" w:hAnsiTheme="minorHAnsi" w:cstheme="minorHAnsi"/>
          <w:sz w:val="22"/>
          <w:szCs w:val="22"/>
        </w:rPr>
        <w:t xml:space="preserve"> lifeline tariffs if the TSA does not provide the required mitigation.</w:t>
      </w:r>
    </w:p>
    <w:p w14:paraId="01FE07AC" w14:textId="104407E2" w:rsidR="00AC7A4C" w:rsidRPr="00AC7A4C" w:rsidRDefault="009638BF" w:rsidP="00875DBA">
      <w:pPr>
        <w:pStyle w:val="ListParagraph"/>
        <w:widowControl/>
        <w:numPr>
          <w:ilvl w:val="0"/>
          <w:numId w:val="3"/>
        </w:numPr>
        <w:tabs>
          <w:tab w:val="left" w:pos="0"/>
        </w:tabs>
        <w:autoSpaceDE/>
        <w:autoSpaceDN/>
        <w:adjustRightInd/>
        <w:spacing w:after="120"/>
        <w:ind w:left="-360" w:firstLine="0"/>
        <w:contextualSpacing w:val="0"/>
        <w:jc w:val="both"/>
        <w:rPr>
          <w:rFonts w:asciiTheme="minorHAnsi" w:hAnsiTheme="minorHAnsi" w:cstheme="minorHAnsi"/>
          <w:bCs/>
          <w:iCs/>
          <w:sz w:val="22"/>
          <w:szCs w:val="22"/>
        </w:rPr>
      </w:pPr>
      <w:r w:rsidRPr="00AC7A4C">
        <w:rPr>
          <w:rFonts w:asciiTheme="minorHAnsi" w:hAnsiTheme="minorHAnsi" w:cstheme="minorHAnsi"/>
          <w:b/>
          <w:sz w:val="22"/>
          <w:szCs w:val="22"/>
        </w:rPr>
        <w:t>Stakeholder Risk is Moderate.</w:t>
      </w:r>
      <w:r w:rsidRPr="00AC7A4C">
        <w:rPr>
          <w:rFonts w:asciiTheme="minorHAnsi" w:hAnsiTheme="minorHAnsi" w:cstheme="minorHAnsi"/>
          <w:sz w:val="22"/>
          <w:szCs w:val="22"/>
        </w:rPr>
        <w:t xml:space="preserve"> </w:t>
      </w:r>
      <w:r w:rsidR="00AC7A4C" w:rsidRPr="00AC7A4C">
        <w:rPr>
          <w:rFonts w:asciiTheme="minorHAnsi" w:hAnsiTheme="minorHAnsi" w:cstheme="minorHAnsi"/>
          <w:bCs/>
          <w:iCs/>
          <w:sz w:val="22"/>
          <w:szCs w:val="22"/>
        </w:rPr>
        <w:t xml:space="preserve">The electricity sector’s efforts to stakeholder engagement are mostly limited to sharing of the information. Those require embedding better and effective consumer engagement. Towards this, STB needs to evaluate the existing situation and the related </w:t>
      </w:r>
      <w:proofErr w:type="gramStart"/>
      <w:r w:rsidR="00AC7A4C" w:rsidRPr="00AC7A4C">
        <w:rPr>
          <w:rFonts w:asciiTheme="minorHAnsi" w:hAnsiTheme="minorHAnsi" w:cstheme="minorHAnsi"/>
          <w:bCs/>
          <w:iCs/>
          <w:sz w:val="22"/>
          <w:szCs w:val="22"/>
        </w:rPr>
        <w:t>issues, and</w:t>
      </w:r>
      <w:proofErr w:type="gramEnd"/>
      <w:r w:rsidR="00AC7A4C" w:rsidRPr="00AC7A4C">
        <w:rPr>
          <w:rFonts w:asciiTheme="minorHAnsi" w:hAnsiTheme="minorHAnsi" w:cstheme="minorHAnsi"/>
          <w:bCs/>
          <w:iCs/>
          <w:sz w:val="22"/>
          <w:szCs w:val="22"/>
        </w:rPr>
        <w:t xml:space="preserve"> prepare a strategy and implementation action plan for more effective customer engagement. As part of it, STB needs to introduce an effective mechanism for handling of customers’ complaints. </w:t>
      </w:r>
      <w:r w:rsidR="00A83FF5">
        <w:rPr>
          <w:rFonts w:asciiTheme="minorHAnsi" w:hAnsiTheme="minorHAnsi" w:cstheme="minorHAnsi"/>
          <w:bCs/>
          <w:iCs/>
          <w:sz w:val="22"/>
          <w:szCs w:val="22"/>
        </w:rPr>
        <w:t xml:space="preserve">STB should also prepare a short note on the existing grievance system at STB. </w:t>
      </w:r>
      <w:r w:rsidR="00AC7A4C" w:rsidRPr="00AC7A4C">
        <w:rPr>
          <w:rFonts w:asciiTheme="minorHAnsi" w:hAnsiTheme="minorHAnsi" w:cstheme="minorHAnsi"/>
          <w:bCs/>
          <w:iCs/>
          <w:sz w:val="22"/>
          <w:szCs w:val="22"/>
        </w:rPr>
        <w:t>Further, the tariff increases for 2020 and 2021 were postponed due to COVID-19 impacts. This has contained any unrest among the civil society and the private sector.  MEWR and BT need to finalize preparation of the public communication strategy on tariffs and broader energy issues, which, once implementation commences in 2022, should help to mitigate the impacts the stakeholder risks.</w:t>
      </w:r>
    </w:p>
    <w:p w14:paraId="65F8A0C5" w14:textId="0F9D7567" w:rsidR="009638BF" w:rsidRPr="009638BF" w:rsidRDefault="009638BF" w:rsidP="00875DBA">
      <w:pPr>
        <w:pStyle w:val="ListParagraph"/>
        <w:widowControl/>
        <w:numPr>
          <w:ilvl w:val="0"/>
          <w:numId w:val="3"/>
        </w:numPr>
        <w:tabs>
          <w:tab w:val="left" w:pos="0"/>
        </w:tabs>
        <w:autoSpaceDE/>
        <w:autoSpaceDN/>
        <w:adjustRightInd/>
        <w:spacing w:after="120"/>
        <w:ind w:left="-360" w:firstLine="0"/>
        <w:contextualSpacing w:val="0"/>
        <w:jc w:val="both"/>
        <w:rPr>
          <w:rFonts w:asciiTheme="minorHAnsi" w:hAnsiTheme="minorHAnsi" w:cstheme="minorHAnsi"/>
          <w:sz w:val="22"/>
          <w:szCs w:val="22"/>
        </w:rPr>
      </w:pPr>
      <w:r w:rsidRPr="009638BF">
        <w:rPr>
          <w:rFonts w:asciiTheme="minorHAnsi" w:hAnsiTheme="minorHAnsi" w:cstheme="minorHAnsi"/>
          <w:sz w:val="22"/>
          <w:szCs w:val="22"/>
        </w:rPr>
        <w:t>The tariff increases for 2020 and 2021 were postponed due to COVID-19 impacts. Therefore, the civil society and the private sector are not likely to object to the Program objectives and implementation in 2020. MEWR and BT finalized the preparation of the public communication strategy on tariffs and broader energy issues, which, once implementation commences in 2022, should help to mitigate the impacts the stakeholder risks stemming from tariff increases.</w:t>
      </w:r>
    </w:p>
    <w:p w14:paraId="0E3CA193" w14:textId="6CD15C33" w:rsidR="009638BF" w:rsidRPr="009638BF" w:rsidRDefault="009638BF" w:rsidP="00875DBA">
      <w:pPr>
        <w:pStyle w:val="ListParagraph"/>
        <w:widowControl/>
        <w:numPr>
          <w:ilvl w:val="0"/>
          <w:numId w:val="3"/>
        </w:numPr>
        <w:tabs>
          <w:tab w:val="left" w:pos="0"/>
        </w:tabs>
        <w:autoSpaceDE/>
        <w:autoSpaceDN/>
        <w:adjustRightInd/>
        <w:spacing w:after="120"/>
        <w:ind w:left="-360" w:firstLine="0"/>
        <w:contextualSpacing w:val="0"/>
        <w:jc w:val="both"/>
        <w:rPr>
          <w:rFonts w:asciiTheme="minorHAnsi" w:hAnsiTheme="minorHAnsi" w:cstheme="minorHAnsi"/>
          <w:sz w:val="16"/>
          <w:szCs w:val="22"/>
        </w:rPr>
      </w:pPr>
      <w:r w:rsidRPr="009638BF">
        <w:rPr>
          <w:rFonts w:asciiTheme="minorHAnsi" w:hAnsiTheme="minorHAnsi" w:cstheme="minorHAnsi"/>
          <w:b/>
          <w:sz w:val="22"/>
          <w:szCs w:val="22"/>
        </w:rPr>
        <w:t>BT Export Revenue Risk is High</w:t>
      </w:r>
      <w:r w:rsidRPr="009638BF">
        <w:rPr>
          <w:rFonts w:asciiTheme="minorHAnsi" w:hAnsiTheme="minorHAnsi" w:cstheme="minorHAnsi"/>
          <w:b/>
          <w:i/>
          <w:sz w:val="22"/>
          <w:szCs w:val="22"/>
        </w:rPr>
        <w:t xml:space="preserve">. </w:t>
      </w:r>
      <w:r w:rsidRPr="009638BF">
        <w:rPr>
          <w:rFonts w:asciiTheme="minorHAnsi" w:hAnsiTheme="minorHAnsi" w:cstheme="minorHAnsi"/>
          <w:sz w:val="22"/>
          <w:szCs w:val="22"/>
        </w:rPr>
        <w:t>Projected BT revenues after 2022 would to large extent depend on the cash received from exports under CASA-1000 project and exports to Afghanistan under existing contracts. Exports to Afghanistan under existing contracts have been generating about US$40</w:t>
      </w:r>
      <w:r w:rsidR="00EE7D20">
        <w:rPr>
          <w:rFonts w:asciiTheme="minorHAnsi" w:hAnsiTheme="minorHAnsi" w:cstheme="minorHAnsi"/>
          <w:sz w:val="22"/>
          <w:szCs w:val="22"/>
        </w:rPr>
        <w:t xml:space="preserve"> million</w:t>
      </w:r>
      <w:r w:rsidRPr="009638BF">
        <w:rPr>
          <w:rFonts w:asciiTheme="minorHAnsi" w:hAnsiTheme="minorHAnsi" w:cstheme="minorHAnsi"/>
          <w:sz w:val="22"/>
          <w:szCs w:val="22"/>
        </w:rPr>
        <w:t>/year since 2018 and BT is expected to earn about US$13</w:t>
      </w:r>
      <w:r w:rsidR="00EE7D20">
        <w:rPr>
          <w:rFonts w:asciiTheme="minorHAnsi" w:hAnsiTheme="minorHAnsi" w:cstheme="minorHAnsi"/>
          <w:sz w:val="22"/>
          <w:szCs w:val="22"/>
        </w:rPr>
        <w:t>5</w:t>
      </w:r>
      <w:r w:rsidRPr="009638BF">
        <w:rPr>
          <w:rFonts w:asciiTheme="minorHAnsi" w:hAnsiTheme="minorHAnsi" w:cstheme="minorHAnsi"/>
          <w:sz w:val="22"/>
          <w:szCs w:val="22"/>
        </w:rPr>
        <w:t xml:space="preserve"> million per year from exports of energy under CASA-1000. However, both of those revenue streams are at risk given the current situation in Afghanistan. If collections from existing exports do not improve at required pace and CASA-1000 is delayed beyond 2025, then financial recovery of BT would be jeopardized. The Government is currently actively exploring alternative export markets for surplus summer electricity. </w:t>
      </w:r>
    </w:p>
    <w:p w14:paraId="0DB32A5B" w14:textId="17E36074" w:rsidR="00261B7F" w:rsidRPr="009638BF" w:rsidRDefault="009638BF" w:rsidP="00875DBA">
      <w:pPr>
        <w:pStyle w:val="ListParagraph"/>
        <w:widowControl/>
        <w:numPr>
          <w:ilvl w:val="0"/>
          <w:numId w:val="3"/>
        </w:numPr>
        <w:tabs>
          <w:tab w:val="left" w:pos="0"/>
        </w:tabs>
        <w:autoSpaceDE/>
        <w:autoSpaceDN/>
        <w:adjustRightInd/>
        <w:spacing w:after="120"/>
        <w:ind w:left="-360" w:firstLine="0"/>
        <w:contextualSpacing w:val="0"/>
        <w:jc w:val="both"/>
        <w:rPr>
          <w:rFonts w:asciiTheme="minorHAnsi" w:hAnsiTheme="minorHAnsi" w:cstheme="minorHAnsi"/>
          <w:sz w:val="16"/>
          <w:szCs w:val="22"/>
        </w:rPr>
      </w:pPr>
      <w:r w:rsidRPr="009638BF">
        <w:rPr>
          <w:rFonts w:asciiTheme="minorHAnsi" w:hAnsiTheme="minorHAnsi" w:cstheme="minorHAnsi"/>
          <w:b/>
          <w:bCs/>
          <w:sz w:val="22"/>
          <w:szCs w:val="22"/>
        </w:rPr>
        <w:t>The Risk of Rogun HPP Impact on Financial Standing of BT is Moderate</w:t>
      </w:r>
      <w:r w:rsidRPr="009638BF">
        <w:rPr>
          <w:rFonts w:asciiTheme="minorHAnsi" w:hAnsiTheme="minorHAnsi" w:cstheme="minorHAnsi"/>
          <w:sz w:val="22"/>
          <w:szCs w:val="22"/>
        </w:rPr>
        <w:t xml:space="preserve">. The main issue would be to ensure that BT (or STB) does not purchase more electricity from Rogun HPP than justified from domestic and export demand perspective, and the cost of energy from Rogun HPP, which will be supplied to domestic market, is fully reflected in the end-user tariff. Therefore, BT’s PPA with Rogun HPP would need to be based on realistic projection of domestic electricity demand as well as availability of firm and long-term export commitments. For 2020-2022, the amount of electricity to be purchased by BT from Rogun HPP is consistent with the requirements of domestic demand. </w:t>
      </w:r>
    </w:p>
    <w:tbl>
      <w:tblPr>
        <w:tblStyle w:val="TableGrid3"/>
        <w:tblW w:w="10714" w:type="dxa"/>
        <w:tblInd w:w="-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C"/>
        <w:tblLayout w:type="fixed"/>
        <w:tblLook w:val="04A0" w:firstRow="1" w:lastRow="0" w:firstColumn="1" w:lastColumn="0" w:noHBand="0" w:noVBand="1"/>
      </w:tblPr>
      <w:tblGrid>
        <w:gridCol w:w="10714"/>
      </w:tblGrid>
      <w:tr w:rsidR="004F0F3F" w14:paraId="4B024A56" w14:textId="77777777" w:rsidTr="00E5316C">
        <w:trPr>
          <w:trHeight w:val="432"/>
        </w:trPr>
        <w:tc>
          <w:tcPr>
            <w:tcW w:w="10714" w:type="dxa"/>
            <w:shd w:val="clear" w:color="auto" w:fill="F2F7FC"/>
            <w:vAlign w:val="center"/>
          </w:tcPr>
          <w:p w14:paraId="3C4F587B" w14:textId="77777777" w:rsidR="00261B7F" w:rsidRPr="00DD5666" w:rsidRDefault="00880CEC" w:rsidP="00CB0465">
            <w:pPr>
              <w:pStyle w:val="NoSpacing"/>
              <w:numPr>
                <w:ilvl w:val="0"/>
                <w:numId w:val="29"/>
              </w:numPr>
              <w:ind w:left="345" w:hanging="345"/>
              <w:outlineLvl w:val="0"/>
              <w:rPr>
                <w:rFonts w:asciiTheme="minorHAnsi" w:hAnsiTheme="minorHAnsi"/>
                <w:b/>
                <w:sz w:val="22"/>
                <w:szCs w:val="22"/>
              </w:rPr>
            </w:pPr>
            <w:bookmarkStart w:id="23" w:name="_Toc256000006"/>
            <w:bookmarkStart w:id="24" w:name="_Toc256000004"/>
            <w:bookmarkStart w:id="25" w:name="_Toc480293563"/>
            <w:bookmarkStart w:id="26" w:name="_Toc517269161"/>
            <w:bookmarkStart w:id="27" w:name="_Toc520325356"/>
            <w:bookmarkStart w:id="28" w:name="_Toc104869135"/>
            <w:r w:rsidRPr="00850119">
              <w:rPr>
                <w:rFonts w:ascii="Calibri" w:hAnsi="Calibri"/>
                <w:b/>
                <w:color w:val="auto"/>
                <w:sz w:val="22"/>
                <w:szCs w:val="22"/>
              </w:rPr>
              <w:t>WORLD BANK GRIEVANCE REDRESS</w:t>
            </w:r>
            <w:bookmarkEnd w:id="23"/>
            <w:bookmarkEnd w:id="24"/>
            <w:bookmarkEnd w:id="25"/>
            <w:bookmarkEnd w:id="26"/>
            <w:bookmarkEnd w:id="27"/>
            <w:bookmarkEnd w:id="28"/>
          </w:p>
        </w:tc>
      </w:tr>
    </w:tbl>
    <w:p w14:paraId="448EB5D7" w14:textId="600D8D72" w:rsidR="00070036" w:rsidRPr="00070036" w:rsidRDefault="00880CEC" w:rsidP="000660D4">
      <w:pPr>
        <w:pStyle w:val="ListParagraph"/>
        <w:widowControl/>
        <w:numPr>
          <w:ilvl w:val="0"/>
          <w:numId w:val="3"/>
        </w:numPr>
        <w:tabs>
          <w:tab w:val="left" w:pos="0"/>
        </w:tabs>
        <w:autoSpaceDE/>
        <w:autoSpaceDN/>
        <w:adjustRightInd/>
        <w:spacing w:before="120" w:after="160" w:line="259" w:lineRule="auto"/>
        <w:ind w:left="-360" w:firstLine="0"/>
        <w:contextualSpacing w:val="0"/>
        <w:jc w:val="both"/>
        <w:rPr>
          <w:rFonts w:ascii="Calibri" w:hAnsi="Calibri"/>
          <w:b/>
          <w:color w:val="0D0D0D"/>
          <w:sz w:val="22"/>
          <w:szCs w:val="22"/>
        </w:rPr>
      </w:pPr>
      <w:r w:rsidRPr="00070036">
        <w:rPr>
          <w:rFonts w:asciiTheme="minorHAnsi" w:eastAsia="Times New Roman" w:hAnsiTheme="minorHAnsi" w:cstheme="minorHAnsi"/>
          <w:b/>
          <w:bCs/>
          <w:color w:val="auto"/>
          <w:sz w:val="22"/>
          <w:szCs w:val="22"/>
        </w:rPr>
        <w:t>Grievance Redress</w:t>
      </w:r>
      <w:r w:rsidRPr="00070036">
        <w:rPr>
          <w:rFonts w:asciiTheme="minorHAnsi" w:eastAsia="Times New Roman" w:hAnsiTheme="minorHAnsi" w:cstheme="minorHAnsi"/>
          <w:b/>
          <w:bCs/>
          <w:i/>
          <w:iCs/>
          <w:color w:val="auto"/>
          <w:sz w:val="22"/>
          <w:szCs w:val="22"/>
        </w:rPr>
        <w:t xml:space="preserve">. </w:t>
      </w:r>
      <w:r w:rsidRPr="00070036">
        <w:rPr>
          <w:rFonts w:asciiTheme="minorHAnsi" w:eastAsia="Times New Roman" w:hAnsiTheme="minorHAnsi" w:cstheme="minorHAnsi"/>
          <w:color w:val="auto"/>
          <w:sz w:val="22"/>
          <w:szCs w:val="22"/>
        </w:rPr>
        <w:t xml:space="preserve">Communities and individuals who believe that they are adversely affected </w:t>
      </w:r>
      <w:proofErr w:type="gramStart"/>
      <w:r w:rsidRPr="00070036">
        <w:rPr>
          <w:rFonts w:asciiTheme="minorHAnsi" w:eastAsia="Times New Roman" w:hAnsiTheme="minorHAnsi" w:cstheme="minorHAnsi"/>
          <w:color w:val="auto"/>
          <w:sz w:val="22"/>
          <w:szCs w:val="22"/>
        </w:rPr>
        <w:t>as a result of</w:t>
      </w:r>
      <w:proofErr w:type="gramEnd"/>
      <w:r w:rsidRPr="00070036">
        <w:rPr>
          <w:rFonts w:asciiTheme="minorHAnsi" w:eastAsia="Times New Roman" w:hAnsiTheme="minorHAnsi" w:cstheme="minorHAnsi"/>
          <w:color w:val="auto"/>
          <w:sz w:val="22"/>
          <w:szCs w:val="22"/>
        </w:rPr>
        <w:t xml:space="preserve"> a Bank supported </w:t>
      </w:r>
      <w:proofErr w:type="spellStart"/>
      <w:r w:rsidRPr="00070036">
        <w:rPr>
          <w:rFonts w:asciiTheme="minorHAnsi" w:eastAsia="Times New Roman" w:hAnsiTheme="minorHAnsi" w:cstheme="minorHAnsi"/>
          <w:color w:val="auto"/>
          <w:sz w:val="22"/>
          <w:szCs w:val="22"/>
        </w:rPr>
        <w:t>PforR</w:t>
      </w:r>
      <w:proofErr w:type="spellEnd"/>
      <w:r w:rsidRPr="00070036">
        <w:rPr>
          <w:rFonts w:asciiTheme="minorHAnsi" w:eastAsia="Times New Roman" w:hAnsiTheme="minorHAnsi" w:cstheme="minorHAnsi"/>
          <w:color w:val="auto"/>
          <w:sz w:val="22"/>
          <w:szCs w:val="22"/>
        </w:rPr>
        <w:t xml:space="preserve"> operation, as defined by the applicable policy and procedures, may submit complaints to the existing program grievance mechanism or the Bank’s Grievance Redress Service (GRS). The GRS ensures that complaints received are promptly reviewed </w:t>
      </w:r>
      <w:proofErr w:type="gramStart"/>
      <w:r w:rsidRPr="00070036">
        <w:rPr>
          <w:rFonts w:asciiTheme="minorHAnsi" w:eastAsia="Times New Roman" w:hAnsiTheme="minorHAnsi" w:cstheme="minorHAnsi"/>
          <w:color w:val="auto"/>
          <w:sz w:val="22"/>
          <w:szCs w:val="22"/>
        </w:rPr>
        <w:t>in order to</w:t>
      </w:r>
      <w:proofErr w:type="gramEnd"/>
      <w:r w:rsidRPr="00070036">
        <w:rPr>
          <w:rFonts w:asciiTheme="minorHAnsi" w:eastAsia="Times New Roman" w:hAnsiTheme="minorHAnsi" w:cstheme="minorHAnsi"/>
          <w:color w:val="auto"/>
          <w:sz w:val="22"/>
          <w:szCs w:val="22"/>
        </w:rPr>
        <w:t xml:space="preserve"> address pertinent concerns. Project </w:t>
      </w:r>
      <w:r w:rsidRPr="00070036">
        <w:rPr>
          <w:rFonts w:asciiTheme="minorHAnsi" w:eastAsia="Times New Roman" w:hAnsiTheme="minorHAnsi" w:cstheme="minorHAnsi"/>
          <w:color w:val="auto"/>
          <w:sz w:val="22"/>
          <w:szCs w:val="22"/>
        </w:rPr>
        <w:lastRenderedPageBreak/>
        <w:t xml:space="preserve">affected communities and individuals may submit their complaint to the Bank’s independent Accountability Mechanism (AM). The AM houses the Inspection Panel, which determines whether harm occurred, or could occur, </w:t>
      </w:r>
      <w:proofErr w:type="gramStart"/>
      <w:r w:rsidRPr="00070036">
        <w:rPr>
          <w:rFonts w:asciiTheme="minorHAnsi" w:eastAsia="Times New Roman" w:hAnsiTheme="minorHAnsi" w:cstheme="minorHAnsi"/>
          <w:color w:val="auto"/>
          <w:sz w:val="22"/>
          <w:szCs w:val="22"/>
        </w:rPr>
        <w:t>as a result of</w:t>
      </w:r>
      <w:proofErr w:type="gramEnd"/>
      <w:r w:rsidRPr="00070036">
        <w:rPr>
          <w:rFonts w:asciiTheme="minorHAnsi" w:eastAsia="Times New Roman" w:hAnsiTheme="minorHAnsi" w:cstheme="minorHAnsi"/>
          <w:color w:val="auto"/>
          <w:sz w:val="22"/>
          <w:szCs w:val="22"/>
        </w:rPr>
        <w:t xml:space="preserve"> Bank non-compliance with its policies and procedures, and the Dispute Resolution Service, which provides communities and borrowers with the opportunity to address complaints through dispute resolution. Complaints may be submitted at any time after concerns have been brought directly to the Bank's attention, and Bank Management has been given an opportunity to respond. For information on how to submit complaints to the Bank’s Grievance Redress Service (GRS), please visit </w:t>
      </w:r>
      <w:hyperlink r:id="rId31" w:history="1">
        <w:r w:rsidRPr="00070036">
          <w:rPr>
            <w:rStyle w:val="Hyperlink"/>
            <w:rFonts w:asciiTheme="minorHAnsi" w:hAnsiTheme="minorHAnsi" w:cstheme="minorHAnsi"/>
            <w:i w:val="0"/>
            <w:iCs/>
            <w:color w:val="0563C1"/>
          </w:rPr>
          <w:t>http://www.worldbank.org/GRS</w:t>
        </w:r>
      </w:hyperlink>
      <w:r w:rsidRPr="00070036">
        <w:rPr>
          <w:rFonts w:asciiTheme="minorHAnsi" w:eastAsia="Times New Roman" w:hAnsiTheme="minorHAnsi" w:cstheme="minorHAnsi"/>
          <w:color w:val="auto"/>
          <w:sz w:val="22"/>
          <w:szCs w:val="22"/>
        </w:rPr>
        <w:t xml:space="preserve">. For information on how to submit complaints to the Bank’s Accountability Mechanism, please visit </w:t>
      </w:r>
      <w:hyperlink r:id="rId32" w:history="1">
        <w:r w:rsidRPr="00070036">
          <w:rPr>
            <w:rStyle w:val="Hyperlink"/>
            <w:rFonts w:asciiTheme="minorHAnsi" w:hAnsiTheme="minorHAnsi" w:cstheme="minorHAnsi"/>
            <w:i w:val="0"/>
            <w:iCs/>
            <w:color w:val="0563C1"/>
          </w:rPr>
          <w:t>https://accountability.worldbank.org</w:t>
        </w:r>
      </w:hyperlink>
      <w:r w:rsidRPr="00070036">
        <w:rPr>
          <w:rFonts w:asciiTheme="minorHAnsi" w:eastAsia="Times New Roman" w:hAnsiTheme="minorHAnsi" w:cstheme="minorHAnsi"/>
          <w:color w:val="auto"/>
          <w:sz w:val="22"/>
          <w:szCs w:val="22"/>
        </w:rPr>
        <w:t>.</w:t>
      </w:r>
    </w:p>
    <w:p w14:paraId="5295D7A0" w14:textId="40BD9876" w:rsidR="008E30AC" w:rsidRPr="00070036" w:rsidRDefault="00880CEC" w:rsidP="00070036">
      <w:pPr>
        <w:widowControl/>
        <w:tabs>
          <w:tab w:val="left" w:pos="0"/>
        </w:tabs>
        <w:autoSpaceDE/>
        <w:autoSpaceDN/>
        <w:adjustRightInd/>
        <w:spacing w:before="120" w:after="160" w:line="259" w:lineRule="auto"/>
        <w:jc w:val="both"/>
        <w:rPr>
          <w:rFonts w:ascii="Calibri" w:hAnsi="Calibri"/>
          <w:b/>
          <w:color w:val="0D0D0D"/>
          <w:sz w:val="22"/>
          <w:szCs w:val="22"/>
        </w:rPr>
      </w:pPr>
      <w:r w:rsidRPr="00070036">
        <w:rPr>
          <w:rFonts w:asciiTheme="minorHAnsi" w:eastAsia="Times New Roman" w:hAnsiTheme="minorHAnsi" w:cstheme="minorHAnsi"/>
          <w:color w:val="auto"/>
          <w:sz w:val="22"/>
          <w:szCs w:val="22"/>
        </w:rPr>
        <w:t> </w:t>
      </w:r>
    </w:p>
    <w:p w14:paraId="633C55CD" w14:textId="28B8BF76" w:rsidR="003D03F1" w:rsidRPr="008E30AC" w:rsidRDefault="00880CEC" w:rsidP="007B1B06">
      <w:pPr>
        <w:pStyle w:val="ListParagraph"/>
        <w:widowControl/>
        <w:numPr>
          <w:ilvl w:val="0"/>
          <w:numId w:val="3"/>
        </w:numPr>
        <w:tabs>
          <w:tab w:val="left" w:pos="0"/>
        </w:tabs>
        <w:autoSpaceDE/>
        <w:autoSpaceDN/>
        <w:adjustRightInd/>
        <w:spacing w:before="120" w:after="160" w:line="259" w:lineRule="auto"/>
        <w:ind w:left="-360" w:firstLine="0"/>
        <w:contextualSpacing w:val="0"/>
        <w:jc w:val="both"/>
        <w:rPr>
          <w:rFonts w:ascii="Calibri" w:hAnsi="Calibri"/>
          <w:b/>
          <w:color w:val="0D0D0D"/>
          <w:sz w:val="22"/>
          <w:szCs w:val="22"/>
        </w:rPr>
      </w:pPr>
      <w:r w:rsidRPr="008E30AC">
        <w:rPr>
          <w:rFonts w:ascii="Calibri" w:hAnsi="Calibri"/>
          <w:b/>
          <w:color w:val="0D0D0D"/>
          <w:sz w:val="22"/>
          <w:szCs w:val="22"/>
        </w:rPr>
        <w:br w:type="page"/>
      </w:r>
    </w:p>
    <w:p w14:paraId="7E430861" w14:textId="02C8DDF3" w:rsidR="003D03F1" w:rsidRDefault="00880CEC" w:rsidP="007D28C6">
      <w:pPr>
        <w:ind w:left="-691" w:right="-518"/>
        <w:rPr>
          <w:rFonts w:asciiTheme="minorHAnsi" w:hAnsiTheme="minorHAnsi"/>
          <w:color w:val="767171" w:themeColor="background2" w:themeShade="80"/>
          <w:sz w:val="22"/>
          <w:szCs w:val="22"/>
        </w:rPr>
      </w:pPr>
      <w:r>
        <w:rPr>
          <w:noProof/>
        </w:rPr>
        <w:lastRenderedPageBreak/>
        <mc:AlternateContent>
          <mc:Choice Requires="wps">
            <w:drawing>
              <wp:anchor distT="0" distB="0" distL="114300" distR="114300" simplePos="0" relativeHeight="251668480" behindDoc="0" locked="0" layoutInCell="1" allowOverlap="1" wp14:anchorId="3F796A0F" wp14:editId="2FE68B8E">
                <wp:simplePos x="0" y="0"/>
                <wp:positionH relativeFrom="column">
                  <wp:posOffset>-937591</wp:posOffset>
                </wp:positionH>
                <wp:positionV relativeFrom="paragraph">
                  <wp:posOffset>144780</wp:posOffset>
                </wp:positionV>
                <wp:extent cx="7799705" cy="0"/>
                <wp:effectExtent l="0" t="0" r="10795" b="19050"/>
                <wp:wrapNone/>
                <wp:docPr id="29" name="Straight Connector 29"/>
                <wp:cNvGraphicFramePr/>
                <a:graphic xmlns:a="http://schemas.openxmlformats.org/drawingml/2006/main">
                  <a:graphicData uri="http://schemas.microsoft.com/office/word/2010/wordprocessingShape">
                    <wps:wsp>
                      <wps:cNvCnPr/>
                      <wps:spPr>
                        <a:xfrm>
                          <a:off x="0" y="0"/>
                          <a:ext cx="7799705" cy="0"/>
                        </a:xfrm>
                        <a:prstGeom prst="line">
                          <a:avLst/>
                        </a:prstGeom>
                        <a:ln w="9525">
                          <a:solidFill>
                            <a:schemeClr val="tx1">
                              <a:lumMod val="50000"/>
                              <a:lumOff val="50000"/>
                              <a:alpha val="4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9" o:spid="_x0000_s1041" style="mso-width-percent:0;mso-width-relative:margin;mso-wrap-distance-bottom:0;mso-wrap-distance-left:9pt;mso-wrap-distance-right:9pt;mso-wrap-distance-top:0;mso-wrap-style:square;position:absolute;visibility:visible;z-index:251669504" from="-73.85pt,11.4pt" to="540.3pt,11.4pt" strokecolor="gray">
                <v:stroke joinstyle="miter" dashstyle="dash" opacity="26214f"/>
              </v:line>
            </w:pict>
          </mc:Fallback>
        </mc:AlternateContent>
      </w:r>
      <w:sdt>
        <w:sdtPr>
          <w:id w:val="806742092"/>
          <w:lock w:val="sdtContentLocked"/>
          <w:placeholder>
            <w:docPart w:val="8B22DAE8F06843D49C36B305B83B079A"/>
          </w:placeholder>
        </w:sdtPr>
        <w:sdtContent>
          <w:r>
            <w:t xml:space="preserve"> </w:t>
          </w:r>
        </w:sdtContent>
      </w:sdt>
    </w:p>
    <w:p w14:paraId="6CA57F9A" w14:textId="77777777" w:rsidR="003D03F1" w:rsidRDefault="003D03F1" w:rsidP="003D03F1">
      <w:pPr>
        <w:pStyle w:val="Normal3"/>
        <w:spacing w:after="0" w:line="14" w:lineRule="exact"/>
        <w:sectPr w:rsidR="003D03F1" w:rsidSect="00E51AFC">
          <w:pgSz w:w="12240" w:h="15840"/>
          <w:pgMar w:top="1440" w:right="1440" w:bottom="1440" w:left="1440" w:header="720" w:footer="720" w:gutter="0"/>
          <w:pgBorders w:offsetFrom="page">
            <w:bottom w:val="single" w:sz="8" w:space="24" w:color="F7F7F7"/>
          </w:pgBorders>
          <w:cols w:space="720"/>
          <w:docGrid w:linePitch="360"/>
        </w:sectPr>
      </w:pPr>
    </w:p>
    <w:sdt>
      <w:sdtPr>
        <w:rPr>
          <w:rFonts w:ascii="Arial" w:eastAsiaTheme="minorEastAsia" w:hAnsi="Arial" w:cs="Arial"/>
          <w:color w:val="000000"/>
          <w:sz w:val="24"/>
          <w:szCs w:val="24"/>
        </w:rPr>
        <w:tag w:val="OPS_CORE_DATA_BLOCK"/>
        <w:id w:val="480717762"/>
        <w:lock w:val="sdtContentLocked"/>
        <w:placeholder>
          <w:docPart w:val="DefaultPlaceholder_22675703"/>
        </w:placeholder>
        <w:group/>
      </w:sdtPr>
      <w:sdtContent>
        <w:sdt>
          <w:sdtPr>
            <w:tag w:val="OPS_CORE_SECTION_START_6"/>
            <w:id w:val="1389962142"/>
            <w:lock w:val="sdtContentLocked"/>
            <w:placeholder>
              <w:docPart w:val="A877B0F89CD24250A6DFF1D6012EFF4F"/>
            </w:placeholder>
          </w:sdtPr>
          <w:sdtContent>
            <w:p w14:paraId="241D1548" w14:textId="77777777" w:rsidR="003D03F1" w:rsidRDefault="00880CEC" w:rsidP="005315C1">
              <w:pPr>
                <w:pStyle w:val="Normal3"/>
                <w:spacing w:after="0" w:line="14" w:lineRule="exact"/>
                <w:ind w:left="-691" w:right="-518"/>
              </w:pPr>
              <w:r w:rsidRPr="005315C1">
                <w:rPr>
                  <w:color w:val="FFFFFF" w:themeColor="background1"/>
                </w:rPr>
                <w:t xml:space="preserve"> </w:t>
              </w:r>
            </w:p>
          </w:sdtContent>
        </w:sdt>
        <w:p w14:paraId="0AC63903" w14:textId="77777777" w:rsidR="003D03F1" w:rsidRDefault="003D03F1" w:rsidP="003D03F1">
          <w:pPr>
            <w:ind w:left="-691" w:right="-518"/>
            <w:rPr>
              <w:rFonts w:asciiTheme="minorHAnsi" w:hAnsiTheme="minorHAnsi"/>
              <w:color w:val="767171" w:themeColor="background2" w:themeShade="80"/>
              <w:sz w:val="22"/>
              <w:szCs w:val="22"/>
            </w:rPr>
          </w:pPr>
        </w:p>
        <w:tbl>
          <w:tblPr>
            <w:tblStyle w:val="TableGrid31"/>
            <w:tblW w:w="10500" w:type="dxa"/>
            <w:tblInd w:w="-6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shd w:val="clear" w:color="auto" w:fill="F8F8F8"/>
            <w:tblLayout w:type="fixed"/>
            <w:tblLook w:val="04A0" w:firstRow="1" w:lastRow="0" w:firstColumn="1" w:lastColumn="0" w:noHBand="0" w:noVBand="1"/>
          </w:tblPr>
          <w:tblGrid>
            <w:gridCol w:w="10500"/>
          </w:tblGrid>
          <w:tr w:rsidR="004F0F3F" w14:paraId="35AFCD95" w14:textId="77777777" w:rsidTr="002E481C">
            <w:trPr>
              <w:trHeight w:val="432"/>
            </w:trPr>
            <w:tc>
              <w:tcPr>
                <w:tcW w:w="10500" w:type="dxa"/>
                <w:shd w:val="clear" w:color="auto" w:fill="F8F8F8"/>
                <w:vAlign w:val="center"/>
              </w:tcPr>
              <w:p w14:paraId="7185D0FF" w14:textId="77777777" w:rsidR="00164CC4" w:rsidRPr="00DD5666" w:rsidRDefault="00880CEC" w:rsidP="00261B7F">
                <w:pPr>
                  <w:pStyle w:val="NoSpacing"/>
                  <w:keepNext/>
                  <w:numPr>
                    <w:ilvl w:val="0"/>
                    <w:numId w:val="1"/>
                  </w:numPr>
                  <w:ind w:left="402" w:hanging="408"/>
                  <w:outlineLvl w:val="0"/>
                  <w:rPr>
                    <w:rFonts w:asciiTheme="minorHAnsi" w:hAnsiTheme="minorHAnsi"/>
                    <w:b/>
                    <w:sz w:val="22"/>
                    <w:szCs w:val="22"/>
                  </w:rPr>
                </w:pPr>
                <w:bookmarkStart w:id="29" w:name="_Toc256000007"/>
                <w:bookmarkStart w:id="30" w:name="_Toc517269162"/>
                <w:bookmarkStart w:id="31" w:name="_Toc520325357"/>
                <w:bookmarkStart w:id="32" w:name="_Toc104869136"/>
                <w:r w:rsidRPr="00850119">
                  <w:rPr>
                    <w:rFonts w:ascii="Calibri" w:hAnsi="Calibri"/>
                    <w:b/>
                    <w:color w:val="auto"/>
                    <w:sz w:val="22"/>
                    <w:szCs w:val="22"/>
                  </w:rPr>
                  <w:t>SUMMARY TABLE OF CHANGES</w:t>
                </w:r>
                <w:bookmarkEnd w:id="29"/>
                <w:bookmarkEnd w:id="30"/>
                <w:bookmarkEnd w:id="31"/>
                <w:bookmarkEnd w:id="32"/>
              </w:p>
            </w:tc>
          </w:tr>
        </w:tbl>
        <w:p w14:paraId="346EAC37" w14:textId="77777777" w:rsidR="003615CB" w:rsidRDefault="003615CB" w:rsidP="002E481C">
          <w:pPr>
            <w:shd w:val="clear" w:color="auto" w:fill="F7F7F7"/>
            <w:ind w:left="-605" w:right="29"/>
            <w:rPr>
              <w:rFonts w:asciiTheme="minorHAnsi" w:hAnsiTheme="minorHAnsi"/>
              <w:bCs/>
              <w:color w:val="auto"/>
              <w:sz w:val="22"/>
              <w:szCs w:val="22"/>
            </w:rPr>
          </w:pPr>
        </w:p>
        <w:tbl>
          <w:tblPr>
            <w:tblStyle w:val="TableGrid"/>
            <w:tblW w:w="10529" w:type="dxa"/>
            <w:tblInd w:w="-634" w:type="dxa"/>
            <w:shd w:val="clear" w:color="auto" w:fill="F7F7F7"/>
            <w:tblLook w:val="04A0" w:firstRow="1" w:lastRow="0" w:firstColumn="1" w:lastColumn="0" w:noHBand="0" w:noVBand="1"/>
          </w:tblPr>
          <w:tblGrid>
            <w:gridCol w:w="5129"/>
            <w:gridCol w:w="2790"/>
            <w:gridCol w:w="2610"/>
          </w:tblGrid>
          <w:tr w:rsidR="004F0F3F" w14:paraId="5ED34AFF" w14:textId="77777777" w:rsidTr="000F45DB">
            <w:trPr>
              <w:trHeight w:val="418"/>
            </w:trPr>
            <w:tc>
              <w:tcPr>
                <w:tcW w:w="5129" w:type="dxa"/>
                <w:tcBorders>
                  <w:top w:val="single" w:sz="4" w:space="0" w:color="D9D9D9"/>
                  <w:left w:val="single" w:sz="4" w:space="0" w:color="D9D9D9"/>
                  <w:bottom w:val="single" w:sz="4" w:space="0" w:color="D9D9D9"/>
                  <w:right w:val="single" w:sz="4" w:space="0" w:color="D9D9D9"/>
                </w:tcBorders>
                <w:shd w:val="clear" w:color="auto" w:fill="F7F7F7"/>
              </w:tcPr>
              <w:p w14:paraId="14D180B7" w14:textId="77777777" w:rsidR="00E85D6F" w:rsidRDefault="00E85D6F" w:rsidP="004D3D80">
                <w:pPr>
                  <w:keepNext/>
                  <w:rPr>
                    <w:rFonts w:asciiTheme="minorHAnsi" w:hAnsiTheme="minorHAnsi"/>
                    <w:bCs/>
                    <w:color w:val="auto"/>
                    <w:sz w:val="22"/>
                    <w:szCs w:val="22"/>
                  </w:rPr>
                </w:pPr>
              </w:p>
            </w:tc>
            <w:tc>
              <w:tcPr>
                <w:tcW w:w="2790" w:type="dxa"/>
                <w:tcBorders>
                  <w:top w:val="single" w:sz="4" w:space="0" w:color="D9D9D9"/>
                  <w:left w:val="single" w:sz="4" w:space="0" w:color="D9D9D9"/>
                  <w:bottom w:val="single" w:sz="4" w:space="0" w:color="D9D9D9"/>
                  <w:right w:val="single" w:sz="4" w:space="0" w:color="D9D9D9"/>
                </w:tcBorders>
                <w:shd w:val="clear" w:color="auto" w:fill="F7F7F7"/>
              </w:tcPr>
              <w:p w14:paraId="4443B1F0" w14:textId="77777777" w:rsidR="00E85D6F" w:rsidRPr="00E85D6F" w:rsidRDefault="00880CEC" w:rsidP="004D3D80">
                <w:pPr>
                  <w:keepNext/>
                  <w:shd w:val="clear" w:color="auto" w:fill="F7F7F7"/>
                  <w:ind w:firstLine="14"/>
                  <w:jc w:val="center"/>
                  <w:rPr>
                    <w:rFonts w:asciiTheme="minorHAnsi" w:hAnsiTheme="minorHAnsi"/>
                    <w:b/>
                    <w:bCs/>
                    <w:color w:val="auto"/>
                    <w:sz w:val="22"/>
                    <w:szCs w:val="22"/>
                  </w:rPr>
                </w:pPr>
                <w:r w:rsidRPr="00E85D6F">
                  <w:rPr>
                    <w:rFonts w:ascii="Calibri" w:eastAsia="Times New Roman" w:hAnsi="Calibri" w:cs="Times New Roman"/>
                    <w:b/>
                    <w:color w:val="767171"/>
                    <w:sz w:val="22"/>
                    <w:szCs w:val="22"/>
                  </w:rPr>
                  <w:t>Changed</w:t>
                </w:r>
              </w:p>
            </w:tc>
            <w:tc>
              <w:tcPr>
                <w:tcW w:w="2610" w:type="dxa"/>
                <w:tcBorders>
                  <w:top w:val="single" w:sz="4" w:space="0" w:color="D9D9D9"/>
                  <w:left w:val="single" w:sz="4" w:space="0" w:color="D9D9D9"/>
                  <w:bottom w:val="single" w:sz="4" w:space="0" w:color="D9D9D9"/>
                  <w:right w:val="single" w:sz="4" w:space="0" w:color="D9D9D9"/>
                </w:tcBorders>
                <w:shd w:val="clear" w:color="auto" w:fill="F7F7F7"/>
              </w:tcPr>
              <w:p w14:paraId="740E2CA2" w14:textId="77777777" w:rsidR="00E85D6F" w:rsidRPr="00E85D6F" w:rsidRDefault="00880CEC" w:rsidP="004D3D80">
                <w:pPr>
                  <w:keepNext/>
                  <w:shd w:val="clear" w:color="auto" w:fill="F7F7F7"/>
                  <w:ind w:firstLine="14"/>
                  <w:jc w:val="center"/>
                  <w:rPr>
                    <w:rFonts w:ascii="Calibri" w:eastAsia="Times New Roman" w:hAnsi="Calibri" w:cs="Times New Roman"/>
                    <w:b/>
                    <w:color w:val="767171"/>
                    <w:sz w:val="22"/>
                    <w:szCs w:val="22"/>
                  </w:rPr>
                </w:pPr>
                <w:r w:rsidRPr="00E85D6F">
                  <w:rPr>
                    <w:rFonts w:ascii="Calibri" w:eastAsia="Times New Roman" w:hAnsi="Calibri" w:cs="Times New Roman"/>
                    <w:b/>
                    <w:color w:val="767171"/>
                    <w:sz w:val="22"/>
                    <w:szCs w:val="22"/>
                  </w:rPr>
                  <w:t>Not Changed</w:t>
                </w:r>
              </w:p>
            </w:tc>
          </w:tr>
          <w:tr w:rsidR="004F0F3F" w14:paraId="056E2C73" w14:textId="77777777" w:rsidTr="000F45DB">
            <w:trPr>
              <w:trHeight w:val="418"/>
            </w:trPr>
            <w:tc>
              <w:tcPr>
                <w:tcW w:w="5129" w:type="dxa"/>
                <w:tcBorders>
                  <w:top w:val="single" w:sz="4" w:space="0" w:color="D9D9D9"/>
                  <w:left w:val="single" w:sz="4" w:space="0" w:color="D9D9D9"/>
                  <w:bottom w:val="single" w:sz="4" w:space="0" w:color="D9D9D9"/>
                  <w:right w:val="single" w:sz="4" w:space="0" w:color="D9D9D9"/>
                </w:tcBorders>
                <w:shd w:val="clear" w:color="auto" w:fill="F7F7F7"/>
              </w:tcPr>
              <w:p w14:paraId="6AF0F41F" w14:textId="77777777" w:rsidR="00E85D6F" w:rsidRPr="00526086" w:rsidRDefault="00880CEC" w:rsidP="00F81AC2">
                <w:pPr>
                  <w:rPr>
                    <w:rFonts w:asciiTheme="minorHAnsi" w:hAnsiTheme="minorHAnsi"/>
                    <w:bCs/>
                    <w:color w:val="auto"/>
                    <w:sz w:val="22"/>
                    <w:szCs w:val="22"/>
                  </w:rPr>
                </w:pPr>
                <w:r w:rsidRPr="00526086">
                  <w:rPr>
                    <w:rFonts w:asciiTheme="minorHAnsi" w:hAnsiTheme="minorHAnsi"/>
                    <w:noProof/>
                    <w:sz w:val="22"/>
                    <w:szCs w:val="22"/>
                  </w:rPr>
                  <w:t>Change in Project's Development Objectives</w:t>
                </w:r>
              </w:p>
            </w:tc>
            <w:tc>
              <w:tcPr>
                <w:tcW w:w="2790" w:type="dxa"/>
                <w:tcBorders>
                  <w:top w:val="single" w:sz="4" w:space="0" w:color="D9D9D9"/>
                  <w:left w:val="single" w:sz="4" w:space="0" w:color="D9D9D9"/>
                  <w:bottom w:val="single" w:sz="4" w:space="0" w:color="D9D9D9"/>
                  <w:right w:val="single" w:sz="4" w:space="0" w:color="D9D9D9"/>
                </w:tcBorders>
                <w:shd w:val="clear" w:color="auto" w:fill="F7F7F7"/>
              </w:tcPr>
              <w:p w14:paraId="38D24126" w14:textId="77777777" w:rsidR="00E85D6F" w:rsidRPr="00526086" w:rsidRDefault="00880CEC" w:rsidP="004E1D1A">
                <w:pPr>
                  <w:jc w:val="center"/>
                  <w:rPr>
                    <w:rFonts w:asciiTheme="minorHAnsi" w:hAnsiTheme="minorHAnsi"/>
                    <w:bCs/>
                    <w:color w:val="auto"/>
                    <w:sz w:val="22"/>
                    <w:szCs w:val="22"/>
                  </w:rPr>
                </w:pPr>
                <w:r w:rsidRPr="00526086">
                  <w:rPr>
                    <w:rFonts w:asciiTheme="minorHAnsi" w:hAnsiTheme="minorHAnsi"/>
                    <w:sz w:val="22"/>
                    <w:szCs w:val="22"/>
                  </w:rPr>
                  <w:fldChar w:fldCharType="begin"/>
                </w:r>
                <w:r w:rsidRPr="00526086">
                  <w:rPr>
                    <w:rFonts w:asciiTheme="minorHAnsi" w:hAnsiTheme="minorHAnsi"/>
                    <w:sz w:val="22"/>
                    <w:szCs w:val="22"/>
                  </w:rPr>
                  <w:instrText xml:space="preserve"> IF </w:instrText>
                </w:r>
                <w:r w:rsidR="004E1D1A">
                  <w:rPr>
                    <w:rFonts w:asciiTheme="minorHAnsi" w:hAnsiTheme="minorHAnsi"/>
                    <w:noProof/>
                    <w:sz w:val="22"/>
                    <w:szCs w:val="22"/>
                  </w:rPr>
                  <w:instrText>X</w:instrText>
                </w:r>
                <w:r w:rsidR="004E1D1A">
                  <w:rPr>
                    <w:rFonts w:asciiTheme="minorHAnsi" w:hAnsiTheme="minorHAnsi"/>
                    <w:sz w:val="22"/>
                    <w:szCs w:val="22"/>
                  </w:rPr>
                  <w:instrText xml:space="preserve"> ="NEW</w:instrText>
                </w:r>
                <w:r w:rsidRPr="00526086">
                  <w:rPr>
                    <w:rFonts w:asciiTheme="minorHAnsi" w:hAnsiTheme="minorHAnsi"/>
                    <w:sz w:val="22"/>
                    <w:szCs w:val="22"/>
                  </w:rPr>
                  <w:instrText xml:space="preserve">" </w:instrText>
                </w:r>
                <w:r w:rsidR="00883A3C">
                  <w:rPr>
                    <w:rFonts w:asciiTheme="minorHAnsi" w:hAnsiTheme="minorHAnsi"/>
                    <w:sz w:val="22"/>
                    <w:szCs w:val="22"/>
                  </w:rPr>
                  <w:instrText>"</w:instrText>
                </w:r>
                <w:r>
                  <w:rPr>
                    <w:rFonts w:ascii="Segoe UI Symbol" w:hAnsi="Segoe UI Symbol" w:cs="Segoe UI Symbol"/>
                    <w:sz w:val="22"/>
                    <w:szCs w:val="22"/>
                  </w:rPr>
                  <w:instrText>New</w:instrText>
                </w:r>
                <w:r w:rsidR="00883A3C">
                  <w:rPr>
                    <w:rFonts w:ascii="Segoe UI Symbol" w:hAnsi="Segoe UI Symbol" w:cs="Segoe UI Symbol"/>
                    <w:sz w:val="22"/>
                    <w:szCs w:val="22"/>
                  </w:rPr>
                  <w:instrText>"</w:instrText>
                </w:r>
                <w:r w:rsidRPr="00526086">
                  <w:rPr>
                    <w:rFonts w:asciiTheme="minorHAnsi" w:hAnsiTheme="minorHAnsi"/>
                    <w:sz w:val="22"/>
                    <w:szCs w:val="22"/>
                  </w:rPr>
                  <w:instrText xml:space="preserve"> "  " </w:instrText>
                </w:r>
                <w:r w:rsidRPr="00526086">
                  <w:rPr>
                    <w:rFonts w:asciiTheme="minorHAnsi" w:hAnsiTheme="minorHAnsi"/>
                    <w:sz w:val="22"/>
                    <w:szCs w:val="22"/>
                  </w:rPr>
                  <w:fldChar w:fldCharType="separate"/>
                </w:r>
                <w:r w:rsidRPr="00526086">
                  <w:rPr>
                    <w:rFonts w:asciiTheme="minorHAnsi" w:hAnsiTheme="minorHAnsi"/>
                    <w:sz w:val="22"/>
                    <w:szCs w:val="22"/>
                  </w:rPr>
                  <w:t xml:space="preserve">  </w:t>
                </w:r>
                <w:r w:rsidRPr="00526086">
                  <w:rPr>
                    <w:rFonts w:asciiTheme="minorHAnsi" w:hAnsiTheme="minorHAnsi"/>
                    <w:sz w:val="22"/>
                    <w:szCs w:val="22"/>
                  </w:rPr>
                  <w:fldChar w:fldCharType="end"/>
                </w:r>
                <w:r w:rsidR="00526086" w:rsidRPr="00526086">
                  <w:rPr>
                    <w:rFonts w:asciiTheme="minorHAnsi" w:hAnsiTheme="minorHAnsi"/>
                    <w:sz w:val="22"/>
                    <w:szCs w:val="22"/>
                  </w:rPr>
                  <w:fldChar w:fldCharType="begin"/>
                </w:r>
                <w:r w:rsidR="00526086" w:rsidRPr="00526086">
                  <w:rPr>
                    <w:rFonts w:asciiTheme="minorHAnsi" w:hAnsiTheme="minorHAnsi"/>
                    <w:sz w:val="22"/>
                    <w:szCs w:val="22"/>
                  </w:rPr>
                  <w:instrText xml:space="preserve"> IF </w:instrText>
                </w:r>
                <w:r w:rsidR="004E1D1A">
                  <w:rPr>
                    <w:rFonts w:asciiTheme="minorHAnsi" w:hAnsiTheme="minorHAnsi"/>
                    <w:noProof/>
                    <w:sz w:val="22"/>
                    <w:szCs w:val="22"/>
                  </w:rPr>
                  <w:instrText>X</w:instrText>
                </w:r>
                <w:r w:rsidR="00526086" w:rsidRPr="00526086">
                  <w:rPr>
                    <w:rFonts w:asciiTheme="minorHAnsi" w:hAnsiTheme="minorHAnsi"/>
                    <w:sz w:val="22"/>
                    <w:szCs w:val="22"/>
                  </w:rPr>
                  <w:instrText xml:space="preserve"> ="X" </w:instrText>
                </w:r>
                <w:r w:rsidR="00526086" w:rsidRPr="00526086">
                  <w:rPr>
                    <w:rFonts w:ascii="Segoe UI Symbol" w:hAnsi="Segoe UI Symbol" w:cs="Segoe UI Symbol"/>
                    <w:sz w:val="22"/>
                    <w:szCs w:val="22"/>
                  </w:rPr>
                  <w:instrText>✔</w:instrText>
                </w:r>
                <w:r w:rsidR="00526086" w:rsidRPr="00526086">
                  <w:rPr>
                    <w:rFonts w:asciiTheme="minorHAnsi" w:hAnsiTheme="minorHAnsi"/>
                    <w:sz w:val="22"/>
                    <w:szCs w:val="22"/>
                  </w:rPr>
                  <w:instrText xml:space="preserve"> "  " </w:instrText>
                </w:r>
                <w:r w:rsidR="00526086" w:rsidRPr="00526086">
                  <w:rPr>
                    <w:rFonts w:asciiTheme="minorHAnsi" w:hAnsiTheme="minorHAnsi"/>
                    <w:sz w:val="22"/>
                    <w:szCs w:val="22"/>
                  </w:rPr>
                  <w:fldChar w:fldCharType="separate"/>
                </w:r>
                <w:r w:rsidR="00526086" w:rsidRPr="00526086">
                  <w:rPr>
                    <w:rFonts w:ascii="Segoe UI Symbol" w:hAnsi="Segoe UI Symbol" w:cs="Segoe UI Symbol"/>
                    <w:sz w:val="22"/>
                    <w:szCs w:val="22"/>
                  </w:rPr>
                  <w:t>✔</w:t>
                </w:r>
                <w:r w:rsidR="00526086" w:rsidRPr="00526086">
                  <w:rPr>
                    <w:rFonts w:asciiTheme="minorHAnsi" w:hAnsiTheme="minorHAnsi"/>
                    <w:sz w:val="22"/>
                    <w:szCs w:val="22"/>
                  </w:rPr>
                  <w:fldChar w:fldCharType="end"/>
                </w:r>
              </w:p>
            </w:tc>
            <w:tc>
              <w:tcPr>
                <w:tcW w:w="2610" w:type="dxa"/>
                <w:tcBorders>
                  <w:top w:val="single" w:sz="4" w:space="0" w:color="D9D9D9"/>
                  <w:left w:val="single" w:sz="4" w:space="0" w:color="D9D9D9"/>
                  <w:bottom w:val="single" w:sz="4" w:space="0" w:color="D9D9D9"/>
                  <w:right w:val="single" w:sz="4" w:space="0" w:color="D9D9D9"/>
                </w:tcBorders>
                <w:shd w:val="clear" w:color="auto" w:fill="F7F7F7"/>
              </w:tcPr>
              <w:p w14:paraId="751A1A41" w14:textId="77777777" w:rsidR="00E85D6F" w:rsidRPr="00526086" w:rsidRDefault="00880CEC" w:rsidP="00621C6F">
                <w:pPr>
                  <w:jc w:val="center"/>
                  <w:rPr>
                    <w:rFonts w:asciiTheme="minorHAnsi" w:hAnsiTheme="minorHAnsi"/>
                    <w:bCs/>
                    <w:color w:val="auto"/>
                    <w:sz w:val="22"/>
                    <w:szCs w:val="22"/>
                  </w:rPr>
                </w:pPr>
                <w:r w:rsidRPr="00526086">
                  <w:rPr>
                    <w:rFonts w:asciiTheme="minorHAnsi" w:hAnsiTheme="minorHAnsi"/>
                    <w:sz w:val="22"/>
                    <w:szCs w:val="22"/>
                  </w:rPr>
                  <w:fldChar w:fldCharType="begin"/>
                </w:r>
                <w:r w:rsidRPr="00526086">
                  <w:rPr>
                    <w:rFonts w:asciiTheme="minorHAnsi" w:hAnsiTheme="minorHAnsi"/>
                    <w:sz w:val="22"/>
                    <w:szCs w:val="22"/>
                  </w:rPr>
                  <w:instrText xml:space="preserve"> IF </w:instrText>
                </w:r>
                <w:r w:rsidRPr="00526086">
                  <w:rPr>
                    <w:rFonts w:asciiTheme="minorHAnsi" w:hAnsiTheme="minorHAnsi"/>
                    <w:noProof/>
                    <w:sz w:val="22"/>
                    <w:szCs w:val="22"/>
                  </w:rPr>
                  <w:instrText>""</w:instrText>
                </w:r>
                <w:r w:rsidRPr="00526086">
                  <w:rPr>
                    <w:rFonts w:asciiTheme="minorHAnsi" w:hAnsiTheme="minorHAnsi"/>
                    <w:sz w:val="22"/>
                    <w:szCs w:val="22"/>
                  </w:rPr>
                  <w:instrText xml:space="preserve"> ="X" </w:instrText>
                </w:r>
                <w:r w:rsidRPr="00526086">
                  <w:rPr>
                    <w:rFonts w:ascii="Segoe UI Symbol" w:hAnsi="Segoe UI Symbol" w:cs="Segoe UI Symbol"/>
                    <w:sz w:val="22"/>
                    <w:szCs w:val="22"/>
                  </w:rPr>
                  <w:instrText>✔</w:instrText>
                </w:r>
                <w:r w:rsidRPr="00526086">
                  <w:rPr>
                    <w:rFonts w:asciiTheme="minorHAnsi" w:hAnsiTheme="minorHAnsi"/>
                    <w:sz w:val="22"/>
                    <w:szCs w:val="22"/>
                  </w:rPr>
                  <w:instrText xml:space="preserve"> "  " </w:instrText>
                </w:r>
                <w:r w:rsidRPr="00526086">
                  <w:rPr>
                    <w:rFonts w:asciiTheme="minorHAnsi" w:hAnsiTheme="minorHAnsi"/>
                    <w:sz w:val="22"/>
                    <w:szCs w:val="22"/>
                  </w:rPr>
                  <w:fldChar w:fldCharType="separate"/>
                </w:r>
                <w:r w:rsidRPr="00526086">
                  <w:rPr>
                    <w:rFonts w:asciiTheme="minorHAnsi" w:hAnsiTheme="minorHAnsi"/>
                    <w:sz w:val="22"/>
                    <w:szCs w:val="22"/>
                  </w:rPr>
                  <w:t xml:space="preserve">  </w:t>
                </w:r>
                <w:r w:rsidRPr="00526086">
                  <w:rPr>
                    <w:rFonts w:asciiTheme="minorHAnsi" w:hAnsiTheme="minorHAnsi"/>
                    <w:sz w:val="22"/>
                    <w:szCs w:val="22"/>
                  </w:rPr>
                  <w:fldChar w:fldCharType="end"/>
                </w:r>
              </w:p>
            </w:tc>
          </w:tr>
          <w:tr w:rsidR="004F0F3F" w14:paraId="3B7EF3DF" w14:textId="77777777" w:rsidTr="000F45DB">
            <w:trPr>
              <w:trHeight w:val="418"/>
            </w:trPr>
            <w:tc>
              <w:tcPr>
                <w:tcW w:w="5129" w:type="dxa"/>
                <w:tcBorders>
                  <w:top w:val="single" w:sz="4" w:space="0" w:color="D9D9D9"/>
                  <w:left w:val="single" w:sz="4" w:space="0" w:color="D9D9D9"/>
                  <w:bottom w:val="single" w:sz="4" w:space="0" w:color="D9D9D9"/>
                  <w:right w:val="single" w:sz="4" w:space="0" w:color="D9D9D9"/>
                </w:tcBorders>
                <w:shd w:val="clear" w:color="auto" w:fill="F7F7F7"/>
              </w:tcPr>
              <w:p w14:paraId="6EABDC91" w14:textId="77777777" w:rsidR="00E85D6F" w:rsidRPr="00526086" w:rsidRDefault="00880CEC" w:rsidP="00F81AC2">
                <w:pPr>
                  <w:rPr>
                    <w:rFonts w:asciiTheme="minorHAnsi" w:hAnsiTheme="minorHAnsi"/>
                    <w:bCs/>
                    <w:color w:val="auto"/>
                    <w:sz w:val="22"/>
                    <w:szCs w:val="22"/>
                  </w:rPr>
                </w:pPr>
                <w:r w:rsidRPr="00526086">
                  <w:rPr>
                    <w:rFonts w:asciiTheme="minorHAnsi" w:hAnsiTheme="minorHAnsi"/>
                    <w:noProof/>
                    <w:sz w:val="22"/>
                    <w:szCs w:val="22"/>
                  </w:rPr>
                  <w:t>Change in Results Framework</w:t>
                </w:r>
              </w:p>
            </w:tc>
            <w:tc>
              <w:tcPr>
                <w:tcW w:w="2790" w:type="dxa"/>
                <w:tcBorders>
                  <w:top w:val="single" w:sz="4" w:space="0" w:color="D9D9D9"/>
                  <w:left w:val="single" w:sz="4" w:space="0" w:color="D9D9D9"/>
                  <w:bottom w:val="single" w:sz="4" w:space="0" w:color="D9D9D9"/>
                  <w:right w:val="single" w:sz="4" w:space="0" w:color="D9D9D9"/>
                </w:tcBorders>
                <w:shd w:val="clear" w:color="auto" w:fill="F7F7F7"/>
              </w:tcPr>
              <w:p w14:paraId="523987A2" w14:textId="77777777" w:rsidR="00E85D6F" w:rsidRPr="00526086" w:rsidRDefault="00880CEC" w:rsidP="004E1D1A">
                <w:pPr>
                  <w:jc w:val="center"/>
                  <w:rPr>
                    <w:rFonts w:asciiTheme="minorHAnsi" w:hAnsiTheme="minorHAnsi"/>
                    <w:bCs/>
                    <w:color w:val="auto"/>
                    <w:sz w:val="22"/>
                    <w:szCs w:val="22"/>
                  </w:rPr>
                </w:pPr>
                <w:r w:rsidRPr="00526086">
                  <w:rPr>
                    <w:rFonts w:asciiTheme="minorHAnsi" w:hAnsiTheme="minorHAnsi"/>
                    <w:sz w:val="22"/>
                    <w:szCs w:val="22"/>
                  </w:rPr>
                  <w:fldChar w:fldCharType="begin"/>
                </w:r>
                <w:r w:rsidRPr="00526086">
                  <w:rPr>
                    <w:rFonts w:asciiTheme="minorHAnsi" w:hAnsiTheme="minorHAnsi"/>
                    <w:sz w:val="22"/>
                    <w:szCs w:val="22"/>
                  </w:rPr>
                  <w:instrText xml:space="preserve"> IF </w:instrText>
                </w:r>
                <w:r w:rsidR="004E1D1A">
                  <w:rPr>
                    <w:rFonts w:asciiTheme="minorHAnsi" w:hAnsiTheme="minorHAnsi"/>
                    <w:noProof/>
                    <w:sz w:val="22"/>
                    <w:szCs w:val="22"/>
                  </w:rPr>
                  <w:instrText>X</w:instrText>
                </w:r>
                <w:r w:rsidR="004E1D1A">
                  <w:rPr>
                    <w:rFonts w:asciiTheme="minorHAnsi" w:hAnsiTheme="minorHAnsi"/>
                    <w:sz w:val="22"/>
                    <w:szCs w:val="22"/>
                  </w:rPr>
                  <w:instrText xml:space="preserve"> ="NEW</w:instrText>
                </w:r>
                <w:r w:rsidRPr="00526086">
                  <w:rPr>
                    <w:rFonts w:asciiTheme="minorHAnsi" w:hAnsiTheme="minorHAnsi"/>
                    <w:sz w:val="22"/>
                    <w:szCs w:val="22"/>
                  </w:rPr>
                  <w:instrText xml:space="preserve">" </w:instrText>
                </w:r>
                <w:r w:rsidR="00883A3C">
                  <w:rPr>
                    <w:rFonts w:asciiTheme="minorHAnsi" w:hAnsiTheme="minorHAnsi"/>
                    <w:sz w:val="22"/>
                    <w:szCs w:val="22"/>
                  </w:rPr>
                  <w:instrText>"</w:instrText>
                </w:r>
                <w:r>
                  <w:rPr>
                    <w:rFonts w:ascii="Segoe UI Symbol" w:hAnsi="Segoe UI Symbol" w:cs="Segoe UI Symbol"/>
                    <w:sz w:val="22"/>
                    <w:szCs w:val="22"/>
                  </w:rPr>
                  <w:instrText>New</w:instrText>
                </w:r>
                <w:r w:rsidR="00883A3C">
                  <w:rPr>
                    <w:rFonts w:ascii="Segoe UI Symbol" w:hAnsi="Segoe UI Symbol" w:cs="Segoe UI Symbol"/>
                    <w:sz w:val="22"/>
                    <w:szCs w:val="22"/>
                  </w:rPr>
                  <w:instrText>"</w:instrText>
                </w:r>
                <w:r w:rsidRPr="00526086">
                  <w:rPr>
                    <w:rFonts w:asciiTheme="minorHAnsi" w:hAnsiTheme="minorHAnsi"/>
                    <w:sz w:val="22"/>
                    <w:szCs w:val="22"/>
                  </w:rPr>
                  <w:instrText xml:space="preserve"> "  " </w:instrText>
                </w:r>
                <w:r w:rsidRPr="00526086">
                  <w:rPr>
                    <w:rFonts w:asciiTheme="minorHAnsi" w:hAnsiTheme="minorHAnsi"/>
                    <w:sz w:val="22"/>
                    <w:szCs w:val="22"/>
                  </w:rPr>
                  <w:fldChar w:fldCharType="separate"/>
                </w:r>
                <w:r w:rsidRPr="00526086">
                  <w:rPr>
                    <w:rFonts w:asciiTheme="minorHAnsi" w:hAnsiTheme="minorHAnsi"/>
                    <w:sz w:val="22"/>
                    <w:szCs w:val="22"/>
                  </w:rPr>
                  <w:t xml:space="preserve">  </w:t>
                </w:r>
                <w:r w:rsidRPr="00526086">
                  <w:rPr>
                    <w:rFonts w:asciiTheme="minorHAnsi" w:hAnsiTheme="minorHAnsi"/>
                    <w:sz w:val="22"/>
                    <w:szCs w:val="22"/>
                  </w:rPr>
                  <w:fldChar w:fldCharType="end"/>
                </w:r>
                <w:r w:rsidR="00526086" w:rsidRPr="00526086">
                  <w:rPr>
                    <w:rFonts w:asciiTheme="minorHAnsi" w:hAnsiTheme="minorHAnsi"/>
                    <w:sz w:val="22"/>
                    <w:szCs w:val="22"/>
                  </w:rPr>
                  <w:fldChar w:fldCharType="begin"/>
                </w:r>
                <w:r w:rsidR="00526086" w:rsidRPr="00526086">
                  <w:rPr>
                    <w:rFonts w:asciiTheme="minorHAnsi" w:hAnsiTheme="minorHAnsi"/>
                    <w:sz w:val="22"/>
                    <w:szCs w:val="22"/>
                  </w:rPr>
                  <w:instrText xml:space="preserve"> IF </w:instrText>
                </w:r>
                <w:r w:rsidR="004E1D1A">
                  <w:rPr>
                    <w:rFonts w:asciiTheme="minorHAnsi" w:hAnsiTheme="minorHAnsi"/>
                    <w:noProof/>
                    <w:sz w:val="22"/>
                    <w:szCs w:val="22"/>
                  </w:rPr>
                  <w:instrText>X</w:instrText>
                </w:r>
                <w:r w:rsidR="00526086" w:rsidRPr="00526086">
                  <w:rPr>
                    <w:rFonts w:asciiTheme="minorHAnsi" w:hAnsiTheme="minorHAnsi"/>
                    <w:sz w:val="22"/>
                    <w:szCs w:val="22"/>
                  </w:rPr>
                  <w:instrText xml:space="preserve"> ="X" </w:instrText>
                </w:r>
                <w:r w:rsidR="00526086" w:rsidRPr="00526086">
                  <w:rPr>
                    <w:rFonts w:ascii="Segoe UI Symbol" w:hAnsi="Segoe UI Symbol" w:cs="Segoe UI Symbol"/>
                    <w:sz w:val="22"/>
                    <w:szCs w:val="22"/>
                  </w:rPr>
                  <w:instrText>✔</w:instrText>
                </w:r>
                <w:r w:rsidR="00526086" w:rsidRPr="00526086">
                  <w:rPr>
                    <w:rFonts w:asciiTheme="minorHAnsi" w:hAnsiTheme="minorHAnsi"/>
                    <w:sz w:val="22"/>
                    <w:szCs w:val="22"/>
                  </w:rPr>
                  <w:instrText xml:space="preserve"> "  " </w:instrText>
                </w:r>
                <w:r w:rsidR="00526086" w:rsidRPr="00526086">
                  <w:rPr>
                    <w:rFonts w:asciiTheme="minorHAnsi" w:hAnsiTheme="minorHAnsi"/>
                    <w:sz w:val="22"/>
                    <w:szCs w:val="22"/>
                  </w:rPr>
                  <w:fldChar w:fldCharType="separate"/>
                </w:r>
                <w:r w:rsidR="00526086" w:rsidRPr="00526086">
                  <w:rPr>
                    <w:rFonts w:ascii="Segoe UI Symbol" w:hAnsi="Segoe UI Symbol" w:cs="Segoe UI Symbol"/>
                    <w:sz w:val="22"/>
                    <w:szCs w:val="22"/>
                  </w:rPr>
                  <w:t>✔</w:t>
                </w:r>
                <w:r w:rsidR="00526086" w:rsidRPr="00526086">
                  <w:rPr>
                    <w:rFonts w:asciiTheme="minorHAnsi" w:hAnsiTheme="minorHAnsi"/>
                    <w:sz w:val="22"/>
                    <w:szCs w:val="22"/>
                  </w:rPr>
                  <w:fldChar w:fldCharType="end"/>
                </w:r>
              </w:p>
            </w:tc>
            <w:tc>
              <w:tcPr>
                <w:tcW w:w="2610" w:type="dxa"/>
                <w:tcBorders>
                  <w:top w:val="single" w:sz="4" w:space="0" w:color="D9D9D9"/>
                  <w:left w:val="single" w:sz="4" w:space="0" w:color="D9D9D9"/>
                  <w:bottom w:val="single" w:sz="4" w:space="0" w:color="D9D9D9"/>
                  <w:right w:val="single" w:sz="4" w:space="0" w:color="D9D9D9"/>
                </w:tcBorders>
                <w:shd w:val="clear" w:color="auto" w:fill="F7F7F7"/>
              </w:tcPr>
              <w:p w14:paraId="04152D7E" w14:textId="77777777" w:rsidR="00E85D6F" w:rsidRPr="00526086" w:rsidRDefault="00880CEC" w:rsidP="00621C6F">
                <w:pPr>
                  <w:jc w:val="center"/>
                  <w:rPr>
                    <w:rFonts w:asciiTheme="minorHAnsi" w:hAnsiTheme="minorHAnsi"/>
                    <w:bCs/>
                    <w:color w:val="auto"/>
                    <w:sz w:val="22"/>
                    <w:szCs w:val="22"/>
                  </w:rPr>
                </w:pPr>
                <w:r w:rsidRPr="00526086">
                  <w:rPr>
                    <w:rFonts w:asciiTheme="minorHAnsi" w:hAnsiTheme="minorHAnsi"/>
                    <w:sz w:val="22"/>
                    <w:szCs w:val="22"/>
                  </w:rPr>
                  <w:fldChar w:fldCharType="begin"/>
                </w:r>
                <w:r w:rsidRPr="00526086">
                  <w:rPr>
                    <w:rFonts w:asciiTheme="minorHAnsi" w:hAnsiTheme="minorHAnsi"/>
                    <w:sz w:val="22"/>
                    <w:szCs w:val="22"/>
                  </w:rPr>
                  <w:instrText xml:space="preserve"> IF </w:instrText>
                </w:r>
                <w:r w:rsidRPr="00526086">
                  <w:rPr>
                    <w:rFonts w:asciiTheme="minorHAnsi" w:hAnsiTheme="minorHAnsi"/>
                    <w:noProof/>
                    <w:sz w:val="22"/>
                    <w:szCs w:val="22"/>
                  </w:rPr>
                  <w:instrText>""</w:instrText>
                </w:r>
                <w:r w:rsidRPr="00526086">
                  <w:rPr>
                    <w:rFonts w:asciiTheme="minorHAnsi" w:hAnsiTheme="minorHAnsi"/>
                    <w:sz w:val="22"/>
                    <w:szCs w:val="22"/>
                  </w:rPr>
                  <w:instrText xml:space="preserve"> ="X" </w:instrText>
                </w:r>
                <w:r w:rsidRPr="00526086">
                  <w:rPr>
                    <w:rFonts w:ascii="Segoe UI Symbol" w:hAnsi="Segoe UI Symbol" w:cs="Segoe UI Symbol"/>
                    <w:sz w:val="22"/>
                    <w:szCs w:val="22"/>
                  </w:rPr>
                  <w:instrText>✔</w:instrText>
                </w:r>
                <w:r w:rsidRPr="00526086">
                  <w:rPr>
                    <w:rFonts w:asciiTheme="minorHAnsi" w:hAnsiTheme="minorHAnsi"/>
                    <w:sz w:val="22"/>
                    <w:szCs w:val="22"/>
                  </w:rPr>
                  <w:instrText xml:space="preserve"> "  " </w:instrText>
                </w:r>
                <w:r w:rsidRPr="00526086">
                  <w:rPr>
                    <w:rFonts w:asciiTheme="minorHAnsi" w:hAnsiTheme="minorHAnsi"/>
                    <w:sz w:val="22"/>
                    <w:szCs w:val="22"/>
                  </w:rPr>
                  <w:fldChar w:fldCharType="separate"/>
                </w:r>
                <w:r w:rsidRPr="00526086">
                  <w:rPr>
                    <w:rFonts w:asciiTheme="minorHAnsi" w:hAnsiTheme="minorHAnsi"/>
                    <w:sz w:val="22"/>
                    <w:szCs w:val="22"/>
                  </w:rPr>
                  <w:t xml:space="preserve">  </w:t>
                </w:r>
                <w:r w:rsidRPr="00526086">
                  <w:rPr>
                    <w:rFonts w:asciiTheme="minorHAnsi" w:hAnsiTheme="minorHAnsi"/>
                    <w:sz w:val="22"/>
                    <w:szCs w:val="22"/>
                  </w:rPr>
                  <w:fldChar w:fldCharType="end"/>
                </w:r>
              </w:p>
            </w:tc>
          </w:tr>
          <w:tr w:rsidR="004F0F3F" w14:paraId="1DEFA9A0" w14:textId="77777777" w:rsidTr="000F45DB">
            <w:trPr>
              <w:trHeight w:val="418"/>
            </w:trPr>
            <w:tc>
              <w:tcPr>
                <w:tcW w:w="5129" w:type="dxa"/>
                <w:tcBorders>
                  <w:top w:val="single" w:sz="4" w:space="0" w:color="D9D9D9"/>
                  <w:left w:val="single" w:sz="4" w:space="0" w:color="D9D9D9"/>
                  <w:bottom w:val="single" w:sz="4" w:space="0" w:color="D9D9D9"/>
                  <w:right w:val="single" w:sz="4" w:space="0" w:color="D9D9D9"/>
                </w:tcBorders>
                <w:shd w:val="clear" w:color="auto" w:fill="F7F7F7"/>
              </w:tcPr>
              <w:p w14:paraId="105E753A" w14:textId="77777777" w:rsidR="00E85D6F" w:rsidRPr="00526086" w:rsidRDefault="00880CEC" w:rsidP="00F81AC2">
                <w:pPr>
                  <w:rPr>
                    <w:rFonts w:asciiTheme="minorHAnsi" w:hAnsiTheme="minorHAnsi"/>
                    <w:bCs/>
                    <w:color w:val="auto"/>
                    <w:sz w:val="22"/>
                    <w:szCs w:val="22"/>
                  </w:rPr>
                </w:pPr>
                <w:r w:rsidRPr="00526086">
                  <w:rPr>
                    <w:rFonts w:asciiTheme="minorHAnsi" w:hAnsiTheme="minorHAnsi"/>
                    <w:noProof/>
                    <w:sz w:val="22"/>
                    <w:szCs w:val="22"/>
                  </w:rPr>
                  <w:t>Change in Loan Closing Date(s)</w:t>
                </w:r>
              </w:p>
            </w:tc>
            <w:tc>
              <w:tcPr>
                <w:tcW w:w="2790" w:type="dxa"/>
                <w:tcBorders>
                  <w:top w:val="single" w:sz="4" w:space="0" w:color="D9D9D9"/>
                  <w:left w:val="single" w:sz="4" w:space="0" w:color="D9D9D9"/>
                  <w:bottom w:val="single" w:sz="4" w:space="0" w:color="D9D9D9"/>
                  <w:right w:val="single" w:sz="4" w:space="0" w:color="D9D9D9"/>
                </w:tcBorders>
                <w:shd w:val="clear" w:color="auto" w:fill="F7F7F7"/>
              </w:tcPr>
              <w:p w14:paraId="12C3E2ED" w14:textId="77777777" w:rsidR="00E85D6F" w:rsidRPr="00526086" w:rsidRDefault="00880CEC" w:rsidP="004E1D1A">
                <w:pPr>
                  <w:jc w:val="center"/>
                  <w:rPr>
                    <w:rFonts w:asciiTheme="minorHAnsi" w:hAnsiTheme="minorHAnsi"/>
                    <w:bCs/>
                    <w:color w:val="auto"/>
                    <w:sz w:val="22"/>
                    <w:szCs w:val="22"/>
                  </w:rPr>
                </w:pPr>
                <w:r w:rsidRPr="00526086">
                  <w:rPr>
                    <w:rFonts w:asciiTheme="minorHAnsi" w:hAnsiTheme="minorHAnsi"/>
                    <w:sz w:val="22"/>
                    <w:szCs w:val="22"/>
                  </w:rPr>
                  <w:fldChar w:fldCharType="begin"/>
                </w:r>
                <w:r w:rsidRPr="00526086">
                  <w:rPr>
                    <w:rFonts w:asciiTheme="minorHAnsi" w:hAnsiTheme="minorHAnsi"/>
                    <w:sz w:val="22"/>
                    <w:szCs w:val="22"/>
                  </w:rPr>
                  <w:instrText xml:space="preserve"> IF </w:instrText>
                </w:r>
                <w:r w:rsidR="004E1D1A">
                  <w:rPr>
                    <w:rFonts w:asciiTheme="minorHAnsi" w:hAnsiTheme="minorHAnsi"/>
                    <w:noProof/>
                    <w:sz w:val="22"/>
                    <w:szCs w:val="22"/>
                  </w:rPr>
                  <w:instrText>X</w:instrText>
                </w:r>
                <w:r w:rsidR="004E1D1A">
                  <w:rPr>
                    <w:rFonts w:asciiTheme="minorHAnsi" w:hAnsiTheme="minorHAnsi"/>
                    <w:sz w:val="22"/>
                    <w:szCs w:val="22"/>
                  </w:rPr>
                  <w:instrText xml:space="preserve"> ="NEW</w:instrText>
                </w:r>
                <w:r w:rsidRPr="00526086">
                  <w:rPr>
                    <w:rFonts w:asciiTheme="minorHAnsi" w:hAnsiTheme="minorHAnsi"/>
                    <w:sz w:val="22"/>
                    <w:szCs w:val="22"/>
                  </w:rPr>
                  <w:instrText xml:space="preserve">" </w:instrText>
                </w:r>
                <w:r w:rsidR="00883A3C">
                  <w:rPr>
                    <w:rFonts w:asciiTheme="minorHAnsi" w:hAnsiTheme="minorHAnsi"/>
                    <w:sz w:val="22"/>
                    <w:szCs w:val="22"/>
                  </w:rPr>
                  <w:instrText>"</w:instrText>
                </w:r>
                <w:r>
                  <w:rPr>
                    <w:rFonts w:ascii="Segoe UI Symbol" w:hAnsi="Segoe UI Symbol" w:cs="Segoe UI Symbol"/>
                    <w:sz w:val="22"/>
                    <w:szCs w:val="22"/>
                  </w:rPr>
                  <w:instrText>New</w:instrText>
                </w:r>
                <w:r w:rsidR="00883A3C">
                  <w:rPr>
                    <w:rFonts w:ascii="Segoe UI Symbol" w:hAnsi="Segoe UI Symbol" w:cs="Segoe UI Symbol"/>
                    <w:sz w:val="22"/>
                    <w:szCs w:val="22"/>
                  </w:rPr>
                  <w:instrText>"</w:instrText>
                </w:r>
                <w:r w:rsidRPr="00526086">
                  <w:rPr>
                    <w:rFonts w:asciiTheme="minorHAnsi" w:hAnsiTheme="minorHAnsi"/>
                    <w:sz w:val="22"/>
                    <w:szCs w:val="22"/>
                  </w:rPr>
                  <w:instrText xml:space="preserve"> "  " </w:instrText>
                </w:r>
                <w:r w:rsidRPr="00526086">
                  <w:rPr>
                    <w:rFonts w:asciiTheme="minorHAnsi" w:hAnsiTheme="minorHAnsi"/>
                    <w:sz w:val="22"/>
                    <w:szCs w:val="22"/>
                  </w:rPr>
                  <w:fldChar w:fldCharType="separate"/>
                </w:r>
                <w:r w:rsidRPr="00526086">
                  <w:rPr>
                    <w:rFonts w:asciiTheme="minorHAnsi" w:hAnsiTheme="minorHAnsi"/>
                    <w:sz w:val="22"/>
                    <w:szCs w:val="22"/>
                  </w:rPr>
                  <w:t xml:space="preserve">  </w:t>
                </w:r>
                <w:r w:rsidRPr="00526086">
                  <w:rPr>
                    <w:rFonts w:asciiTheme="minorHAnsi" w:hAnsiTheme="minorHAnsi"/>
                    <w:sz w:val="22"/>
                    <w:szCs w:val="22"/>
                  </w:rPr>
                  <w:fldChar w:fldCharType="end"/>
                </w:r>
                <w:r w:rsidR="00526086" w:rsidRPr="00526086">
                  <w:rPr>
                    <w:rFonts w:asciiTheme="minorHAnsi" w:hAnsiTheme="minorHAnsi"/>
                    <w:sz w:val="22"/>
                    <w:szCs w:val="22"/>
                  </w:rPr>
                  <w:fldChar w:fldCharType="begin"/>
                </w:r>
                <w:r w:rsidR="00526086" w:rsidRPr="00526086">
                  <w:rPr>
                    <w:rFonts w:asciiTheme="minorHAnsi" w:hAnsiTheme="minorHAnsi"/>
                    <w:sz w:val="22"/>
                    <w:szCs w:val="22"/>
                  </w:rPr>
                  <w:instrText xml:space="preserve"> IF </w:instrText>
                </w:r>
                <w:r w:rsidR="004E1D1A">
                  <w:rPr>
                    <w:rFonts w:asciiTheme="minorHAnsi" w:hAnsiTheme="minorHAnsi"/>
                    <w:noProof/>
                    <w:sz w:val="22"/>
                    <w:szCs w:val="22"/>
                  </w:rPr>
                  <w:instrText>X</w:instrText>
                </w:r>
                <w:r w:rsidR="00526086" w:rsidRPr="00526086">
                  <w:rPr>
                    <w:rFonts w:asciiTheme="minorHAnsi" w:hAnsiTheme="minorHAnsi"/>
                    <w:sz w:val="22"/>
                    <w:szCs w:val="22"/>
                  </w:rPr>
                  <w:instrText xml:space="preserve"> ="X" </w:instrText>
                </w:r>
                <w:r w:rsidR="00526086" w:rsidRPr="00526086">
                  <w:rPr>
                    <w:rFonts w:ascii="Segoe UI Symbol" w:hAnsi="Segoe UI Symbol" w:cs="Segoe UI Symbol"/>
                    <w:sz w:val="22"/>
                    <w:szCs w:val="22"/>
                  </w:rPr>
                  <w:instrText>✔</w:instrText>
                </w:r>
                <w:r w:rsidR="00526086" w:rsidRPr="00526086">
                  <w:rPr>
                    <w:rFonts w:asciiTheme="minorHAnsi" w:hAnsiTheme="minorHAnsi"/>
                    <w:sz w:val="22"/>
                    <w:szCs w:val="22"/>
                  </w:rPr>
                  <w:instrText xml:space="preserve"> "  " </w:instrText>
                </w:r>
                <w:r w:rsidR="00526086" w:rsidRPr="00526086">
                  <w:rPr>
                    <w:rFonts w:asciiTheme="minorHAnsi" w:hAnsiTheme="minorHAnsi"/>
                    <w:sz w:val="22"/>
                    <w:szCs w:val="22"/>
                  </w:rPr>
                  <w:fldChar w:fldCharType="separate"/>
                </w:r>
                <w:r w:rsidR="00526086" w:rsidRPr="00526086">
                  <w:rPr>
                    <w:rFonts w:ascii="Segoe UI Symbol" w:hAnsi="Segoe UI Symbol" w:cs="Segoe UI Symbol"/>
                    <w:sz w:val="22"/>
                    <w:szCs w:val="22"/>
                  </w:rPr>
                  <w:t>✔</w:t>
                </w:r>
                <w:r w:rsidR="00526086" w:rsidRPr="00526086">
                  <w:rPr>
                    <w:rFonts w:asciiTheme="minorHAnsi" w:hAnsiTheme="minorHAnsi"/>
                    <w:sz w:val="22"/>
                    <w:szCs w:val="22"/>
                  </w:rPr>
                  <w:fldChar w:fldCharType="end"/>
                </w:r>
              </w:p>
            </w:tc>
            <w:tc>
              <w:tcPr>
                <w:tcW w:w="2610" w:type="dxa"/>
                <w:tcBorders>
                  <w:top w:val="single" w:sz="4" w:space="0" w:color="D9D9D9"/>
                  <w:left w:val="single" w:sz="4" w:space="0" w:color="D9D9D9"/>
                  <w:bottom w:val="single" w:sz="4" w:space="0" w:color="D9D9D9"/>
                  <w:right w:val="single" w:sz="4" w:space="0" w:color="D9D9D9"/>
                </w:tcBorders>
                <w:shd w:val="clear" w:color="auto" w:fill="F7F7F7"/>
              </w:tcPr>
              <w:p w14:paraId="7FE5620E" w14:textId="77777777" w:rsidR="00E85D6F" w:rsidRPr="00526086" w:rsidRDefault="00880CEC" w:rsidP="00621C6F">
                <w:pPr>
                  <w:jc w:val="center"/>
                  <w:rPr>
                    <w:rFonts w:asciiTheme="minorHAnsi" w:hAnsiTheme="minorHAnsi"/>
                    <w:bCs/>
                    <w:color w:val="auto"/>
                    <w:sz w:val="22"/>
                    <w:szCs w:val="22"/>
                  </w:rPr>
                </w:pPr>
                <w:r w:rsidRPr="00526086">
                  <w:rPr>
                    <w:rFonts w:asciiTheme="minorHAnsi" w:hAnsiTheme="minorHAnsi"/>
                    <w:sz w:val="22"/>
                    <w:szCs w:val="22"/>
                  </w:rPr>
                  <w:fldChar w:fldCharType="begin"/>
                </w:r>
                <w:r w:rsidRPr="00526086">
                  <w:rPr>
                    <w:rFonts w:asciiTheme="minorHAnsi" w:hAnsiTheme="minorHAnsi"/>
                    <w:sz w:val="22"/>
                    <w:szCs w:val="22"/>
                  </w:rPr>
                  <w:instrText xml:space="preserve"> IF </w:instrText>
                </w:r>
                <w:r w:rsidRPr="00526086">
                  <w:rPr>
                    <w:rFonts w:asciiTheme="minorHAnsi" w:hAnsiTheme="minorHAnsi"/>
                    <w:noProof/>
                    <w:sz w:val="22"/>
                    <w:szCs w:val="22"/>
                  </w:rPr>
                  <w:instrText>""</w:instrText>
                </w:r>
                <w:r w:rsidRPr="00526086">
                  <w:rPr>
                    <w:rFonts w:asciiTheme="minorHAnsi" w:hAnsiTheme="minorHAnsi"/>
                    <w:sz w:val="22"/>
                    <w:szCs w:val="22"/>
                  </w:rPr>
                  <w:instrText xml:space="preserve"> ="X" </w:instrText>
                </w:r>
                <w:r w:rsidRPr="00526086">
                  <w:rPr>
                    <w:rFonts w:ascii="Segoe UI Symbol" w:hAnsi="Segoe UI Symbol" w:cs="Segoe UI Symbol"/>
                    <w:sz w:val="22"/>
                    <w:szCs w:val="22"/>
                  </w:rPr>
                  <w:instrText>✔</w:instrText>
                </w:r>
                <w:r w:rsidRPr="00526086">
                  <w:rPr>
                    <w:rFonts w:asciiTheme="minorHAnsi" w:hAnsiTheme="minorHAnsi"/>
                    <w:sz w:val="22"/>
                    <w:szCs w:val="22"/>
                  </w:rPr>
                  <w:instrText xml:space="preserve"> "  " </w:instrText>
                </w:r>
                <w:r w:rsidRPr="00526086">
                  <w:rPr>
                    <w:rFonts w:asciiTheme="minorHAnsi" w:hAnsiTheme="minorHAnsi"/>
                    <w:sz w:val="22"/>
                    <w:szCs w:val="22"/>
                  </w:rPr>
                  <w:fldChar w:fldCharType="separate"/>
                </w:r>
                <w:r w:rsidRPr="00526086">
                  <w:rPr>
                    <w:rFonts w:asciiTheme="minorHAnsi" w:hAnsiTheme="minorHAnsi"/>
                    <w:sz w:val="22"/>
                    <w:szCs w:val="22"/>
                  </w:rPr>
                  <w:t xml:space="preserve">  </w:t>
                </w:r>
                <w:r w:rsidRPr="00526086">
                  <w:rPr>
                    <w:rFonts w:asciiTheme="minorHAnsi" w:hAnsiTheme="minorHAnsi"/>
                    <w:sz w:val="22"/>
                    <w:szCs w:val="22"/>
                  </w:rPr>
                  <w:fldChar w:fldCharType="end"/>
                </w:r>
              </w:p>
            </w:tc>
          </w:tr>
          <w:tr w:rsidR="004F0F3F" w14:paraId="2FF48DFE" w14:textId="77777777" w:rsidTr="000F45DB">
            <w:trPr>
              <w:trHeight w:val="418"/>
            </w:trPr>
            <w:tc>
              <w:tcPr>
                <w:tcW w:w="5129" w:type="dxa"/>
                <w:tcBorders>
                  <w:top w:val="single" w:sz="4" w:space="0" w:color="D9D9D9"/>
                  <w:left w:val="single" w:sz="4" w:space="0" w:color="D9D9D9"/>
                  <w:bottom w:val="single" w:sz="4" w:space="0" w:color="D9D9D9"/>
                  <w:right w:val="single" w:sz="4" w:space="0" w:color="D9D9D9"/>
                </w:tcBorders>
                <w:shd w:val="clear" w:color="auto" w:fill="F7F7F7"/>
              </w:tcPr>
              <w:p w14:paraId="0E4B2064" w14:textId="77777777" w:rsidR="00E85D6F" w:rsidRPr="00526086" w:rsidRDefault="00880CEC" w:rsidP="00F81AC2">
                <w:pPr>
                  <w:rPr>
                    <w:rFonts w:asciiTheme="minorHAnsi" w:hAnsiTheme="minorHAnsi"/>
                    <w:bCs/>
                    <w:color w:val="auto"/>
                    <w:sz w:val="22"/>
                    <w:szCs w:val="22"/>
                  </w:rPr>
                </w:pPr>
                <w:r w:rsidRPr="00526086">
                  <w:rPr>
                    <w:rFonts w:asciiTheme="minorHAnsi" w:hAnsiTheme="minorHAnsi"/>
                    <w:noProof/>
                    <w:sz w:val="22"/>
                    <w:szCs w:val="22"/>
                  </w:rPr>
                  <w:t>Change in Implementing Agency</w:t>
                </w:r>
              </w:p>
            </w:tc>
            <w:tc>
              <w:tcPr>
                <w:tcW w:w="2790" w:type="dxa"/>
                <w:tcBorders>
                  <w:top w:val="single" w:sz="4" w:space="0" w:color="D9D9D9"/>
                  <w:left w:val="single" w:sz="4" w:space="0" w:color="D9D9D9"/>
                  <w:bottom w:val="single" w:sz="4" w:space="0" w:color="D9D9D9"/>
                  <w:right w:val="single" w:sz="4" w:space="0" w:color="D9D9D9"/>
                </w:tcBorders>
                <w:shd w:val="clear" w:color="auto" w:fill="F7F7F7"/>
              </w:tcPr>
              <w:p w14:paraId="732657D2" w14:textId="77777777" w:rsidR="00E85D6F" w:rsidRPr="00526086" w:rsidRDefault="00880CEC" w:rsidP="004E1D1A">
                <w:pPr>
                  <w:jc w:val="center"/>
                  <w:rPr>
                    <w:rFonts w:asciiTheme="minorHAnsi" w:hAnsiTheme="minorHAnsi"/>
                    <w:bCs/>
                    <w:color w:val="auto"/>
                    <w:sz w:val="22"/>
                    <w:szCs w:val="22"/>
                  </w:rPr>
                </w:pPr>
                <w:r w:rsidRPr="00526086">
                  <w:rPr>
                    <w:rFonts w:asciiTheme="minorHAnsi" w:hAnsiTheme="minorHAnsi"/>
                    <w:sz w:val="22"/>
                    <w:szCs w:val="22"/>
                  </w:rPr>
                  <w:fldChar w:fldCharType="begin"/>
                </w:r>
                <w:r w:rsidRPr="00526086">
                  <w:rPr>
                    <w:rFonts w:asciiTheme="minorHAnsi" w:hAnsiTheme="minorHAnsi"/>
                    <w:sz w:val="22"/>
                    <w:szCs w:val="22"/>
                  </w:rPr>
                  <w:instrText xml:space="preserve"> IF </w:instrText>
                </w:r>
                <w:r w:rsidR="004E1D1A">
                  <w:rPr>
                    <w:rFonts w:asciiTheme="minorHAnsi" w:hAnsiTheme="minorHAnsi"/>
                    <w:sz w:val="22"/>
                    <w:szCs w:val="22"/>
                  </w:rPr>
                  <w:instrText>"" ="NEW</w:instrText>
                </w:r>
                <w:r w:rsidRPr="00526086">
                  <w:rPr>
                    <w:rFonts w:asciiTheme="minorHAnsi" w:hAnsiTheme="minorHAnsi"/>
                    <w:sz w:val="22"/>
                    <w:szCs w:val="22"/>
                  </w:rPr>
                  <w:instrText xml:space="preserve">" </w:instrText>
                </w:r>
                <w:r w:rsidR="00883A3C">
                  <w:rPr>
                    <w:rFonts w:asciiTheme="minorHAnsi" w:hAnsiTheme="minorHAnsi"/>
                    <w:sz w:val="22"/>
                    <w:szCs w:val="22"/>
                  </w:rPr>
                  <w:instrText>"</w:instrText>
                </w:r>
                <w:r>
                  <w:rPr>
                    <w:rFonts w:ascii="Segoe UI Symbol" w:hAnsi="Segoe UI Symbol" w:cs="Segoe UI Symbol"/>
                    <w:sz w:val="22"/>
                    <w:szCs w:val="22"/>
                  </w:rPr>
                  <w:instrText>New</w:instrText>
                </w:r>
                <w:r w:rsidR="00883A3C">
                  <w:rPr>
                    <w:rFonts w:ascii="Segoe UI Symbol" w:hAnsi="Segoe UI Symbol" w:cs="Segoe UI Symbol"/>
                    <w:sz w:val="22"/>
                    <w:szCs w:val="22"/>
                  </w:rPr>
                  <w:instrText>"</w:instrText>
                </w:r>
                <w:r w:rsidRPr="00526086">
                  <w:rPr>
                    <w:rFonts w:asciiTheme="minorHAnsi" w:hAnsiTheme="minorHAnsi"/>
                    <w:sz w:val="22"/>
                    <w:szCs w:val="22"/>
                  </w:rPr>
                  <w:instrText xml:space="preserve"> "  " </w:instrText>
                </w:r>
                <w:r w:rsidRPr="00526086">
                  <w:rPr>
                    <w:rFonts w:asciiTheme="minorHAnsi" w:hAnsiTheme="minorHAnsi"/>
                    <w:sz w:val="22"/>
                    <w:szCs w:val="22"/>
                  </w:rPr>
                  <w:fldChar w:fldCharType="separate"/>
                </w:r>
                <w:r w:rsidRPr="00526086">
                  <w:rPr>
                    <w:rFonts w:asciiTheme="minorHAnsi" w:hAnsiTheme="minorHAnsi"/>
                    <w:sz w:val="22"/>
                    <w:szCs w:val="22"/>
                  </w:rPr>
                  <w:t xml:space="preserve">  </w:t>
                </w:r>
                <w:r w:rsidRPr="00526086">
                  <w:rPr>
                    <w:rFonts w:asciiTheme="minorHAnsi" w:hAnsiTheme="minorHAnsi"/>
                    <w:sz w:val="22"/>
                    <w:szCs w:val="22"/>
                  </w:rPr>
                  <w:fldChar w:fldCharType="end"/>
                </w:r>
                <w:r w:rsidR="00526086" w:rsidRPr="00526086">
                  <w:rPr>
                    <w:rFonts w:asciiTheme="minorHAnsi" w:hAnsiTheme="minorHAnsi"/>
                    <w:sz w:val="22"/>
                    <w:szCs w:val="22"/>
                  </w:rPr>
                  <w:fldChar w:fldCharType="begin"/>
                </w:r>
                <w:r w:rsidR="00526086" w:rsidRPr="00526086">
                  <w:rPr>
                    <w:rFonts w:asciiTheme="minorHAnsi" w:hAnsiTheme="minorHAnsi"/>
                    <w:sz w:val="22"/>
                    <w:szCs w:val="22"/>
                  </w:rPr>
                  <w:instrText xml:space="preserve"> IF </w:instrText>
                </w:r>
                <w:r w:rsidR="004E1D1A">
                  <w:rPr>
                    <w:rFonts w:asciiTheme="minorHAnsi" w:hAnsiTheme="minorHAnsi"/>
                    <w:sz w:val="22"/>
                    <w:szCs w:val="22"/>
                  </w:rPr>
                  <w:instrText>""</w:instrText>
                </w:r>
                <w:r w:rsidR="00526086" w:rsidRPr="00526086">
                  <w:rPr>
                    <w:rFonts w:asciiTheme="minorHAnsi" w:hAnsiTheme="minorHAnsi"/>
                    <w:sz w:val="22"/>
                    <w:szCs w:val="22"/>
                  </w:rPr>
                  <w:instrText xml:space="preserve"> ="X" </w:instrText>
                </w:r>
                <w:r w:rsidR="00526086" w:rsidRPr="00526086">
                  <w:rPr>
                    <w:rFonts w:ascii="Segoe UI Symbol" w:hAnsi="Segoe UI Symbol" w:cs="Segoe UI Symbol"/>
                    <w:sz w:val="22"/>
                    <w:szCs w:val="22"/>
                  </w:rPr>
                  <w:instrText>✔</w:instrText>
                </w:r>
                <w:r w:rsidR="00526086" w:rsidRPr="00526086">
                  <w:rPr>
                    <w:rFonts w:asciiTheme="minorHAnsi" w:hAnsiTheme="minorHAnsi"/>
                    <w:sz w:val="22"/>
                    <w:szCs w:val="22"/>
                  </w:rPr>
                  <w:instrText xml:space="preserve"> "  " </w:instrText>
                </w:r>
                <w:r w:rsidR="00526086" w:rsidRPr="00526086">
                  <w:rPr>
                    <w:rFonts w:asciiTheme="minorHAnsi" w:hAnsiTheme="minorHAnsi"/>
                    <w:sz w:val="22"/>
                    <w:szCs w:val="22"/>
                  </w:rPr>
                  <w:fldChar w:fldCharType="separate"/>
                </w:r>
                <w:r w:rsidR="00526086" w:rsidRPr="00526086">
                  <w:rPr>
                    <w:rFonts w:asciiTheme="minorHAnsi" w:hAnsiTheme="minorHAnsi"/>
                    <w:sz w:val="22"/>
                    <w:szCs w:val="22"/>
                  </w:rPr>
                  <w:t xml:space="preserve">  </w:t>
                </w:r>
                <w:r w:rsidR="00526086" w:rsidRPr="00526086">
                  <w:rPr>
                    <w:rFonts w:asciiTheme="minorHAnsi" w:hAnsiTheme="minorHAnsi"/>
                    <w:sz w:val="22"/>
                    <w:szCs w:val="22"/>
                  </w:rPr>
                  <w:fldChar w:fldCharType="end"/>
                </w:r>
              </w:p>
            </w:tc>
            <w:tc>
              <w:tcPr>
                <w:tcW w:w="2610" w:type="dxa"/>
                <w:tcBorders>
                  <w:top w:val="single" w:sz="4" w:space="0" w:color="D9D9D9"/>
                  <w:left w:val="single" w:sz="4" w:space="0" w:color="D9D9D9"/>
                  <w:bottom w:val="single" w:sz="4" w:space="0" w:color="D9D9D9"/>
                  <w:right w:val="single" w:sz="4" w:space="0" w:color="D9D9D9"/>
                </w:tcBorders>
                <w:shd w:val="clear" w:color="auto" w:fill="F7F7F7"/>
              </w:tcPr>
              <w:p w14:paraId="2103F5AC" w14:textId="77777777" w:rsidR="00E85D6F" w:rsidRPr="00526086" w:rsidRDefault="00880CEC" w:rsidP="00621C6F">
                <w:pPr>
                  <w:jc w:val="center"/>
                  <w:rPr>
                    <w:rFonts w:asciiTheme="minorHAnsi" w:hAnsiTheme="minorHAnsi"/>
                    <w:bCs/>
                    <w:color w:val="auto"/>
                    <w:sz w:val="22"/>
                    <w:szCs w:val="22"/>
                  </w:rPr>
                </w:pPr>
                <w:r w:rsidRPr="00526086">
                  <w:rPr>
                    <w:rFonts w:asciiTheme="minorHAnsi" w:hAnsiTheme="minorHAnsi"/>
                    <w:sz w:val="22"/>
                    <w:szCs w:val="22"/>
                  </w:rPr>
                  <w:fldChar w:fldCharType="begin"/>
                </w:r>
                <w:r w:rsidRPr="00526086">
                  <w:rPr>
                    <w:rFonts w:asciiTheme="minorHAnsi" w:hAnsiTheme="minorHAnsi"/>
                    <w:sz w:val="22"/>
                    <w:szCs w:val="22"/>
                  </w:rPr>
                  <w:instrText xml:space="preserve"> IF </w:instrText>
                </w:r>
                <w:r w:rsidRPr="00526086">
                  <w:rPr>
                    <w:rFonts w:asciiTheme="minorHAnsi" w:hAnsiTheme="minorHAnsi"/>
                    <w:noProof/>
                    <w:sz w:val="22"/>
                    <w:szCs w:val="22"/>
                  </w:rPr>
                  <w:instrText>X</w:instrText>
                </w:r>
                <w:r w:rsidRPr="00526086">
                  <w:rPr>
                    <w:rFonts w:asciiTheme="minorHAnsi" w:hAnsiTheme="minorHAnsi"/>
                    <w:sz w:val="22"/>
                    <w:szCs w:val="22"/>
                  </w:rPr>
                  <w:instrText xml:space="preserve"> ="X" </w:instrText>
                </w:r>
                <w:r w:rsidRPr="00526086">
                  <w:rPr>
                    <w:rFonts w:ascii="Segoe UI Symbol" w:hAnsi="Segoe UI Symbol" w:cs="Segoe UI Symbol"/>
                    <w:sz w:val="22"/>
                    <w:szCs w:val="22"/>
                  </w:rPr>
                  <w:instrText>✔</w:instrText>
                </w:r>
                <w:r w:rsidRPr="00526086">
                  <w:rPr>
                    <w:rFonts w:asciiTheme="minorHAnsi" w:hAnsiTheme="minorHAnsi"/>
                    <w:sz w:val="22"/>
                    <w:szCs w:val="22"/>
                  </w:rPr>
                  <w:instrText xml:space="preserve"> "  " </w:instrText>
                </w:r>
                <w:r w:rsidRPr="00526086">
                  <w:rPr>
                    <w:rFonts w:asciiTheme="minorHAnsi" w:hAnsiTheme="minorHAnsi"/>
                    <w:sz w:val="22"/>
                    <w:szCs w:val="22"/>
                  </w:rPr>
                  <w:fldChar w:fldCharType="separate"/>
                </w:r>
                <w:r w:rsidRPr="00526086">
                  <w:rPr>
                    <w:rFonts w:ascii="Segoe UI Symbol" w:hAnsi="Segoe UI Symbol" w:cs="Segoe UI Symbol"/>
                    <w:sz w:val="22"/>
                    <w:szCs w:val="22"/>
                  </w:rPr>
                  <w:t>✔</w:t>
                </w:r>
                <w:r w:rsidRPr="00526086">
                  <w:rPr>
                    <w:rFonts w:asciiTheme="minorHAnsi" w:hAnsiTheme="minorHAnsi"/>
                    <w:sz w:val="22"/>
                    <w:szCs w:val="22"/>
                  </w:rPr>
                  <w:fldChar w:fldCharType="end"/>
                </w:r>
              </w:p>
            </w:tc>
          </w:tr>
          <w:tr w:rsidR="004F0F3F" w14:paraId="21BB5B69" w14:textId="77777777" w:rsidTr="000F45DB">
            <w:trPr>
              <w:trHeight w:val="418"/>
            </w:trPr>
            <w:tc>
              <w:tcPr>
                <w:tcW w:w="5129" w:type="dxa"/>
                <w:tcBorders>
                  <w:top w:val="single" w:sz="4" w:space="0" w:color="D9D9D9"/>
                  <w:left w:val="single" w:sz="4" w:space="0" w:color="D9D9D9"/>
                  <w:bottom w:val="single" w:sz="4" w:space="0" w:color="D9D9D9"/>
                  <w:right w:val="single" w:sz="4" w:space="0" w:color="D9D9D9"/>
                </w:tcBorders>
                <w:shd w:val="clear" w:color="auto" w:fill="F7F7F7"/>
              </w:tcPr>
              <w:p w14:paraId="53F82030" w14:textId="77777777" w:rsidR="00E85D6F" w:rsidRPr="00526086" w:rsidRDefault="00880CEC" w:rsidP="00F81AC2">
                <w:pPr>
                  <w:rPr>
                    <w:rFonts w:asciiTheme="minorHAnsi" w:hAnsiTheme="minorHAnsi"/>
                    <w:bCs/>
                    <w:color w:val="auto"/>
                    <w:sz w:val="22"/>
                    <w:szCs w:val="22"/>
                  </w:rPr>
                </w:pPr>
                <w:r w:rsidRPr="00526086">
                  <w:rPr>
                    <w:rFonts w:asciiTheme="minorHAnsi" w:hAnsiTheme="minorHAnsi"/>
                    <w:noProof/>
                    <w:sz w:val="22"/>
                    <w:szCs w:val="22"/>
                  </w:rPr>
                  <w:t>Change in Program Scope</w:t>
                </w:r>
              </w:p>
            </w:tc>
            <w:tc>
              <w:tcPr>
                <w:tcW w:w="2790" w:type="dxa"/>
                <w:tcBorders>
                  <w:top w:val="single" w:sz="4" w:space="0" w:color="D9D9D9"/>
                  <w:left w:val="single" w:sz="4" w:space="0" w:color="D9D9D9"/>
                  <w:bottom w:val="single" w:sz="4" w:space="0" w:color="D9D9D9"/>
                  <w:right w:val="single" w:sz="4" w:space="0" w:color="D9D9D9"/>
                </w:tcBorders>
                <w:shd w:val="clear" w:color="auto" w:fill="F7F7F7"/>
              </w:tcPr>
              <w:p w14:paraId="70F7C63F" w14:textId="77777777" w:rsidR="00E85D6F" w:rsidRPr="00526086" w:rsidRDefault="00880CEC" w:rsidP="004E1D1A">
                <w:pPr>
                  <w:jc w:val="center"/>
                  <w:rPr>
                    <w:rFonts w:asciiTheme="minorHAnsi" w:hAnsiTheme="minorHAnsi"/>
                    <w:bCs/>
                    <w:color w:val="auto"/>
                    <w:sz w:val="22"/>
                    <w:szCs w:val="22"/>
                  </w:rPr>
                </w:pPr>
                <w:r w:rsidRPr="00526086">
                  <w:rPr>
                    <w:rFonts w:asciiTheme="minorHAnsi" w:hAnsiTheme="minorHAnsi"/>
                    <w:sz w:val="22"/>
                    <w:szCs w:val="22"/>
                  </w:rPr>
                  <w:fldChar w:fldCharType="begin"/>
                </w:r>
                <w:r w:rsidRPr="00526086">
                  <w:rPr>
                    <w:rFonts w:asciiTheme="minorHAnsi" w:hAnsiTheme="minorHAnsi"/>
                    <w:sz w:val="22"/>
                    <w:szCs w:val="22"/>
                  </w:rPr>
                  <w:instrText xml:space="preserve"> IF </w:instrText>
                </w:r>
                <w:r w:rsidR="004E1D1A">
                  <w:rPr>
                    <w:rFonts w:asciiTheme="minorHAnsi" w:hAnsiTheme="minorHAnsi"/>
                    <w:sz w:val="22"/>
                    <w:szCs w:val="22"/>
                  </w:rPr>
                  <w:instrText>"" ="NEW</w:instrText>
                </w:r>
                <w:r w:rsidRPr="00526086">
                  <w:rPr>
                    <w:rFonts w:asciiTheme="minorHAnsi" w:hAnsiTheme="minorHAnsi"/>
                    <w:sz w:val="22"/>
                    <w:szCs w:val="22"/>
                  </w:rPr>
                  <w:instrText xml:space="preserve">" </w:instrText>
                </w:r>
                <w:r w:rsidR="00883A3C">
                  <w:rPr>
                    <w:rFonts w:asciiTheme="minorHAnsi" w:hAnsiTheme="minorHAnsi"/>
                    <w:sz w:val="22"/>
                    <w:szCs w:val="22"/>
                  </w:rPr>
                  <w:instrText>"</w:instrText>
                </w:r>
                <w:r>
                  <w:rPr>
                    <w:rFonts w:ascii="Segoe UI Symbol" w:hAnsi="Segoe UI Symbol" w:cs="Segoe UI Symbol"/>
                    <w:sz w:val="22"/>
                    <w:szCs w:val="22"/>
                  </w:rPr>
                  <w:instrText>New</w:instrText>
                </w:r>
                <w:r w:rsidR="00883A3C">
                  <w:rPr>
                    <w:rFonts w:ascii="Segoe UI Symbol" w:hAnsi="Segoe UI Symbol" w:cs="Segoe UI Symbol"/>
                    <w:sz w:val="22"/>
                    <w:szCs w:val="22"/>
                  </w:rPr>
                  <w:instrText>"</w:instrText>
                </w:r>
                <w:r w:rsidRPr="00526086">
                  <w:rPr>
                    <w:rFonts w:asciiTheme="minorHAnsi" w:hAnsiTheme="minorHAnsi"/>
                    <w:sz w:val="22"/>
                    <w:szCs w:val="22"/>
                  </w:rPr>
                  <w:instrText xml:space="preserve"> "  " </w:instrText>
                </w:r>
                <w:r w:rsidRPr="00526086">
                  <w:rPr>
                    <w:rFonts w:asciiTheme="minorHAnsi" w:hAnsiTheme="minorHAnsi"/>
                    <w:sz w:val="22"/>
                    <w:szCs w:val="22"/>
                  </w:rPr>
                  <w:fldChar w:fldCharType="separate"/>
                </w:r>
                <w:r w:rsidRPr="00526086">
                  <w:rPr>
                    <w:rFonts w:asciiTheme="minorHAnsi" w:hAnsiTheme="minorHAnsi"/>
                    <w:sz w:val="22"/>
                    <w:szCs w:val="22"/>
                  </w:rPr>
                  <w:t xml:space="preserve">  </w:t>
                </w:r>
                <w:r w:rsidRPr="00526086">
                  <w:rPr>
                    <w:rFonts w:asciiTheme="minorHAnsi" w:hAnsiTheme="minorHAnsi"/>
                    <w:sz w:val="22"/>
                    <w:szCs w:val="22"/>
                  </w:rPr>
                  <w:fldChar w:fldCharType="end"/>
                </w:r>
                <w:r w:rsidR="00526086" w:rsidRPr="00526086">
                  <w:rPr>
                    <w:rFonts w:asciiTheme="minorHAnsi" w:hAnsiTheme="minorHAnsi"/>
                    <w:sz w:val="22"/>
                    <w:szCs w:val="22"/>
                  </w:rPr>
                  <w:fldChar w:fldCharType="begin"/>
                </w:r>
                <w:r w:rsidR="00526086" w:rsidRPr="00526086">
                  <w:rPr>
                    <w:rFonts w:asciiTheme="minorHAnsi" w:hAnsiTheme="minorHAnsi"/>
                    <w:sz w:val="22"/>
                    <w:szCs w:val="22"/>
                  </w:rPr>
                  <w:instrText xml:space="preserve"> IF </w:instrText>
                </w:r>
                <w:r w:rsidR="004E1D1A">
                  <w:rPr>
                    <w:rFonts w:asciiTheme="minorHAnsi" w:hAnsiTheme="minorHAnsi"/>
                    <w:sz w:val="22"/>
                    <w:szCs w:val="22"/>
                  </w:rPr>
                  <w:instrText>""</w:instrText>
                </w:r>
                <w:r w:rsidR="00526086" w:rsidRPr="00526086">
                  <w:rPr>
                    <w:rFonts w:asciiTheme="minorHAnsi" w:hAnsiTheme="minorHAnsi"/>
                    <w:sz w:val="22"/>
                    <w:szCs w:val="22"/>
                  </w:rPr>
                  <w:instrText xml:space="preserve"> ="X" </w:instrText>
                </w:r>
                <w:r w:rsidR="00526086" w:rsidRPr="00526086">
                  <w:rPr>
                    <w:rFonts w:ascii="Segoe UI Symbol" w:hAnsi="Segoe UI Symbol" w:cs="Segoe UI Symbol"/>
                    <w:sz w:val="22"/>
                    <w:szCs w:val="22"/>
                  </w:rPr>
                  <w:instrText>✔</w:instrText>
                </w:r>
                <w:r w:rsidR="00526086" w:rsidRPr="00526086">
                  <w:rPr>
                    <w:rFonts w:asciiTheme="minorHAnsi" w:hAnsiTheme="minorHAnsi"/>
                    <w:sz w:val="22"/>
                    <w:szCs w:val="22"/>
                  </w:rPr>
                  <w:instrText xml:space="preserve"> "  " </w:instrText>
                </w:r>
                <w:r w:rsidR="00526086" w:rsidRPr="00526086">
                  <w:rPr>
                    <w:rFonts w:asciiTheme="minorHAnsi" w:hAnsiTheme="minorHAnsi"/>
                    <w:sz w:val="22"/>
                    <w:szCs w:val="22"/>
                  </w:rPr>
                  <w:fldChar w:fldCharType="separate"/>
                </w:r>
                <w:r w:rsidR="00526086" w:rsidRPr="00526086">
                  <w:rPr>
                    <w:rFonts w:asciiTheme="minorHAnsi" w:hAnsiTheme="minorHAnsi"/>
                    <w:sz w:val="22"/>
                    <w:szCs w:val="22"/>
                  </w:rPr>
                  <w:t xml:space="preserve">  </w:t>
                </w:r>
                <w:r w:rsidR="00526086" w:rsidRPr="00526086">
                  <w:rPr>
                    <w:rFonts w:asciiTheme="minorHAnsi" w:hAnsiTheme="minorHAnsi"/>
                    <w:sz w:val="22"/>
                    <w:szCs w:val="22"/>
                  </w:rPr>
                  <w:fldChar w:fldCharType="end"/>
                </w:r>
              </w:p>
            </w:tc>
            <w:tc>
              <w:tcPr>
                <w:tcW w:w="2610" w:type="dxa"/>
                <w:tcBorders>
                  <w:top w:val="single" w:sz="4" w:space="0" w:color="D9D9D9"/>
                  <w:left w:val="single" w:sz="4" w:space="0" w:color="D9D9D9"/>
                  <w:bottom w:val="single" w:sz="4" w:space="0" w:color="D9D9D9"/>
                  <w:right w:val="single" w:sz="4" w:space="0" w:color="D9D9D9"/>
                </w:tcBorders>
                <w:shd w:val="clear" w:color="auto" w:fill="F7F7F7"/>
              </w:tcPr>
              <w:p w14:paraId="6C7D65E8" w14:textId="77777777" w:rsidR="00E85D6F" w:rsidRPr="00526086" w:rsidRDefault="00880CEC" w:rsidP="00621C6F">
                <w:pPr>
                  <w:jc w:val="center"/>
                  <w:rPr>
                    <w:rFonts w:asciiTheme="minorHAnsi" w:hAnsiTheme="minorHAnsi"/>
                    <w:bCs/>
                    <w:color w:val="auto"/>
                    <w:sz w:val="22"/>
                    <w:szCs w:val="22"/>
                  </w:rPr>
                </w:pPr>
                <w:r w:rsidRPr="00526086">
                  <w:rPr>
                    <w:rFonts w:asciiTheme="minorHAnsi" w:hAnsiTheme="minorHAnsi"/>
                    <w:sz w:val="22"/>
                    <w:szCs w:val="22"/>
                  </w:rPr>
                  <w:fldChar w:fldCharType="begin"/>
                </w:r>
                <w:r w:rsidRPr="00526086">
                  <w:rPr>
                    <w:rFonts w:asciiTheme="minorHAnsi" w:hAnsiTheme="minorHAnsi"/>
                    <w:sz w:val="22"/>
                    <w:szCs w:val="22"/>
                  </w:rPr>
                  <w:instrText xml:space="preserve"> IF </w:instrText>
                </w:r>
                <w:r w:rsidRPr="00526086">
                  <w:rPr>
                    <w:rFonts w:asciiTheme="minorHAnsi" w:hAnsiTheme="minorHAnsi"/>
                    <w:noProof/>
                    <w:sz w:val="22"/>
                    <w:szCs w:val="22"/>
                  </w:rPr>
                  <w:instrText>X</w:instrText>
                </w:r>
                <w:r w:rsidRPr="00526086">
                  <w:rPr>
                    <w:rFonts w:asciiTheme="minorHAnsi" w:hAnsiTheme="minorHAnsi"/>
                    <w:sz w:val="22"/>
                    <w:szCs w:val="22"/>
                  </w:rPr>
                  <w:instrText xml:space="preserve"> ="X" </w:instrText>
                </w:r>
                <w:r w:rsidRPr="00526086">
                  <w:rPr>
                    <w:rFonts w:ascii="Segoe UI Symbol" w:hAnsi="Segoe UI Symbol" w:cs="Segoe UI Symbol"/>
                    <w:sz w:val="22"/>
                    <w:szCs w:val="22"/>
                  </w:rPr>
                  <w:instrText>✔</w:instrText>
                </w:r>
                <w:r w:rsidRPr="00526086">
                  <w:rPr>
                    <w:rFonts w:asciiTheme="minorHAnsi" w:hAnsiTheme="minorHAnsi"/>
                    <w:sz w:val="22"/>
                    <w:szCs w:val="22"/>
                  </w:rPr>
                  <w:instrText xml:space="preserve"> "  " </w:instrText>
                </w:r>
                <w:r w:rsidRPr="00526086">
                  <w:rPr>
                    <w:rFonts w:asciiTheme="minorHAnsi" w:hAnsiTheme="minorHAnsi"/>
                    <w:sz w:val="22"/>
                    <w:szCs w:val="22"/>
                  </w:rPr>
                  <w:fldChar w:fldCharType="separate"/>
                </w:r>
                <w:r w:rsidRPr="00526086">
                  <w:rPr>
                    <w:rFonts w:ascii="Segoe UI Symbol" w:hAnsi="Segoe UI Symbol" w:cs="Segoe UI Symbol"/>
                    <w:sz w:val="22"/>
                    <w:szCs w:val="22"/>
                  </w:rPr>
                  <w:t>✔</w:t>
                </w:r>
                <w:r w:rsidRPr="00526086">
                  <w:rPr>
                    <w:rFonts w:asciiTheme="minorHAnsi" w:hAnsiTheme="minorHAnsi"/>
                    <w:sz w:val="22"/>
                    <w:szCs w:val="22"/>
                  </w:rPr>
                  <w:fldChar w:fldCharType="end"/>
                </w:r>
              </w:p>
            </w:tc>
          </w:tr>
          <w:tr w:rsidR="004F0F3F" w14:paraId="24CBA8BA" w14:textId="77777777" w:rsidTr="000F45DB">
            <w:trPr>
              <w:trHeight w:val="418"/>
            </w:trPr>
            <w:tc>
              <w:tcPr>
                <w:tcW w:w="5129" w:type="dxa"/>
                <w:tcBorders>
                  <w:top w:val="single" w:sz="4" w:space="0" w:color="D9D9D9"/>
                  <w:left w:val="single" w:sz="4" w:space="0" w:color="D9D9D9"/>
                  <w:bottom w:val="single" w:sz="4" w:space="0" w:color="D9D9D9"/>
                  <w:right w:val="single" w:sz="4" w:space="0" w:color="D9D9D9"/>
                </w:tcBorders>
                <w:shd w:val="clear" w:color="auto" w:fill="F7F7F7"/>
              </w:tcPr>
              <w:p w14:paraId="2BAE94CD" w14:textId="77777777" w:rsidR="00E85D6F" w:rsidRPr="00526086" w:rsidRDefault="00880CEC" w:rsidP="00F81AC2">
                <w:pPr>
                  <w:rPr>
                    <w:rFonts w:asciiTheme="minorHAnsi" w:hAnsiTheme="minorHAnsi"/>
                    <w:bCs/>
                    <w:color w:val="auto"/>
                    <w:sz w:val="22"/>
                    <w:szCs w:val="22"/>
                  </w:rPr>
                </w:pPr>
                <w:r w:rsidRPr="00526086">
                  <w:rPr>
                    <w:rFonts w:asciiTheme="minorHAnsi" w:hAnsiTheme="minorHAnsi"/>
                    <w:noProof/>
                    <w:sz w:val="22"/>
                    <w:szCs w:val="22"/>
                  </w:rPr>
                  <w:t>Cancellations Proposed</w:t>
                </w:r>
              </w:p>
            </w:tc>
            <w:tc>
              <w:tcPr>
                <w:tcW w:w="2790" w:type="dxa"/>
                <w:tcBorders>
                  <w:top w:val="single" w:sz="4" w:space="0" w:color="D9D9D9"/>
                  <w:left w:val="single" w:sz="4" w:space="0" w:color="D9D9D9"/>
                  <w:bottom w:val="single" w:sz="4" w:space="0" w:color="D9D9D9"/>
                  <w:right w:val="single" w:sz="4" w:space="0" w:color="D9D9D9"/>
                </w:tcBorders>
                <w:shd w:val="clear" w:color="auto" w:fill="F7F7F7"/>
              </w:tcPr>
              <w:p w14:paraId="638F4527" w14:textId="77777777" w:rsidR="00E85D6F" w:rsidRPr="00526086" w:rsidRDefault="00880CEC" w:rsidP="004E1D1A">
                <w:pPr>
                  <w:jc w:val="center"/>
                  <w:rPr>
                    <w:rFonts w:asciiTheme="minorHAnsi" w:hAnsiTheme="minorHAnsi"/>
                    <w:bCs/>
                    <w:color w:val="auto"/>
                    <w:sz w:val="22"/>
                    <w:szCs w:val="22"/>
                  </w:rPr>
                </w:pPr>
                <w:r w:rsidRPr="00526086">
                  <w:rPr>
                    <w:rFonts w:asciiTheme="minorHAnsi" w:hAnsiTheme="minorHAnsi"/>
                    <w:sz w:val="22"/>
                    <w:szCs w:val="22"/>
                  </w:rPr>
                  <w:fldChar w:fldCharType="begin"/>
                </w:r>
                <w:r w:rsidRPr="00526086">
                  <w:rPr>
                    <w:rFonts w:asciiTheme="minorHAnsi" w:hAnsiTheme="minorHAnsi"/>
                    <w:sz w:val="22"/>
                    <w:szCs w:val="22"/>
                  </w:rPr>
                  <w:instrText xml:space="preserve"> IF </w:instrText>
                </w:r>
                <w:r w:rsidR="004E1D1A">
                  <w:rPr>
                    <w:rFonts w:asciiTheme="minorHAnsi" w:hAnsiTheme="minorHAnsi"/>
                    <w:sz w:val="22"/>
                    <w:szCs w:val="22"/>
                  </w:rPr>
                  <w:instrText>"" ="NEW</w:instrText>
                </w:r>
                <w:r w:rsidRPr="00526086">
                  <w:rPr>
                    <w:rFonts w:asciiTheme="minorHAnsi" w:hAnsiTheme="minorHAnsi"/>
                    <w:sz w:val="22"/>
                    <w:szCs w:val="22"/>
                  </w:rPr>
                  <w:instrText xml:space="preserve">" </w:instrText>
                </w:r>
                <w:r w:rsidR="00883A3C">
                  <w:rPr>
                    <w:rFonts w:asciiTheme="minorHAnsi" w:hAnsiTheme="minorHAnsi"/>
                    <w:sz w:val="22"/>
                    <w:szCs w:val="22"/>
                  </w:rPr>
                  <w:instrText>"</w:instrText>
                </w:r>
                <w:r>
                  <w:rPr>
                    <w:rFonts w:ascii="Segoe UI Symbol" w:hAnsi="Segoe UI Symbol" w:cs="Segoe UI Symbol"/>
                    <w:sz w:val="22"/>
                    <w:szCs w:val="22"/>
                  </w:rPr>
                  <w:instrText>New</w:instrText>
                </w:r>
                <w:r w:rsidR="00883A3C">
                  <w:rPr>
                    <w:rFonts w:ascii="Segoe UI Symbol" w:hAnsi="Segoe UI Symbol" w:cs="Segoe UI Symbol"/>
                    <w:sz w:val="22"/>
                    <w:szCs w:val="22"/>
                  </w:rPr>
                  <w:instrText>"</w:instrText>
                </w:r>
                <w:r w:rsidRPr="00526086">
                  <w:rPr>
                    <w:rFonts w:asciiTheme="minorHAnsi" w:hAnsiTheme="minorHAnsi"/>
                    <w:sz w:val="22"/>
                    <w:szCs w:val="22"/>
                  </w:rPr>
                  <w:instrText xml:space="preserve"> "  " </w:instrText>
                </w:r>
                <w:r w:rsidRPr="00526086">
                  <w:rPr>
                    <w:rFonts w:asciiTheme="minorHAnsi" w:hAnsiTheme="minorHAnsi"/>
                    <w:sz w:val="22"/>
                    <w:szCs w:val="22"/>
                  </w:rPr>
                  <w:fldChar w:fldCharType="separate"/>
                </w:r>
                <w:r w:rsidRPr="00526086">
                  <w:rPr>
                    <w:rFonts w:asciiTheme="minorHAnsi" w:hAnsiTheme="minorHAnsi"/>
                    <w:sz w:val="22"/>
                    <w:szCs w:val="22"/>
                  </w:rPr>
                  <w:t xml:space="preserve">  </w:t>
                </w:r>
                <w:r w:rsidRPr="00526086">
                  <w:rPr>
                    <w:rFonts w:asciiTheme="minorHAnsi" w:hAnsiTheme="minorHAnsi"/>
                    <w:sz w:val="22"/>
                    <w:szCs w:val="22"/>
                  </w:rPr>
                  <w:fldChar w:fldCharType="end"/>
                </w:r>
                <w:r w:rsidR="00526086" w:rsidRPr="00526086">
                  <w:rPr>
                    <w:rFonts w:asciiTheme="minorHAnsi" w:hAnsiTheme="minorHAnsi"/>
                    <w:sz w:val="22"/>
                    <w:szCs w:val="22"/>
                  </w:rPr>
                  <w:fldChar w:fldCharType="begin"/>
                </w:r>
                <w:r w:rsidR="00526086" w:rsidRPr="00526086">
                  <w:rPr>
                    <w:rFonts w:asciiTheme="minorHAnsi" w:hAnsiTheme="minorHAnsi"/>
                    <w:sz w:val="22"/>
                    <w:szCs w:val="22"/>
                  </w:rPr>
                  <w:instrText xml:space="preserve"> IF </w:instrText>
                </w:r>
                <w:r w:rsidR="004E1D1A">
                  <w:rPr>
                    <w:rFonts w:asciiTheme="minorHAnsi" w:hAnsiTheme="minorHAnsi"/>
                    <w:sz w:val="22"/>
                    <w:szCs w:val="22"/>
                  </w:rPr>
                  <w:instrText>""</w:instrText>
                </w:r>
                <w:r w:rsidR="00526086" w:rsidRPr="00526086">
                  <w:rPr>
                    <w:rFonts w:asciiTheme="minorHAnsi" w:hAnsiTheme="minorHAnsi"/>
                    <w:sz w:val="22"/>
                    <w:szCs w:val="22"/>
                  </w:rPr>
                  <w:instrText xml:space="preserve"> ="X" </w:instrText>
                </w:r>
                <w:r w:rsidR="00526086" w:rsidRPr="00526086">
                  <w:rPr>
                    <w:rFonts w:ascii="Segoe UI Symbol" w:hAnsi="Segoe UI Symbol" w:cs="Segoe UI Symbol"/>
                    <w:sz w:val="22"/>
                    <w:szCs w:val="22"/>
                  </w:rPr>
                  <w:instrText>✔</w:instrText>
                </w:r>
                <w:r w:rsidR="00526086" w:rsidRPr="00526086">
                  <w:rPr>
                    <w:rFonts w:asciiTheme="minorHAnsi" w:hAnsiTheme="minorHAnsi"/>
                    <w:sz w:val="22"/>
                    <w:szCs w:val="22"/>
                  </w:rPr>
                  <w:instrText xml:space="preserve"> "  " </w:instrText>
                </w:r>
                <w:r w:rsidR="00526086" w:rsidRPr="00526086">
                  <w:rPr>
                    <w:rFonts w:asciiTheme="minorHAnsi" w:hAnsiTheme="minorHAnsi"/>
                    <w:sz w:val="22"/>
                    <w:szCs w:val="22"/>
                  </w:rPr>
                  <w:fldChar w:fldCharType="separate"/>
                </w:r>
                <w:r w:rsidR="00526086" w:rsidRPr="00526086">
                  <w:rPr>
                    <w:rFonts w:asciiTheme="minorHAnsi" w:hAnsiTheme="minorHAnsi"/>
                    <w:sz w:val="22"/>
                    <w:szCs w:val="22"/>
                  </w:rPr>
                  <w:t xml:space="preserve">  </w:t>
                </w:r>
                <w:r w:rsidR="00526086" w:rsidRPr="00526086">
                  <w:rPr>
                    <w:rFonts w:asciiTheme="minorHAnsi" w:hAnsiTheme="minorHAnsi"/>
                    <w:sz w:val="22"/>
                    <w:szCs w:val="22"/>
                  </w:rPr>
                  <w:fldChar w:fldCharType="end"/>
                </w:r>
              </w:p>
            </w:tc>
            <w:tc>
              <w:tcPr>
                <w:tcW w:w="2610" w:type="dxa"/>
                <w:tcBorders>
                  <w:top w:val="single" w:sz="4" w:space="0" w:color="D9D9D9"/>
                  <w:left w:val="single" w:sz="4" w:space="0" w:color="D9D9D9"/>
                  <w:bottom w:val="single" w:sz="4" w:space="0" w:color="D9D9D9"/>
                  <w:right w:val="single" w:sz="4" w:space="0" w:color="D9D9D9"/>
                </w:tcBorders>
                <w:shd w:val="clear" w:color="auto" w:fill="F7F7F7"/>
              </w:tcPr>
              <w:p w14:paraId="0A5CCA5B" w14:textId="77777777" w:rsidR="00E85D6F" w:rsidRPr="00526086" w:rsidRDefault="00880CEC" w:rsidP="00621C6F">
                <w:pPr>
                  <w:jc w:val="center"/>
                  <w:rPr>
                    <w:rFonts w:asciiTheme="minorHAnsi" w:hAnsiTheme="minorHAnsi"/>
                    <w:bCs/>
                    <w:color w:val="auto"/>
                    <w:sz w:val="22"/>
                    <w:szCs w:val="22"/>
                  </w:rPr>
                </w:pPr>
                <w:r w:rsidRPr="00526086">
                  <w:rPr>
                    <w:rFonts w:asciiTheme="minorHAnsi" w:hAnsiTheme="minorHAnsi"/>
                    <w:sz w:val="22"/>
                    <w:szCs w:val="22"/>
                  </w:rPr>
                  <w:fldChar w:fldCharType="begin"/>
                </w:r>
                <w:r w:rsidRPr="00526086">
                  <w:rPr>
                    <w:rFonts w:asciiTheme="minorHAnsi" w:hAnsiTheme="minorHAnsi"/>
                    <w:sz w:val="22"/>
                    <w:szCs w:val="22"/>
                  </w:rPr>
                  <w:instrText xml:space="preserve"> IF </w:instrText>
                </w:r>
                <w:r w:rsidRPr="00526086">
                  <w:rPr>
                    <w:rFonts w:asciiTheme="minorHAnsi" w:hAnsiTheme="minorHAnsi"/>
                    <w:noProof/>
                    <w:sz w:val="22"/>
                    <w:szCs w:val="22"/>
                  </w:rPr>
                  <w:instrText>X</w:instrText>
                </w:r>
                <w:r w:rsidRPr="00526086">
                  <w:rPr>
                    <w:rFonts w:asciiTheme="minorHAnsi" w:hAnsiTheme="minorHAnsi"/>
                    <w:sz w:val="22"/>
                    <w:szCs w:val="22"/>
                  </w:rPr>
                  <w:instrText xml:space="preserve"> ="X" </w:instrText>
                </w:r>
                <w:r w:rsidRPr="00526086">
                  <w:rPr>
                    <w:rFonts w:ascii="Segoe UI Symbol" w:hAnsi="Segoe UI Symbol" w:cs="Segoe UI Symbol"/>
                    <w:sz w:val="22"/>
                    <w:szCs w:val="22"/>
                  </w:rPr>
                  <w:instrText>✔</w:instrText>
                </w:r>
                <w:r w:rsidRPr="00526086">
                  <w:rPr>
                    <w:rFonts w:asciiTheme="minorHAnsi" w:hAnsiTheme="minorHAnsi"/>
                    <w:sz w:val="22"/>
                    <w:szCs w:val="22"/>
                  </w:rPr>
                  <w:instrText xml:space="preserve"> "  " </w:instrText>
                </w:r>
                <w:r w:rsidRPr="00526086">
                  <w:rPr>
                    <w:rFonts w:asciiTheme="minorHAnsi" w:hAnsiTheme="minorHAnsi"/>
                    <w:sz w:val="22"/>
                    <w:szCs w:val="22"/>
                  </w:rPr>
                  <w:fldChar w:fldCharType="separate"/>
                </w:r>
                <w:r w:rsidRPr="00526086">
                  <w:rPr>
                    <w:rFonts w:ascii="Segoe UI Symbol" w:hAnsi="Segoe UI Symbol" w:cs="Segoe UI Symbol"/>
                    <w:sz w:val="22"/>
                    <w:szCs w:val="22"/>
                  </w:rPr>
                  <w:t>✔</w:t>
                </w:r>
                <w:r w:rsidRPr="00526086">
                  <w:rPr>
                    <w:rFonts w:asciiTheme="minorHAnsi" w:hAnsiTheme="minorHAnsi"/>
                    <w:sz w:val="22"/>
                    <w:szCs w:val="22"/>
                  </w:rPr>
                  <w:fldChar w:fldCharType="end"/>
                </w:r>
              </w:p>
            </w:tc>
          </w:tr>
          <w:tr w:rsidR="004F0F3F" w14:paraId="58F392B0" w14:textId="77777777" w:rsidTr="000F45DB">
            <w:trPr>
              <w:trHeight w:val="418"/>
            </w:trPr>
            <w:tc>
              <w:tcPr>
                <w:tcW w:w="5129" w:type="dxa"/>
                <w:tcBorders>
                  <w:top w:val="single" w:sz="4" w:space="0" w:color="D9D9D9"/>
                  <w:left w:val="single" w:sz="4" w:space="0" w:color="D9D9D9"/>
                  <w:bottom w:val="single" w:sz="4" w:space="0" w:color="D9D9D9"/>
                  <w:right w:val="single" w:sz="4" w:space="0" w:color="D9D9D9"/>
                </w:tcBorders>
                <w:shd w:val="clear" w:color="auto" w:fill="F7F7F7"/>
              </w:tcPr>
              <w:p w14:paraId="3414ACBB" w14:textId="77777777" w:rsidR="00E85D6F" w:rsidRPr="00526086" w:rsidRDefault="00880CEC" w:rsidP="00F81AC2">
                <w:pPr>
                  <w:rPr>
                    <w:rFonts w:asciiTheme="minorHAnsi" w:hAnsiTheme="minorHAnsi"/>
                    <w:bCs/>
                    <w:color w:val="auto"/>
                    <w:sz w:val="22"/>
                    <w:szCs w:val="22"/>
                  </w:rPr>
                </w:pPr>
                <w:r w:rsidRPr="00526086">
                  <w:rPr>
                    <w:rFonts w:asciiTheme="minorHAnsi" w:hAnsiTheme="minorHAnsi"/>
                    <w:noProof/>
                    <w:sz w:val="22"/>
                    <w:szCs w:val="22"/>
                  </w:rPr>
                  <w:t>Reallocation between Disbursement Categories</w:t>
                </w:r>
              </w:p>
            </w:tc>
            <w:tc>
              <w:tcPr>
                <w:tcW w:w="2790" w:type="dxa"/>
                <w:tcBorders>
                  <w:top w:val="single" w:sz="4" w:space="0" w:color="D9D9D9"/>
                  <w:left w:val="single" w:sz="4" w:space="0" w:color="D9D9D9"/>
                  <w:bottom w:val="single" w:sz="4" w:space="0" w:color="D9D9D9"/>
                  <w:right w:val="single" w:sz="4" w:space="0" w:color="D9D9D9"/>
                </w:tcBorders>
                <w:shd w:val="clear" w:color="auto" w:fill="F7F7F7"/>
              </w:tcPr>
              <w:p w14:paraId="18334E83" w14:textId="77777777" w:rsidR="00E85D6F" w:rsidRPr="00526086" w:rsidRDefault="00880CEC" w:rsidP="004E1D1A">
                <w:pPr>
                  <w:jc w:val="center"/>
                  <w:rPr>
                    <w:rFonts w:asciiTheme="minorHAnsi" w:hAnsiTheme="minorHAnsi"/>
                    <w:bCs/>
                    <w:color w:val="auto"/>
                    <w:sz w:val="22"/>
                    <w:szCs w:val="22"/>
                  </w:rPr>
                </w:pPr>
                <w:r w:rsidRPr="00526086">
                  <w:rPr>
                    <w:rFonts w:asciiTheme="minorHAnsi" w:hAnsiTheme="minorHAnsi"/>
                    <w:sz w:val="22"/>
                    <w:szCs w:val="22"/>
                  </w:rPr>
                  <w:fldChar w:fldCharType="begin"/>
                </w:r>
                <w:r w:rsidRPr="00526086">
                  <w:rPr>
                    <w:rFonts w:asciiTheme="minorHAnsi" w:hAnsiTheme="minorHAnsi"/>
                    <w:sz w:val="22"/>
                    <w:szCs w:val="22"/>
                  </w:rPr>
                  <w:instrText xml:space="preserve"> IF </w:instrText>
                </w:r>
                <w:r w:rsidR="004E1D1A">
                  <w:rPr>
                    <w:rFonts w:asciiTheme="minorHAnsi" w:hAnsiTheme="minorHAnsi"/>
                    <w:sz w:val="22"/>
                    <w:szCs w:val="22"/>
                  </w:rPr>
                  <w:instrText>"" ="NEW</w:instrText>
                </w:r>
                <w:r w:rsidRPr="00526086">
                  <w:rPr>
                    <w:rFonts w:asciiTheme="minorHAnsi" w:hAnsiTheme="minorHAnsi"/>
                    <w:sz w:val="22"/>
                    <w:szCs w:val="22"/>
                  </w:rPr>
                  <w:instrText xml:space="preserve">" </w:instrText>
                </w:r>
                <w:r w:rsidR="00883A3C">
                  <w:rPr>
                    <w:rFonts w:asciiTheme="minorHAnsi" w:hAnsiTheme="minorHAnsi"/>
                    <w:sz w:val="22"/>
                    <w:szCs w:val="22"/>
                  </w:rPr>
                  <w:instrText>"</w:instrText>
                </w:r>
                <w:r>
                  <w:rPr>
                    <w:rFonts w:ascii="Segoe UI Symbol" w:hAnsi="Segoe UI Symbol" w:cs="Segoe UI Symbol"/>
                    <w:sz w:val="22"/>
                    <w:szCs w:val="22"/>
                  </w:rPr>
                  <w:instrText>New</w:instrText>
                </w:r>
                <w:r w:rsidR="00883A3C">
                  <w:rPr>
                    <w:rFonts w:ascii="Segoe UI Symbol" w:hAnsi="Segoe UI Symbol" w:cs="Segoe UI Symbol"/>
                    <w:sz w:val="22"/>
                    <w:szCs w:val="22"/>
                  </w:rPr>
                  <w:instrText>"</w:instrText>
                </w:r>
                <w:r w:rsidRPr="00526086">
                  <w:rPr>
                    <w:rFonts w:asciiTheme="minorHAnsi" w:hAnsiTheme="minorHAnsi"/>
                    <w:sz w:val="22"/>
                    <w:szCs w:val="22"/>
                  </w:rPr>
                  <w:instrText xml:space="preserve"> "  " </w:instrText>
                </w:r>
                <w:r w:rsidRPr="00526086">
                  <w:rPr>
                    <w:rFonts w:asciiTheme="minorHAnsi" w:hAnsiTheme="minorHAnsi"/>
                    <w:sz w:val="22"/>
                    <w:szCs w:val="22"/>
                  </w:rPr>
                  <w:fldChar w:fldCharType="separate"/>
                </w:r>
                <w:r w:rsidRPr="00526086">
                  <w:rPr>
                    <w:rFonts w:asciiTheme="minorHAnsi" w:hAnsiTheme="minorHAnsi"/>
                    <w:sz w:val="22"/>
                    <w:szCs w:val="22"/>
                  </w:rPr>
                  <w:t xml:space="preserve">  </w:t>
                </w:r>
                <w:r w:rsidRPr="00526086">
                  <w:rPr>
                    <w:rFonts w:asciiTheme="minorHAnsi" w:hAnsiTheme="minorHAnsi"/>
                    <w:sz w:val="22"/>
                    <w:szCs w:val="22"/>
                  </w:rPr>
                  <w:fldChar w:fldCharType="end"/>
                </w:r>
                <w:r w:rsidR="00526086" w:rsidRPr="00526086">
                  <w:rPr>
                    <w:rFonts w:asciiTheme="minorHAnsi" w:hAnsiTheme="minorHAnsi"/>
                    <w:sz w:val="22"/>
                    <w:szCs w:val="22"/>
                  </w:rPr>
                  <w:fldChar w:fldCharType="begin"/>
                </w:r>
                <w:r w:rsidR="00526086" w:rsidRPr="00526086">
                  <w:rPr>
                    <w:rFonts w:asciiTheme="minorHAnsi" w:hAnsiTheme="minorHAnsi"/>
                    <w:sz w:val="22"/>
                    <w:szCs w:val="22"/>
                  </w:rPr>
                  <w:instrText xml:space="preserve"> IF </w:instrText>
                </w:r>
                <w:r w:rsidR="004E1D1A">
                  <w:rPr>
                    <w:rFonts w:asciiTheme="minorHAnsi" w:hAnsiTheme="minorHAnsi"/>
                    <w:sz w:val="22"/>
                    <w:szCs w:val="22"/>
                  </w:rPr>
                  <w:instrText>""</w:instrText>
                </w:r>
                <w:r w:rsidR="00526086" w:rsidRPr="00526086">
                  <w:rPr>
                    <w:rFonts w:asciiTheme="minorHAnsi" w:hAnsiTheme="minorHAnsi"/>
                    <w:sz w:val="22"/>
                    <w:szCs w:val="22"/>
                  </w:rPr>
                  <w:instrText xml:space="preserve"> ="X" </w:instrText>
                </w:r>
                <w:r w:rsidR="00526086" w:rsidRPr="00526086">
                  <w:rPr>
                    <w:rFonts w:ascii="Segoe UI Symbol" w:hAnsi="Segoe UI Symbol" w:cs="Segoe UI Symbol"/>
                    <w:sz w:val="22"/>
                    <w:szCs w:val="22"/>
                  </w:rPr>
                  <w:instrText>✔</w:instrText>
                </w:r>
                <w:r w:rsidR="00526086" w:rsidRPr="00526086">
                  <w:rPr>
                    <w:rFonts w:asciiTheme="minorHAnsi" w:hAnsiTheme="minorHAnsi"/>
                    <w:sz w:val="22"/>
                    <w:szCs w:val="22"/>
                  </w:rPr>
                  <w:instrText xml:space="preserve"> "  " </w:instrText>
                </w:r>
                <w:r w:rsidR="00526086" w:rsidRPr="00526086">
                  <w:rPr>
                    <w:rFonts w:asciiTheme="minorHAnsi" w:hAnsiTheme="minorHAnsi"/>
                    <w:sz w:val="22"/>
                    <w:szCs w:val="22"/>
                  </w:rPr>
                  <w:fldChar w:fldCharType="separate"/>
                </w:r>
                <w:r w:rsidR="00526086" w:rsidRPr="00526086">
                  <w:rPr>
                    <w:rFonts w:asciiTheme="minorHAnsi" w:hAnsiTheme="minorHAnsi"/>
                    <w:sz w:val="22"/>
                    <w:szCs w:val="22"/>
                  </w:rPr>
                  <w:t xml:space="preserve">  </w:t>
                </w:r>
                <w:r w:rsidR="00526086" w:rsidRPr="00526086">
                  <w:rPr>
                    <w:rFonts w:asciiTheme="minorHAnsi" w:hAnsiTheme="minorHAnsi"/>
                    <w:sz w:val="22"/>
                    <w:szCs w:val="22"/>
                  </w:rPr>
                  <w:fldChar w:fldCharType="end"/>
                </w:r>
              </w:p>
            </w:tc>
            <w:tc>
              <w:tcPr>
                <w:tcW w:w="2610" w:type="dxa"/>
                <w:tcBorders>
                  <w:top w:val="single" w:sz="4" w:space="0" w:color="D9D9D9"/>
                  <w:left w:val="single" w:sz="4" w:space="0" w:color="D9D9D9"/>
                  <w:bottom w:val="single" w:sz="4" w:space="0" w:color="D9D9D9"/>
                  <w:right w:val="single" w:sz="4" w:space="0" w:color="D9D9D9"/>
                </w:tcBorders>
                <w:shd w:val="clear" w:color="auto" w:fill="F7F7F7"/>
              </w:tcPr>
              <w:p w14:paraId="0357C37F" w14:textId="77777777" w:rsidR="00E85D6F" w:rsidRPr="00526086" w:rsidRDefault="00880CEC" w:rsidP="00621C6F">
                <w:pPr>
                  <w:jc w:val="center"/>
                  <w:rPr>
                    <w:rFonts w:asciiTheme="minorHAnsi" w:hAnsiTheme="minorHAnsi"/>
                    <w:bCs/>
                    <w:color w:val="auto"/>
                    <w:sz w:val="22"/>
                    <w:szCs w:val="22"/>
                  </w:rPr>
                </w:pPr>
                <w:r w:rsidRPr="00526086">
                  <w:rPr>
                    <w:rFonts w:asciiTheme="minorHAnsi" w:hAnsiTheme="minorHAnsi"/>
                    <w:sz w:val="22"/>
                    <w:szCs w:val="22"/>
                  </w:rPr>
                  <w:fldChar w:fldCharType="begin"/>
                </w:r>
                <w:r w:rsidRPr="00526086">
                  <w:rPr>
                    <w:rFonts w:asciiTheme="minorHAnsi" w:hAnsiTheme="minorHAnsi"/>
                    <w:sz w:val="22"/>
                    <w:szCs w:val="22"/>
                  </w:rPr>
                  <w:instrText xml:space="preserve"> IF </w:instrText>
                </w:r>
                <w:r w:rsidRPr="00526086">
                  <w:rPr>
                    <w:rFonts w:asciiTheme="minorHAnsi" w:hAnsiTheme="minorHAnsi"/>
                    <w:noProof/>
                    <w:sz w:val="22"/>
                    <w:szCs w:val="22"/>
                  </w:rPr>
                  <w:instrText>X</w:instrText>
                </w:r>
                <w:r w:rsidRPr="00526086">
                  <w:rPr>
                    <w:rFonts w:asciiTheme="minorHAnsi" w:hAnsiTheme="minorHAnsi"/>
                    <w:sz w:val="22"/>
                    <w:szCs w:val="22"/>
                  </w:rPr>
                  <w:instrText xml:space="preserve"> ="X" </w:instrText>
                </w:r>
                <w:r w:rsidRPr="00526086">
                  <w:rPr>
                    <w:rFonts w:ascii="Segoe UI Symbol" w:hAnsi="Segoe UI Symbol" w:cs="Segoe UI Symbol"/>
                    <w:sz w:val="22"/>
                    <w:szCs w:val="22"/>
                  </w:rPr>
                  <w:instrText>✔</w:instrText>
                </w:r>
                <w:r w:rsidRPr="00526086">
                  <w:rPr>
                    <w:rFonts w:asciiTheme="minorHAnsi" w:hAnsiTheme="minorHAnsi"/>
                    <w:sz w:val="22"/>
                    <w:szCs w:val="22"/>
                  </w:rPr>
                  <w:instrText xml:space="preserve"> "  " </w:instrText>
                </w:r>
                <w:r w:rsidRPr="00526086">
                  <w:rPr>
                    <w:rFonts w:asciiTheme="minorHAnsi" w:hAnsiTheme="minorHAnsi"/>
                    <w:sz w:val="22"/>
                    <w:szCs w:val="22"/>
                  </w:rPr>
                  <w:fldChar w:fldCharType="separate"/>
                </w:r>
                <w:r w:rsidRPr="00526086">
                  <w:rPr>
                    <w:rFonts w:ascii="Segoe UI Symbol" w:hAnsi="Segoe UI Symbol" w:cs="Segoe UI Symbol"/>
                    <w:sz w:val="22"/>
                    <w:szCs w:val="22"/>
                  </w:rPr>
                  <w:t>✔</w:t>
                </w:r>
                <w:r w:rsidRPr="00526086">
                  <w:rPr>
                    <w:rFonts w:asciiTheme="minorHAnsi" w:hAnsiTheme="minorHAnsi"/>
                    <w:sz w:val="22"/>
                    <w:szCs w:val="22"/>
                  </w:rPr>
                  <w:fldChar w:fldCharType="end"/>
                </w:r>
              </w:p>
            </w:tc>
          </w:tr>
          <w:tr w:rsidR="004F0F3F" w14:paraId="1FED033F" w14:textId="77777777" w:rsidTr="000F45DB">
            <w:trPr>
              <w:trHeight w:val="418"/>
            </w:trPr>
            <w:tc>
              <w:tcPr>
                <w:tcW w:w="5129" w:type="dxa"/>
                <w:tcBorders>
                  <w:top w:val="single" w:sz="4" w:space="0" w:color="D9D9D9"/>
                  <w:left w:val="single" w:sz="4" w:space="0" w:color="D9D9D9"/>
                  <w:bottom w:val="single" w:sz="4" w:space="0" w:color="D9D9D9"/>
                  <w:right w:val="single" w:sz="4" w:space="0" w:color="D9D9D9"/>
                </w:tcBorders>
                <w:shd w:val="clear" w:color="auto" w:fill="F7F7F7"/>
              </w:tcPr>
              <w:p w14:paraId="134F4295" w14:textId="77777777" w:rsidR="00E85D6F" w:rsidRPr="00526086" w:rsidRDefault="00880CEC" w:rsidP="00F81AC2">
                <w:pPr>
                  <w:rPr>
                    <w:rFonts w:asciiTheme="minorHAnsi" w:hAnsiTheme="minorHAnsi"/>
                    <w:bCs/>
                    <w:color w:val="auto"/>
                    <w:sz w:val="22"/>
                    <w:szCs w:val="22"/>
                  </w:rPr>
                </w:pPr>
                <w:r w:rsidRPr="00526086">
                  <w:rPr>
                    <w:rFonts w:asciiTheme="minorHAnsi" w:hAnsiTheme="minorHAnsi"/>
                    <w:noProof/>
                    <w:sz w:val="22"/>
                    <w:szCs w:val="22"/>
                  </w:rPr>
                  <w:t>Change in Disbursements Arrangements</w:t>
                </w:r>
              </w:p>
            </w:tc>
            <w:tc>
              <w:tcPr>
                <w:tcW w:w="2790" w:type="dxa"/>
                <w:tcBorders>
                  <w:top w:val="single" w:sz="4" w:space="0" w:color="D9D9D9"/>
                  <w:left w:val="single" w:sz="4" w:space="0" w:color="D9D9D9"/>
                  <w:bottom w:val="single" w:sz="4" w:space="0" w:color="D9D9D9"/>
                  <w:right w:val="single" w:sz="4" w:space="0" w:color="D9D9D9"/>
                </w:tcBorders>
                <w:shd w:val="clear" w:color="auto" w:fill="F7F7F7"/>
              </w:tcPr>
              <w:p w14:paraId="62B9FD08" w14:textId="77777777" w:rsidR="00E85D6F" w:rsidRPr="00526086" w:rsidRDefault="00880CEC" w:rsidP="004E1D1A">
                <w:pPr>
                  <w:jc w:val="center"/>
                  <w:rPr>
                    <w:rFonts w:asciiTheme="minorHAnsi" w:hAnsiTheme="minorHAnsi"/>
                    <w:bCs/>
                    <w:color w:val="auto"/>
                    <w:sz w:val="22"/>
                    <w:szCs w:val="22"/>
                  </w:rPr>
                </w:pPr>
                <w:r w:rsidRPr="00526086">
                  <w:rPr>
                    <w:rFonts w:asciiTheme="minorHAnsi" w:hAnsiTheme="minorHAnsi"/>
                    <w:sz w:val="22"/>
                    <w:szCs w:val="22"/>
                  </w:rPr>
                  <w:fldChar w:fldCharType="begin"/>
                </w:r>
                <w:r w:rsidRPr="00526086">
                  <w:rPr>
                    <w:rFonts w:asciiTheme="minorHAnsi" w:hAnsiTheme="minorHAnsi"/>
                    <w:sz w:val="22"/>
                    <w:szCs w:val="22"/>
                  </w:rPr>
                  <w:instrText xml:space="preserve"> IF </w:instrText>
                </w:r>
                <w:r w:rsidR="004E1D1A">
                  <w:rPr>
                    <w:rFonts w:asciiTheme="minorHAnsi" w:hAnsiTheme="minorHAnsi"/>
                    <w:sz w:val="22"/>
                    <w:szCs w:val="22"/>
                  </w:rPr>
                  <w:instrText>"" ="NEW</w:instrText>
                </w:r>
                <w:r w:rsidRPr="00526086">
                  <w:rPr>
                    <w:rFonts w:asciiTheme="minorHAnsi" w:hAnsiTheme="minorHAnsi"/>
                    <w:sz w:val="22"/>
                    <w:szCs w:val="22"/>
                  </w:rPr>
                  <w:instrText xml:space="preserve">" </w:instrText>
                </w:r>
                <w:r w:rsidR="00883A3C">
                  <w:rPr>
                    <w:rFonts w:asciiTheme="minorHAnsi" w:hAnsiTheme="minorHAnsi"/>
                    <w:sz w:val="22"/>
                    <w:szCs w:val="22"/>
                  </w:rPr>
                  <w:instrText>"</w:instrText>
                </w:r>
                <w:r>
                  <w:rPr>
                    <w:rFonts w:ascii="Segoe UI Symbol" w:hAnsi="Segoe UI Symbol" w:cs="Segoe UI Symbol"/>
                    <w:sz w:val="22"/>
                    <w:szCs w:val="22"/>
                  </w:rPr>
                  <w:instrText>New</w:instrText>
                </w:r>
                <w:r w:rsidR="00883A3C">
                  <w:rPr>
                    <w:rFonts w:ascii="Segoe UI Symbol" w:hAnsi="Segoe UI Symbol" w:cs="Segoe UI Symbol"/>
                    <w:sz w:val="22"/>
                    <w:szCs w:val="22"/>
                  </w:rPr>
                  <w:instrText>"</w:instrText>
                </w:r>
                <w:r w:rsidRPr="00526086">
                  <w:rPr>
                    <w:rFonts w:asciiTheme="minorHAnsi" w:hAnsiTheme="minorHAnsi"/>
                    <w:sz w:val="22"/>
                    <w:szCs w:val="22"/>
                  </w:rPr>
                  <w:instrText xml:space="preserve"> "  " </w:instrText>
                </w:r>
                <w:r w:rsidRPr="00526086">
                  <w:rPr>
                    <w:rFonts w:asciiTheme="minorHAnsi" w:hAnsiTheme="minorHAnsi"/>
                    <w:sz w:val="22"/>
                    <w:szCs w:val="22"/>
                  </w:rPr>
                  <w:fldChar w:fldCharType="separate"/>
                </w:r>
                <w:r w:rsidRPr="00526086">
                  <w:rPr>
                    <w:rFonts w:asciiTheme="minorHAnsi" w:hAnsiTheme="minorHAnsi"/>
                    <w:sz w:val="22"/>
                    <w:szCs w:val="22"/>
                  </w:rPr>
                  <w:t xml:space="preserve">  </w:t>
                </w:r>
                <w:r w:rsidRPr="00526086">
                  <w:rPr>
                    <w:rFonts w:asciiTheme="minorHAnsi" w:hAnsiTheme="minorHAnsi"/>
                    <w:sz w:val="22"/>
                    <w:szCs w:val="22"/>
                  </w:rPr>
                  <w:fldChar w:fldCharType="end"/>
                </w:r>
                <w:r w:rsidR="00526086" w:rsidRPr="00526086">
                  <w:rPr>
                    <w:rFonts w:asciiTheme="minorHAnsi" w:hAnsiTheme="minorHAnsi"/>
                    <w:sz w:val="22"/>
                    <w:szCs w:val="22"/>
                  </w:rPr>
                  <w:fldChar w:fldCharType="begin"/>
                </w:r>
                <w:r w:rsidR="00526086" w:rsidRPr="00526086">
                  <w:rPr>
                    <w:rFonts w:asciiTheme="minorHAnsi" w:hAnsiTheme="minorHAnsi"/>
                    <w:sz w:val="22"/>
                    <w:szCs w:val="22"/>
                  </w:rPr>
                  <w:instrText xml:space="preserve"> IF </w:instrText>
                </w:r>
                <w:r w:rsidR="004E1D1A">
                  <w:rPr>
                    <w:rFonts w:asciiTheme="minorHAnsi" w:hAnsiTheme="minorHAnsi"/>
                    <w:sz w:val="22"/>
                    <w:szCs w:val="22"/>
                  </w:rPr>
                  <w:instrText>""</w:instrText>
                </w:r>
                <w:r w:rsidR="00526086" w:rsidRPr="00526086">
                  <w:rPr>
                    <w:rFonts w:asciiTheme="minorHAnsi" w:hAnsiTheme="minorHAnsi"/>
                    <w:sz w:val="22"/>
                    <w:szCs w:val="22"/>
                  </w:rPr>
                  <w:instrText xml:space="preserve"> ="X" </w:instrText>
                </w:r>
                <w:r w:rsidR="00526086" w:rsidRPr="00526086">
                  <w:rPr>
                    <w:rFonts w:ascii="Segoe UI Symbol" w:hAnsi="Segoe UI Symbol" w:cs="Segoe UI Symbol"/>
                    <w:sz w:val="22"/>
                    <w:szCs w:val="22"/>
                  </w:rPr>
                  <w:instrText>✔</w:instrText>
                </w:r>
                <w:r w:rsidR="00526086" w:rsidRPr="00526086">
                  <w:rPr>
                    <w:rFonts w:asciiTheme="minorHAnsi" w:hAnsiTheme="minorHAnsi"/>
                    <w:sz w:val="22"/>
                    <w:szCs w:val="22"/>
                  </w:rPr>
                  <w:instrText xml:space="preserve"> "  " </w:instrText>
                </w:r>
                <w:r w:rsidR="00526086" w:rsidRPr="00526086">
                  <w:rPr>
                    <w:rFonts w:asciiTheme="minorHAnsi" w:hAnsiTheme="minorHAnsi"/>
                    <w:sz w:val="22"/>
                    <w:szCs w:val="22"/>
                  </w:rPr>
                  <w:fldChar w:fldCharType="separate"/>
                </w:r>
                <w:r w:rsidR="00526086" w:rsidRPr="00526086">
                  <w:rPr>
                    <w:rFonts w:asciiTheme="minorHAnsi" w:hAnsiTheme="minorHAnsi"/>
                    <w:sz w:val="22"/>
                    <w:szCs w:val="22"/>
                  </w:rPr>
                  <w:t xml:space="preserve">  </w:t>
                </w:r>
                <w:r w:rsidR="00526086" w:rsidRPr="00526086">
                  <w:rPr>
                    <w:rFonts w:asciiTheme="minorHAnsi" w:hAnsiTheme="minorHAnsi"/>
                    <w:sz w:val="22"/>
                    <w:szCs w:val="22"/>
                  </w:rPr>
                  <w:fldChar w:fldCharType="end"/>
                </w:r>
              </w:p>
            </w:tc>
            <w:tc>
              <w:tcPr>
                <w:tcW w:w="2610" w:type="dxa"/>
                <w:tcBorders>
                  <w:top w:val="single" w:sz="4" w:space="0" w:color="D9D9D9"/>
                  <w:left w:val="single" w:sz="4" w:space="0" w:color="D9D9D9"/>
                  <w:bottom w:val="single" w:sz="4" w:space="0" w:color="D9D9D9"/>
                  <w:right w:val="single" w:sz="4" w:space="0" w:color="D9D9D9"/>
                </w:tcBorders>
                <w:shd w:val="clear" w:color="auto" w:fill="F7F7F7"/>
              </w:tcPr>
              <w:p w14:paraId="142D10DF" w14:textId="77777777" w:rsidR="00E85D6F" w:rsidRPr="00526086" w:rsidRDefault="00880CEC" w:rsidP="00621C6F">
                <w:pPr>
                  <w:jc w:val="center"/>
                  <w:rPr>
                    <w:rFonts w:asciiTheme="minorHAnsi" w:hAnsiTheme="minorHAnsi"/>
                    <w:bCs/>
                    <w:color w:val="auto"/>
                    <w:sz w:val="22"/>
                    <w:szCs w:val="22"/>
                  </w:rPr>
                </w:pPr>
                <w:r w:rsidRPr="00526086">
                  <w:rPr>
                    <w:rFonts w:asciiTheme="minorHAnsi" w:hAnsiTheme="minorHAnsi"/>
                    <w:sz w:val="22"/>
                    <w:szCs w:val="22"/>
                  </w:rPr>
                  <w:fldChar w:fldCharType="begin"/>
                </w:r>
                <w:r w:rsidRPr="00526086">
                  <w:rPr>
                    <w:rFonts w:asciiTheme="minorHAnsi" w:hAnsiTheme="minorHAnsi"/>
                    <w:sz w:val="22"/>
                    <w:szCs w:val="22"/>
                  </w:rPr>
                  <w:instrText xml:space="preserve"> IF </w:instrText>
                </w:r>
                <w:r w:rsidRPr="00526086">
                  <w:rPr>
                    <w:rFonts w:asciiTheme="minorHAnsi" w:hAnsiTheme="minorHAnsi"/>
                    <w:noProof/>
                    <w:sz w:val="22"/>
                    <w:szCs w:val="22"/>
                  </w:rPr>
                  <w:instrText>X</w:instrText>
                </w:r>
                <w:r w:rsidRPr="00526086">
                  <w:rPr>
                    <w:rFonts w:asciiTheme="minorHAnsi" w:hAnsiTheme="minorHAnsi"/>
                    <w:sz w:val="22"/>
                    <w:szCs w:val="22"/>
                  </w:rPr>
                  <w:instrText xml:space="preserve"> ="X" </w:instrText>
                </w:r>
                <w:r w:rsidRPr="00526086">
                  <w:rPr>
                    <w:rFonts w:ascii="Segoe UI Symbol" w:hAnsi="Segoe UI Symbol" w:cs="Segoe UI Symbol"/>
                    <w:sz w:val="22"/>
                    <w:szCs w:val="22"/>
                  </w:rPr>
                  <w:instrText>✔</w:instrText>
                </w:r>
                <w:r w:rsidRPr="00526086">
                  <w:rPr>
                    <w:rFonts w:asciiTheme="minorHAnsi" w:hAnsiTheme="minorHAnsi"/>
                    <w:sz w:val="22"/>
                    <w:szCs w:val="22"/>
                  </w:rPr>
                  <w:instrText xml:space="preserve"> "  " </w:instrText>
                </w:r>
                <w:r w:rsidRPr="00526086">
                  <w:rPr>
                    <w:rFonts w:asciiTheme="minorHAnsi" w:hAnsiTheme="minorHAnsi"/>
                    <w:sz w:val="22"/>
                    <w:szCs w:val="22"/>
                  </w:rPr>
                  <w:fldChar w:fldCharType="separate"/>
                </w:r>
                <w:r w:rsidRPr="00526086">
                  <w:rPr>
                    <w:rFonts w:ascii="Segoe UI Symbol" w:hAnsi="Segoe UI Symbol" w:cs="Segoe UI Symbol"/>
                    <w:sz w:val="22"/>
                    <w:szCs w:val="22"/>
                  </w:rPr>
                  <w:t>✔</w:t>
                </w:r>
                <w:r w:rsidRPr="00526086">
                  <w:rPr>
                    <w:rFonts w:asciiTheme="minorHAnsi" w:hAnsiTheme="minorHAnsi"/>
                    <w:sz w:val="22"/>
                    <w:szCs w:val="22"/>
                  </w:rPr>
                  <w:fldChar w:fldCharType="end"/>
                </w:r>
              </w:p>
            </w:tc>
          </w:tr>
          <w:tr w:rsidR="004F0F3F" w14:paraId="76E056F5" w14:textId="77777777" w:rsidTr="000F45DB">
            <w:trPr>
              <w:trHeight w:val="418"/>
            </w:trPr>
            <w:tc>
              <w:tcPr>
                <w:tcW w:w="5129" w:type="dxa"/>
                <w:tcBorders>
                  <w:top w:val="single" w:sz="4" w:space="0" w:color="D9D9D9"/>
                  <w:left w:val="single" w:sz="4" w:space="0" w:color="D9D9D9"/>
                  <w:bottom w:val="single" w:sz="4" w:space="0" w:color="D9D9D9"/>
                  <w:right w:val="single" w:sz="4" w:space="0" w:color="D9D9D9"/>
                </w:tcBorders>
                <w:shd w:val="clear" w:color="auto" w:fill="F7F7F7"/>
              </w:tcPr>
              <w:p w14:paraId="62A23F42" w14:textId="77777777" w:rsidR="00E85D6F" w:rsidRPr="00526086" w:rsidRDefault="00880CEC" w:rsidP="00F81AC2">
                <w:pPr>
                  <w:rPr>
                    <w:rFonts w:asciiTheme="minorHAnsi" w:hAnsiTheme="minorHAnsi"/>
                    <w:bCs/>
                    <w:color w:val="auto"/>
                    <w:sz w:val="22"/>
                    <w:szCs w:val="22"/>
                  </w:rPr>
                </w:pPr>
                <w:r w:rsidRPr="00526086">
                  <w:rPr>
                    <w:rFonts w:asciiTheme="minorHAnsi" w:hAnsiTheme="minorHAnsi"/>
                    <w:noProof/>
                    <w:sz w:val="22"/>
                    <w:szCs w:val="22"/>
                  </w:rPr>
                  <w:t>Change in Program Action Plan</w:t>
                </w:r>
              </w:p>
            </w:tc>
            <w:tc>
              <w:tcPr>
                <w:tcW w:w="2790" w:type="dxa"/>
                <w:tcBorders>
                  <w:top w:val="single" w:sz="4" w:space="0" w:color="D9D9D9"/>
                  <w:left w:val="single" w:sz="4" w:space="0" w:color="D9D9D9"/>
                  <w:bottom w:val="single" w:sz="4" w:space="0" w:color="D9D9D9"/>
                  <w:right w:val="single" w:sz="4" w:space="0" w:color="D9D9D9"/>
                </w:tcBorders>
                <w:shd w:val="clear" w:color="auto" w:fill="F7F7F7"/>
              </w:tcPr>
              <w:p w14:paraId="0561A9BC" w14:textId="77777777" w:rsidR="00E85D6F" w:rsidRPr="00526086" w:rsidRDefault="00880CEC" w:rsidP="004E1D1A">
                <w:pPr>
                  <w:jc w:val="center"/>
                  <w:rPr>
                    <w:rFonts w:asciiTheme="minorHAnsi" w:hAnsiTheme="minorHAnsi"/>
                    <w:bCs/>
                    <w:color w:val="auto"/>
                    <w:sz w:val="22"/>
                    <w:szCs w:val="22"/>
                  </w:rPr>
                </w:pPr>
                <w:r w:rsidRPr="00526086">
                  <w:rPr>
                    <w:rFonts w:asciiTheme="minorHAnsi" w:hAnsiTheme="minorHAnsi"/>
                    <w:sz w:val="22"/>
                    <w:szCs w:val="22"/>
                  </w:rPr>
                  <w:fldChar w:fldCharType="begin"/>
                </w:r>
                <w:r w:rsidRPr="00526086">
                  <w:rPr>
                    <w:rFonts w:asciiTheme="minorHAnsi" w:hAnsiTheme="minorHAnsi"/>
                    <w:sz w:val="22"/>
                    <w:szCs w:val="22"/>
                  </w:rPr>
                  <w:instrText xml:space="preserve"> IF </w:instrText>
                </w:r>
                <w:r w:rsidR="004E1D1A">
                  <w:rPr>
                    <w:rFonts w:asciiTheme="minorHAnsi" w:hAnsiTheme="minorHAnsi"/>
                    <w:sz w:val="22"/>
                    <w:szCs w:val="22"/>
                  </w:rPr>
                  <w:instrText>"" ="NEW</w:instrText>
                </w:r>
                <w:r w:rsidRPr="00526086">
                  <w:rPr>
                    <w:rFonts w:asciiTheme="minorHAnsi" w:hAnsiTheme="minorHAnsi"/>
                    <w:sz w:val="22"/>
                    <w:szCs w:val="22"/>
                  </w:rPr>
                  <w:instrText xml:space="preserve">" </w:instrText>
                </w:r>
                <w:r w:rsidR="00883A3C">
                  <w:rPr>
                    <w:rFonts w:asciiTheme="minorHAnsi" w:hAnsiTheme="minorHAnsi"/>
                    <w:sz w:val="22"/>
                    <w:szCs w:val="22"/>
                  </w:rPr>
                  <w:instrText>"</w:instrText>
                </w:r>
                <w:r>
                  <w:rPr>
                    <w:rFonts w:ascii="Segoe UI Symbol" w:hAnsi="Segoe UI Symbol" w:cs="Segoe UI Symbol"/>
                    <w:sz w:val="22"/>
                    <w:szCs w:val="22"/>
                  </w:rPr>
                  <w:instrText>New</w:instrText>
                </w:r>
                <w:r w:rsidR="00883A3C">
                  <w:rPr>
                    <w:rFonts w:ascii="Segoe UI Symbol" w:hAnsi="Segoe UI Symbol" w:cs="Segoe UI Symbol"/>
                    <w:sz w:val="22"/>
                    <w:szCs w:val="22"/>
                  </w:rPr>
                  <w:instrText>"</w:instrText>
                </w:r>
                <w:r w:rsidRPr="00526086">
                  <w:rPr>
                    <w:rFonts w:asciiTheme="minorHAnsi" w:hAnsiTheme="minorHAnsi"/>
                    <w:sz w:val="22"/>
                    <w:szCs w:val="22"/>
                  </w:rPr>
                  <w:instrText xml:space="preserve"> "  " </w:instrText>
                </w:r>
                <w:r w:rsidRPr="00526086">
                  <w:rPr>
                    <w:rFonts w:asciiTheme="minorHAnsi" w:hAnsiTheme="minorHAnsi"/>
                    <w:sz w:val="22"/>
                    <w:szCs w:val="22"/>
                  </w:rPr>
                  <w:fldChar w:fldCharType="separate"/>
                </w:r>
                <w:r w:rsidRPr="00526086">
                  <w:rPr>
                    <w:rFonts w:asciiTheme="minorHAnsi" w:hAnsiTheme="minorHAnsi"/>
                    <w:sz w:val="22"/>
                    <w:szCs w:val="22"/>
                  </w:rPr>
                  <w:t xml:space="preserve">  </w:t>
                </w:r>
                <w:r w:rsidRPr="00526086">
                  <w:rPr>
                    <w:rFonts w:asciiTheme="minorHAnsi" w:hAnsiTheme="minorHAnsi"/>
                    <w:sz w:val="22"/>
                    <w:szCs w:val="22"/>
                  </w:rPr>
                  <w:fldChar w:fldCharType="end"/>
                </w:r>
                <w:r w:rsidR="00526086" w:rsidRPr="00526086">
                  <w:rPr>
                    <w:rFonts w:asciiTheme="minorHAnsi" w:hAnsiTheme="minorHAnsi"/>
                    <w:sz w:val="22"/>
                    <w:szCs w:val="22"/>
                  </w:rPr>
                  <w:fldChar w:fldCharType="begin"/>
                </w:r>
                <w:r w:rsidR="00526086" w:rsidRPr="00526086">
                  <w:rPr>
                    <w:rFonts w:asciiTheme="minorHAnsi" w:hAnsiTheme="minorHAnsi"/>
                    <w:sz w:val="22"/>
                    <w:szCs w:val="22"/>
                  </w:rPr>
                  <w:instrText xml:space="preserve"> IF </w:instrText>
                </w:r>
                <w:r w:rsidR="004E1D1A">
                  <w:rPr>
                    <w:rFonts w:asciiTheme="minorHAnsi" w:hAnsiTheme="minorHAnsi"/>
                    <w:sz w:val="22"/>
                    <w:szCs w:val="22"/>
                  </w:rPr>
                  <w:instrText>""</w:instrText>
                </w:r>
                <w:r w:rsidR="00526086" w:rsidRPr="00526086">
                  <w:rPr>
                    <w:rFonts w:asciiTheme="minorHAnsi" w:hAnsiTheme="minorHAnsi"/>
                    <w:sz w:val="22"/>
                    <w:szCs w:val="22"/>
                  </w:rPr>
                  <w:instrText xml:space="preserve"> ="X" </w:instrText>
                </w:r>
                <w:r w:rsidR="00526086" w:rsidRPr="00526086">
                  <w:rPr>
                    <w:rFonts w:ascii="Segoe UI Symbol" w:hAnsi="Segoe UI Symbol" w:cs="Segoe UI Symbol"/>
                    <w:sz w:val="22"/>
                    <w:szCs w:val="22"/>
                  </w:rPr>
                  <w:instrText>✔</w:instrText>
                </w:r>
                <w:r w:rsidR="00526086" w:rsidRPr="00526086">
                  <w:rPr>
                    <w:rFonts w:asciiTheme="minorHAnsi" w:hAnsiTheme="minorHAnsi"/>
                    <w:sz w:val="22"/>
                    <w:szCs w:val="22"/>
                  </w:rPr>
                  <w:instrText xml:space="preserve"> "  " </w:instrText>
                </w:r>
                <w:r w:rsidR="00526086" w:rsidRPr="00526086">
                  <w:rPr>
                    <w:rFonts w:asciiTheme="minorHAnsi" w:hAnsiTheme="minorHAnsi"/>
                    <w:sz w:val="22"/>
                    <w:szCs w:val="22"/>
                  </w:rPr>
                  <w:fldChar w:fldCharType="separate"/>
                </w:r>
                <w:r w:rsidR="00526086" w:rsidRPr="00526086">
                  <w:rPr>
                    <w:rFonts w:asciiTheme="minorHAnsi" w:hAnsiTheme="minorHAnsi"/>
                    <w:sz w:val="22"/>
                    <w:szCs w:val="22"/>
                  </w:rPr>
                  <w:t xml:space="preserve">  </w:t>
                </w:r>
                <w:r w:rsidR="00526086" w:rsidRPr="00526086">
                  <w:rPr>
                    <w:rFonts w:asciiTheme="minorHAnsi" w:hAnsiTheme="minorHAnsi"/>
                    <w:sz w:val="22"/>
                    <w:szCs w:val="22"/>
                  </w:rPr>
                  <w:fldChar w:fldCharType="end"/>
                </w:r>
              </w:p>
            </w:tc>
            <w:tc>
              <w:tcPr>
                <w:tcW w:w="2610" w:type="dxa"/>
                <w:tcBorders>
                  <w:top w:val="single" w:sz="4" w:space="0" w:color="D9D9D9"/>
                  <w:left w:val="single" w:sz="4" w:space="0" w:color="D9D9D9"/>
                  <w:bottom w:val="single" w:sz="4" w:space="0" w:color="D9D9D9"/>
                  <w:right w:val="single" w:sz="4" w:space="0" w:color="D9D9D9"/>
                </w:tcBorders>
                <w:shd w:val="clear" w:color="auto" w:fill="F7F7F7"/>
              </w:tcPr>
              <w:p w14:paraId="0EB95436" w14:textId="77777777" w:rsidR="00E85D6F" w:rsidRPr="00526086" w:rsidRDefault="00880CEC" w:rsidP="00621C6F">
                <w:pPr>
                  <w:jc w:val="center"/>
                  <w:rPr>
                    <w:rFonts w:asciiTheme="minorHAnsi" w:hAnsiTheme="minorHAnsi"/>
                    <w:bCs/>
                    <w:color w:val="auto"/>
                    <w:sz w:val="22"/>
                    <w:szCs w:val="22"/>
                  </w:rPr>
                </w:pPr>
                <w:r w:rsidRPr="00526086">
                  <w:rPr>
                    <w:rFonts w:asciiTheme="minorHAnsi" w:hAnsiTheme="minorHAnsi"/>
                    <w:sz w:val="22"/>
                    <w:szCs w:val="22"/>
                  </w:rPr>
                  <w:fldChar w:fldCharType="begin"/>
                </w:r>
                <w:r w:rsidRPr="00526086">
                  <w:rPr>
                    <w:rFonts w:asciiTheme="minorHAnsi" w:hAnsiTheme="minorHAnsi"/>
                    <w:sz w:val="22"/>
                    <w:szCs w:val="22"/>
                  </w:rPr>
                  <w:instrText xml:space="preserve"> IF </w:instrText>
                </w:r>
                <w:r w:rsidRPr="00526086">
                  <w:rPr>
                    <w:rFonts w:asciiTheme="minorHAnsi" w:hAnsiTheme="minorHAnsi"/>
                    <w:noProof/>
                    <w:sz w:val="22"/>
                    <w:szCs w:val="22"/>
                  </w:rPr>
                  <w:instrText>X</w:instrText>
                </w:r>
                <w:r w:rsidRPr="00526086">
                  <w:rPr>
                    <w:rFonts w:asciiTheme="minorHAnsi" w:hAnsiTheme="minorHAnsi"/>
                    <w:sz w:val="22"/>
                    <w:szCs w:val="22"/>
                  </w:rPr>
                  <w:instrText xml:space="preserve"> ="X" </w:instrText>
                </w:r>
                <w:r w:rsidRPr="00526086">
                  <w:rPr>
                    <w:rFonts w:ascii="Segoe UI Symbol" w:hAnsi="Segoe UI Symbol" w:cs="Segoe UI Symbol"/>
                    <w:sz w:val="22"/>
                    <w:szCs w:val="22"/>
                  </w:rPr>
                  <w:instrText>✔</w:instrText>
                </w:r>
                <w:r w:rsidRPr="00526086">
                  <w:rPr>
                    <w:rFonts w:asciiTheme="minorHAnsi" w:hAnsiTheme="minorHAnsi"/>
                    <w:sz w:val="22"/>
                    <w:szCs w:val="22"/>
                  </w:rPr>
                  <w:instrText xml:space="preserve"> "  " </w:instrText>
                </w:r>
                <w:r w:rsidRPr="00526086">
                  <w:rPr>
                    <w:rFonts w:asciiTheme="minorHAnsi" w:hAnsiTheme="minorHAnsi"/>
                    <w:sz w:val="22"/>
                    <w:szCs w:val="22"/>
                  </w:rPr>
                  <w:fldChar w:fldCharType="separate"/>
                </w:r>
                <w:r w:rsidRPr="00526086">
                  <w:rPr>
                    <w:rFonts w:ascii="Segoe UI Symbol" w:hAnsi="Segoe UI Symbol" w:cs="Segoe UI Symbol"/>
                    <w:sz w:val="22"/>
                    <w:szCs w:val="22"/>
                  </w:rPr>
                  <w:t>✔</w:t>
                </w:r>
                <w:r w:rsidRPr="00526086">
                  <w:rPr>
                    <w:rFonts w:asciiTheme="minorHAnsi" w:hAnsiTheme="minorHAnsi"/>
                    <w:sz w:val="22"/>
                    <w:szCs w:val="22"/>
                  </w:rPr>
                  <w:fldChar w:fldCharType="end"/>
                </w:r>
              </w:p>
            </w:tc>
          </w:tr>
          <w:tr w:rsidR="004F0F3F" w14:paraId="42864914" w14:textId="77777777" w:rsidTr="000F45DB">
            <w:trPr>
              <w:trHeight w:val="418"/>
            </w:trPr>
            <w:tc>
              <w:tcPr>
                <w:tcW w:w="5129" w:type="dxa"/>
                <w:tcBorders>
                  <w:top w:val="single" w:sz="4" w:space="0" w:color="D9D9D9"/>
                  <w:left w:val="single" w:sz="4" w:space="0" w:color="D9D9D9"/>
                  <w:bottom w:val="single" w:sz="4" w:space="0" w:color="D9D9D9"/>
                  <w:right w:val="single" w:sz="4" w:space="0" w:color="D9D9D9"/>
                </w:tcBorders>
                <w:shd w:val="clear" w:color="auto" w:fill="F7F7F7"/>
              </w:tcPr>
              <w:p w14:paraId="1774EFD0" w14:textId="77777777" w:rsidR="00E85D6F" w:rsidRPr="00526086" w:rsidRDefault="00880CEC" w:rsidP="00F81AC2">
                <w:pPr>
                  <w:rPr>
                    <w:rFonts w:asciiTheme="minorHAnsi" w:hAnsiTheme="minorHAnsi"/>
                    <w:bCs/>
                    <w:color w:val="auto"/>
                    <w:sz w:val="22"/>
                    <w:szCs w:val="22"/>
                  </w:rPr>
                </w:pPr>
                <w:r w:rsidRPr="00526086">
                  <w:rPr>
                    <w:rFonts w:asciiTheme="minorHAnsi" w:hAnsiTheme="minorHAnsi"/>
                    <w:noProof/>
                    <w:sz w:val="22"/>
                    <w:szCs w:val="22"/>
                  </w:rPr>
                  <w:t>Change in Safeguard Policies Triggered</w:t>
                </w:r>
              </w:p>
            </w:tc>
            <w:tc>
              <w:tcPr>
                <w:tcW w:w="2790" w:type="dxa"/>
                <w:tcBorders>
                  <w:top w:val="single" w:sz="4" w:space="0" w:color="D9D9D9"/>
                  <w:left w:val="single" w:sz="4" w:space="0" w:color="D9D9D9"/>
                  <w:bottom w:val="single" w:sz="4" w:space="0" w:color="D9D9D9"/>
                  <w:right w:val="single" w:sz="4" w:space="0" w:color="D9D9D9"/>
                </w:tcBorders>
                <w:shd w:val="clear" w:color="auto" w:fill="F7F7F7"/>
              </w:tcPr>
              <w:p w14:paraId="7C20CD4F" w14:textId="77777777" w:rsidR="00E85D6F" w:rsidRPr="00526086" w:rsidRDefault="00880CEC" w:rsidP="004E1D1A">
                <w:pPr>
                  <w:jc w:val="center"/>
                  <w:rPr>
                    <w:rFonts w:asciiTheme="minorHAnsi" w:hAnsiTheme="minorHAnsi"/>
                    <w:bCs/>
                    <w:color w:val="auto"/>
                    <w:sz w:val="22"/>
                    <w:szCs w:val="22"/>
                  </w:rPr>
                </w:pPr>
                <w:r w:rsidRPr="00526086">
                  <w:rPr>
                    <w:rFonts w:asciiTheme="minorHAnsi" w:hAnsiTheme="minorHAnsi"/>
                    <w:sz w:val="22"/>
                    <w:szCs w:val="22"/>
                  </w:rPr>
                  <w:fldChar w:fldCharType="begin"/>
                </w:r>
                <w:r w:rsidRPr="00526086">
                  <w:rPr>
                    <w:rFonts w:asciiTheme="minorHAnsi" w:hAnsiTheme="minorHAnsi"/>
                    <w:sz w:val="22"/>
                    <w:szCs w:val="22"/>
                  </w:rPr>
                  <w:instrText xml:space="preserve"> IF </w:instrText>
                </w:r>
                <w:r w:rsidR="004E1D1A">
                  <w:rPr>
                    <w:rFonts w:asciiTheme="minorHAnsi" w:hAnsiTheme="minorHAnsi"/>
                    <w:sz w:val="22"/>
                    <w:szCs w:val="22"/>
                  </w:rPr>
                  <w:instrText>"" ="NEW</w:instrText>
                </w:r>
                <w:r w:rsidRPr="00526086">
                  <w:rPr>
                    <w:rFonts w:asciiTheme="minorHAnsi" w:hAnsiTheme="minorHAnsi"/>
                    <w:sz w:val="22"/>
                    <w:szCs w:val="22"/>
                  </w:rPr>
                  <w:instrText xml:space="preserve">" </w:instrText>
                </w:r>
                <w:r w:rsidR="00883A3C">
                  <w:rPr>
                    <w:rFonts w:asciiTheme="minorHAnsi" w:hAnsiTheme="minorHAnsi"/>
                    <w:sz w:val="22"/>
                    <w:szCs w:val="22"/>
                  </w:rPr>
                  <w:instrText>"</w:instrText>
                </w:r>
                <w:r>
                  <w:rPr>
                    <w:rFonts w:ascii="Segoe UI Symbol" w:hAnsi="Segoe UI Symbol" w:cs="Segoe UI Symbol"/>
                    <w:sz w:val="22"/>
                    <w:szCs w:val="22"/>
                  </w:rPr>
                  <w:instrText>New</w:instrText>
                </w:r>
                <w:r w:rsidR="00883A3C">
                  <w:rPr>
                    <w:rFonts w:ascii="Segoe UI Symbol" w:hAnsi="Segoe UI Symbol" w:cs="Segoe UI Symbol"/>
                    <w:sz w:val="22"/>
                    <w:szCs w:val="22"/>
                  </w:rPr>
                  <w:instrText>"</w:instrText>
                </w:r>
                <w:r w:rsidRPr="00526086">
                  <w:rPr>
                    <w:rFonts w:asciiTheme="minorHAnsi" w:hAnsiTheme="minorHAnsi"/>
                    <w:sz w:val="22"/>
                    <w:szCs w:val="22"/>
                  </w:rPr>
                  <w:instrText xml:space="preserve"> "  " </w:instrText>
                </w:r>
                <w:r w:rsidRPr="00526086">
                  <w:rPr>
                    <w:rFonts w:asciiTheme="minorHAnsi" w:hAnsiTheme="minorHAnsi"/>
                    <w:sz w:val="22"/>
                    <w:szCs w:val="22"/>
                  </w:rPr>
                  <w:fldChar w:fldCharType="separate"/>
                </w:r>
                <w:r w:rsidRPr="00526086">
                  <w:rPr>
                    <w:rFonts w:asciiTheme="minorHAnsi" w:hAnsiTheme="minorHAnsi"/>
                    <w:sz w:val="22"/>
                    <w:szCs w:val="22"/>
                  </w:rPr>
                  <w:t xml:space="preserve">  </w:t>
                </w:r>
                <w:r w:rsidRPr="00526086">
                  <w:rPr>
                    <w:rFonts w:asciiTheme="minorHAnsi" w:hAnsiTheme="minorHAnsi"/>
                    <w:sz w:val="22"/>
                    <w:szCs w:val="22"/>
                  </w:rPr>
                  <w:fldChar w:fldCharType="end"/>
                </w:r>
                <w:r w:rsidR="00526086" w:rsidRPr="00526086">
                  <w:rPr>
                    <w:rFonts w:asciiTheme="minorHAnsi" w:hAnsiTheme="minorHAnsi"/>
                    <w:sz w:val="22"/>
                    <w:szCs w:val="22"/>
                  </w:rPr>
                  <w:fldChar w:fldCharType="begin"/>
                </w:r>
                <w:r w:rsidR="00526086" w:rsidRPr="00526086">
                  <w:rPr>
                    <w:rFonts w:asciiTheme="minorHAnsi" w:hAnsiTheme="minorHAnsi"/>
                    <w:sz w:val="22"/>
                    <w:szCs w:val="22"/>
                  </w:rPr>
                  <w:instrText xml:space="preserve"> IF </w:instrText>
                </w:r>
                <w:r w:rsidR="004E1D1A">
                  <w:rPr>
                    <w:rFonts w:asciiTheme="minorHAnsi" w:hAnsiTheme="minorHAnsi"/>
                    <w:sz w:val="22"/>
                    <w:szCs w:val="22"/>
                  </w:rPr>
                  <w:instrText>""</w:instrText>
                </w:r>
                <w:r w:rsidR="00526086" w:rsidRPr="00526086">
                  <w:rPr>
                    <w:rFonts w:asciiTheme="minorHAnsi" w:hAnsiTheme="minorHAnsi"/>
                    <w:sz w:val="22"/>
                    <w:szCs w:val="22"/>
                  </w:rPr>
                  <w:instrText xml:space="preserve"> ="X" </w:instrText>
                </w:r>
                <w:r w:rsidR="00526086" w:rsidRPr="00526086">
                  <w:rPr>
                    <w:rFonts w:ascii="Segoe UI Symbol" w:hAnsi="Segoe UI Symbol" w:cs="Segoe UI Symbol"/>
                    <w:sz w:val="22"/>
                    <w:szCs w:val="22"/>
                  </w:rPr>
                  <w:instrText>✔</w:instrText>
                </w:r>
                <w:r w:rsidR="00526086" w:rsidRPr="00526086">
                  <w:rPr>
                    <w:rFonts w:asciiTheme="minorHAnsi" w:hAnsiTheme="minorHAnsi"/>
                    <w:sz w:val="22"/>
                    <w:szCs w:val="22"/>
                  </w:rPr>
                  <w:instrText xml:space="preserve"> "  " </w:instrText>
                </w:r>
                <w:r w:rsidR="00526086" w:rsidRPr="00526086">
                  <w:rPr>
                    <w:rFonts w:asciiTheme="minorHAnsi" w:hAnsiTheme="minorHAnsi"/>
                    <w:sz w:val="22"/>
                    <w:szCs w:val="22"/>
                  </w:rPr>
                  <w:fldChar w:fldCharType="separate"/>
                </w:r>
                <w:r w:rsidR="00526086" w:rsidRPr="00526086">
                  <w:rPr>
                    <w:rFonts w:asciiTheme="minorHAnsi" w:hAnsiTheme="minorHAnsi"/>
                    <w:sz w:val="22"/>
                    <w:szCs w:val="22"/>
                  </w:rPr>
                  <w:t xml:space="preserve">  </w:t>
                </w:r>
                <w:r w:rsidR="00526086" w:rsidRPr="00526086">
                  <w:rPr>
                    <w:rFonts w:asciiTheme="minorHAnsi" w:hAnsiTheme="minorHAnsi"/>
                    <w:sz w:val="22"/>
                    <w:szCs w:val="22"/>
                  </w:rPr>
                  <w:fldChar w:fldCharType="end"/>
                </w:r>
              </w:p>
            </w:tc>
            <w:tc>
              <w:tcPr>
                <w:tcW w:w="2610" w:type="dxa"/>
                <w:tcBorders>
                  <w:top w:val="single" w:sz="4" w:space="0" w:color="D9D9D9"/>
                  <w:left w:val="single" w:sz="4" w:space="0" w:color="D9D9D9"/>
                  <w:bottom w:val="single" w:sz="4" w:space="0" w:color="D9D9D9"/>
                  <w:right w:val="single" w:sz="4" w:space="0" w:color="D9D9D9"/>
                </w:tcBorders>
                <w:shd w:val="clear" w:color="auto" w:fill="F7F7F7"/>
              </w:tcPr>
              <w:p w14:paraId="11714C3C" w14:textId="77777777" w:rsidR="00E85D6F" w:rsidRPr="00526086" w:rsidRDefault="00880CEC" w:rsidP="00621C6F">
                <w:pPr>
                  <w:jc w:val="center"/>
                  <w:rPr>
                    <w:rFonts w:asciiTheme="minorHAnsi" w:hAnsiTheme="minorHAnsi"/>
                    <w:bCs/>
                    <w:color w:val="auto"/>
                    <w:sz w:val="22"/>
                    <w:szCs w:val="22"/>
                  </w:rPr>
                </w:pPr>
                <w:r w:rsidRPr="00526086">
                  <w:rPr>
                    <w:rFonts w:asciiTheme="minorHAnsi" w:hAnsiTheme="minorHAnsi"/>
                    <w:sz w:val="22"/>
                    <w:szCs w:val="22"/>
                  </w:rPr>
                  <w:fldChar w:fldCharType="begin"/>
                </w:r>
                <w:r w:rsidRPr="00526086">
                  <w:rPr>
                    <w:rFonts w:asciiTheme="minorHAnsi" w:hAnsiTheme="minorHAnsi"/>
                    <w:sz w:val="22"/>
                    <w:szCs w:val="22"/>
                  </w:rPr>
                  <w:instrText xml:space="preserve"> IF </w:instrText>
                </w:r>
                <w:r w:rsidRPr="00526086">
                  <w:rPr>
                    <w:rFonts w:asciiTheme="minorHAnsi" w:hAnsiTheme="minorHAnsi"/>
                    <w:noProof/>
                    <w:sz w:val="22"/>
                    <w:szCs w:val="22"/>
                  </w:rPr>
                  <w:instrText>X</w:instrText>
                </w:r>
                <w:r w:rsidRPr="00526086">
                  <w:rPr>
                    <w:rFonts w:asciiTheme="minorHAnsi" w:hAnsiTheme="minorHAnsi"/>
                    <w:sz w:val="22"/>
                    <w:szCs w:val="22"/>
                  </w:rPr>
                  <w:instrText xml:space="preserve"> ="X" </w:instrText>
                </w:r>
                <w:r w:rsidRPr="00526086">
                  <w:rPr>
                    <w:rFonts w:ascii="Segoe UI Symbol" w:hAnsi="Segoe UI Symbol" w:cs="Segoe UI Symbol"/>
                    <w:sz w:val="22"/>
                    <w:szCs w:val="22"/>
                  </w:rPr>
                  <w:instrText>✔</w:instrText>
                </w:r>
                <w:r w:rsidRPr="00526086">
                  <w:rPr>
                    <w:rFonts w:asciiTheme="minorHAnsi" w:hAnsiTheme="minorHAnsi"/>
                    <w:sz w:val="22"/>
                    <w:szCs w:val="22"/>
                  </w:rPr>
                  <w:instrText xml:space="preserve"> "  " </w:instrText>
                </w:r>
                <w:r w:rsidRPr="00526086">
                  <w:rPr>
                    <w:rFonts w:asciiTheme="minorHAnsi" w:hAnsiTheme="minorHAnsi"/>
                    <w:sz w:val="22"/>
                    <w:szCs w:val="22"/>
                  </w:rPr>
                  <w:fldChar w:fldCharType="separate"/>
                </w:r>
                <w:r w:rsidRPr="00526086">
                  <w:rPr>
                    <w:rFonts w:ascii="Segoe UI Symbol" w:hAnsi="Segoe UI Symbol" w:cs="Segoe UI Symbol"/>
                    <w:sz w:val="22"/>
                    <w:szCs w:val="22"/>
                  </w:rPr>
                  <w:t>✔</w:t>
                </w:r>
                <w:r w:rsidRPr="00526086">
                  <w:rPr>
                    <w:rFonts w:asciiTheme="minorHAnsi" w:hAnsiTheme="minorHAnsi"/>
                    <w:sz w:val="22"/>
                    <w:szCs w:val="22"/>
                  </w:rPr>
                  <w:fldChar w:fldCharType="end"/>
                </w:r>
              </w:p>
            </w:tc>
          </w:tr>
          <w:tr w:rsidR="004F0F3F" w14:paraId="61A1722E" w14:textId="77777777" w:rsidTr="000F45DB">
            <w:trPr>
              <w:trHeight w:val="418"/>
            </w:trPr>
            <w:tc>
              <w:tcPr>
                <w:tcW w:w="5129" w:type="dxa"/>
                <w:tcBorders>
                  <w:top w:val="single" w:sz="4" w:space="0" w:color="D9D9D9"/>
                  <w:left w:val="single" w:sz="4" w:space="0" w:color="D9D9D9"/>
                  <w:bottom w:val="single" w:sz="4" w:space="0" w:color="D9D9D9"/>
                  <w:right w:val="single" w:sz="4" w:space="0" w:color="D9D9D9"/>
                </w:tcBorders>
                <w:shd w:val="clear" w:color="auto" w:fill="F7F7F7"/>
              </w:tcPr>
              <w:p w14:paraId="34AE4F58" w14:textId="77777777" w:rsidR="00E85D6F" w:rsidRPr="00526086" w:rsidRDefault="00880CEC" w:rsidP="00F81AC2">
                <w:pPr>
                  <w:rPr>
                    <w:rFonts w:asciiTheme="minorHAnsi" w:hAnsiTheme="minorHAnsi"/>
                    <w:bCs/>
                    <w:color w:val="auto"/>
                    <w:sz w:val="22"/>
                    <w:szCs w:val="22"/>
                  </w:rPr>
                </w:pPr>
                <w:r w:rsidRPr="00526086">
                  <w:rPr>
                    <w:rFonts w:asciiTheme="minorHAnsi" w:hAnsiTheme="minorHAnsi"/>
                    <w:noProof/>
                    <w:sz w:val="22"/>
                    <w:szCs w:val="22"/>
                  </w:rPr>
                  <w:t>Change in Legal Covenants</w:t>
                </w:r>
              </w:p>
            </w:tc>
            <w:tc>
              <w:tcPr>
                <w:tcW w:w="2790" w:type="dxa"/>
                <w:tcBorders>
                  <w:top w:val="single" w:sz="4" w:space="0" w:color="D9D9D9"/>
                  <w:left w:val="single" w:sz="4" w:space="0" w:color="D9D9D9"/>
                  <w:bottom w:val="single" w:sz="4" w:space="0" w:color="D9D9D9"/>
                  <w:right w:val="single" w:sz="4" w:space="0" w:color="D9D9D9"/>
                </w:tcBorders>
                <w:shd w:val="clear" w:color="auto" w:fill="F7F7F7"/>
              </w:tcPr>
              <w:p w14:paraId="1E26BCF6" w14:textId="77777777" w:rsidR="00E85D6F" w:rsidRPr="00526086" w:rsidRDefault="00880CEC" w:rsidP="004E1D1A">
                <w:pPr>
                  <w:jc w:val="center"/>
                  <w:rPr>
                    <w:rFonts w:asciiTheme="minorHAnsi" w:hAnsiTheme="minorHAnsi"/>
                    <w:bCs/>
                    <w:color w:val="auto"/>
                    <w:sz w:val="22"/>
                    <w:szCs w:val="22"/>
                  </w:rPr>
                </w:pPr>
                <w:r w:rsidRPr="00526086">
                  <w:rPr>
                    <w:rFonts w:asciiTheme="minorHAnsi" w:hAnsiTheme="minorHAnsi"/>
                    <w:sz w:val="22"/>
                    <w:szCs w:val="22"/>
                  </w:rPr>
                  <w:fldChar w:fldCharType="begin"/>
                </w:r>
                <w:r w:rsidRPr="00526086">
                  <w:rPr>
                    <w:rFonts w:asciiTheme="minorHAnsi" w:hAnsiTheme="minorHAnsi"/>
                    <w:sz w:val="22"/>
                    <w:szCs w:val="22"/>
                  </w:rPr>
                  <w:instrText xml:space="preserve"> IF </w:instrText>
                </w:r>
                <w:r w:rsidR="004E1D1A">
                  <w:rPr>
                    <w:rFonts w:asciiTheme="minorHAnsi" w:hAnsiTheme="minorHAnsi"/>
                    <w:sz w:val="22"/>
                    <w:szCs w:val="22"/>
                  </w:rPr>
                  <w:instrText>"" ="NEW</w:instrText>
                </w:r>
                <w:r w:rsidRPr="00526086">
                  <w:rPr>
                    <w:rFonts w:asciiTheme="minorHAnsi" w:hAnsiTheme="minorHAnsi"/>
                    <w:sz w:val="22"/>
                    <w:szCs w:val="22"/>
                  </w:rPr>
                  <w:instrText xml:space="preserve">" </w:instrText>
                </w:r>
                <w:r w:rsidR="00883A3C">
                  <w:rPr>
                    <w:rFonts w:asciiTheme="minorHAnsi" w:hAnsiTheme="minorHAnsi"/>
                    <w:sz w:val="22"/>
                    <w:szCs w:val="22"/>
                  </w:rPr>
                  <w:instrText>"</w:instrText>
                </w:r>
                <w:r>
                  <w:rPr>
                    <w:rFonts w:ascii="Segoe UI Symbol" w:hAnsi="Segoe UI Symbol" w:cs="Segoe UI Symbol"/>
                    <w:sz w:val="22"/>
                    <w:szCs w:val="22"/>
                  </w:rPr>
                  <w:instrText>New</w:instrText>
                </w:r>
                <w:r w:rsidR="00883A3C">
                  <w:rPr>
                    <w:rFonts w:ascii="Segoe UI Symbol" w:hAnsi="Segoe UI Symbol" w:cs="Segoe UI Symbol"/>
                    <w:sz w:val="22"/>
                    <w:szCs w:val="22"/>
                  </w:rPr>
                  <w:instrText>"</w:instrText>
                </w:r>
                <w:r w:rsidRPr="00526086">
                  <w:rPr>
                    <w:rFonts w:asciiTheme="minorHAnsi" w:hAnsiTheme="minorHAnsi"/>
                    <w:sz w:val="22"/>
                    <w:szCs w:val="22"/>
                  </w:rPr>
                  <w:instrText xml:space="preserve"> "  " </w:instrText>
                </w:r>
                <w:r w:rsidRPr="00526086">
                  <w:rPr>
                    <w:rFonts w:asciiTheme="minorHAnsi" w:hAnsiTheme="minorHAnsi"/>
                    <w:sz w:val="22"/>
                    <w:szCs w:val="22"/>
                  </w:rPr>
                  <w:fldChar w:fldCharType="separate"/>
                </w:r>
                <w:r w:rsidRPr="00526086">
                  <w:rPr>
                    <w:rFonts w:asciiTheme="minorHAnsi" w:hAnsiTheme="minorHAnsi"/>
                    <w:sz w:val="22"/>
                    <w:szCs w:val="22"/>
                  </w:rPr>
                  <w:t xml:space="preserve">  </w:t>
                </w:r>
                <w:r w:rsidRPr="00526086">
                  <w:rPr>
                    <w:rFonts w:asciiTheme="minorHAnsi" w:hAnsiTheme="minorHAnsi"/>
                    <w:sz w:val="22"/>
                    <w:szCs w:val="22"/>
                  </w:rPr>
                  <w:fldChar w:fldCharType="end"/>
                </w:r>
                <w:r w:rsidR="00526086" w:rsidRPr="00526086">
                  <w:rPr>
                    <w:rFonts w:asciiTheme="minorHAnsi" w:hAnsiTheme="minorHAnsi"/>
                    <w:sz w:val="22"/>
                    <w:szCs w:val="22"/>
                  </w:rPr>
                  <w:fldChar w:fldCharType="begin"/>
                </w:r>
                <w:r w:rsidR="00526086" w:rsidRPr="00526086">
                  <w:rPr>
                    <w:rFonts w:asciiTheme="minorHAnsi" w:hAnsiTheme="minorHAnsi"/>
                    <w:sz w:val="22"/>
                    <w:szCs w:val="22"/>
                  </w:rPr>
                  <w:instrText xml:space="preserve"> IF </w:instrText>
                </w:r>
                <w:r w:rsidR="004E1D1A">
                  <w:rPr>
                    <w:rFonts w:asciiTheme="minorHAnsi" w:hAnsiTheme="minorHAnsi"/>
                    <w:sz w:val="22"/>
                    <w:szCs w:val="22"/>
                  </w:rPr>
                  <w:instrText>""</w:instrText>
                </w:r>
                <w:r w:rsidR="00526086" w:rsidRPr="00526086">
                  <w:rPr>
                    <w:rFonts w:asciiTheme="minorHAnsi" w:hAnsiTheme="minorHAnsi"/>
                    <w:sz w:val="22"/>
                    <w:szCs w:val="22"/>
                  </w:rPr>
                  <w:instrText xml:space="preserve"> ="X" </w:instrText>
                </w:r>
                <w:r w:rsidR="00526086" w:rsidRPr="00526086">
                  <w:rPr>
                    <w:rFonts w:ascii="Segoe UI Symbol" w:hAnsi="Segoe UI Symbol" w:cs="Segoe UI Symbol"/>
                    <w:sz w:val="22"/>
                    <w:szCs w:val="22"/>
                  </w:rPr>
                  <w:instrText>✔</w:instrText>
                </w:r>
                <w:r w:rsidR="00526086" w:rsidRPr="00526086">
                  <w:rPr>
                    <w:rFonts w:asciiTheme="minorHAnsi" w:hAnsiTheme="minorHAnsi"/>
                    <w:sz w:val="22"/>
                    <w:szCs w:val="22"/>
                  </w:rPr>
                  <w:instrText xml:space="preserve"> "  " </w:instrText>
                </w:r>
                <w:r w:rsidR="00526086" w:rsidRPr="00526086">
                  <w:rPr>
                    <w:rFonts w:asciiTheme="minorHAnsi" w:hAnsiTheme="minorHAnsi"/>
                    <w:sz w:val="22"/>
                    <w:szCs w:val="22"/>
                  </w:rPr>
                  <w:fldChar w:fldCharType="separate"/>
                </w:r>
                <w:r w:rsidR="00526086" w:rsidRPr="00526086">
                  <w:rPr>
                    <w:rFonts w:asciiTheme="minorHAnsi" w:hAnsiTheme="minorHAnsi"/>
                    <w:sz w:val="22"/>
                    <w:szCs w:val="22"/>
                  </w:rPr>
                  <w:t xml:space="preserve">  </w:t>
                </w:r>
                <w:r w:rsidR="00526086" w:rsidRPr="00526086">
                  <w:rPr>
                    <w:rFonts w:asciiTheme="minorHAnsi" w:hAnsiTheme="minorHAnsi"/>
                    <w:sz w:val="22"/>
                    <w:szCs w:val="22"/>
                  </w:rPr>
                  <w:fldChar w:fldCharType="end"/>
                </w:r>
              </w:p>
            </w:tc>
            <w:tc>
              <w:tcPr>
                <w:tcW w:w="2610" w:type="dxa"/>
                <w:tcBorders>
                  <w:top w:val="single" w:sz="4" w:space="0" w:color="D9D9D9"/>
                  <w:left w:val="single" w:sz="4" w:space="0" w:color="D9D9D9"/>
                  <w:bottom w:val="single" w:sz="4" w:space="0" w:color="D9D9D9"/>
                  <w:right w:val="single" w:sz="4" w:space="0" w:color="D9D9D9"/>
                </w:tcBorders>
                <w:shd w:val="clear" w:color="auto" w:fill="F7F7F7"/>
              </w:tcPr>
              <w:p w14:paraId="4F2BE29D" w14:textId="77777777" w:rsidR="00E85D6F" w:rsidRPr="00526086" w:rsidRDefault="00880CEC" w:rsidP="00621C6F">
                <w:pPr>
                  <w:jc w:val="center"/>
                  <w:rPr>
                    <w:rFonts w:asciiTheme="minorHAnsi" w:hAnsiTheme="minorHAnsi"/>
                    <w:bCs/>
                    <w:color w:val="auto"/>
                    <w:sz w:val="22"/>
                    <w:szCs w:val="22"/>
                  </w:rPr>
                </w:pPr>
                <w:r w:rsidRPr="00526086">
                  <w:rPr>
                    <w:rFonts w:asciiTheme="minorHAnsi" w:hAnsiTheme="minorHAnsi"/>
                    <w:sz w:val="22"/>
                    <w:szCs w:val="22"/>
                  </w:rPr>
                  <w:fldChar w:fldCharType="begin"/>
                </w:r>
                <w:r w:rsidRPr="00526086">
                  <w:rPr>
                    <w:rFonts w:asciiTheme="minorHAnsi" w:hAnsiTheme="minorHAnsi"/>
                    <w:sz w:val="22"/>
                    <w:szCs w:val="22"/>
                  </w:rPr>
                  <w:instrText xml:space="preserve"> IF </w:instrText>
                </w:r>
                <w:r w:rsidRPr="00526086">
                  <w:rPr>
                    <w:rFonts w:asciiTheme="minorHAnsi" w:hAnsiTheme="minorHAnsi"/>
                    <w:noProof/>
                    <w:sz w:val="22"/>
                    <w:szCs w:val="22"/>
                  </w:rPr>
                  <w:instrText>X</w:instrText>
                </w:r>
                <w:r w:rsidRPr="00526086">
                  <w:rPr>
                    <w:rFonts w:asciiTheme="minorHAnsi" w:hAnsiTheme="minorHAnsi"/>
                    <w:sz w:val="22"/>
                    <w:szCs w:val="22"/>
                  </w:rPr>
                  <w:instrText xml:space="preserve"> ="X" </w:instrText>
                </w:r>
                <w:r w:rsidRPr="00526086">
                  <w:rPr>
                    <w:rFonts w:ascii="Segoe UI Symbol" w:hAnsi="Segoe UI Symbol" w:cs="Segoe UI Symbol"/>
                    <w:sz w:val="22"/>
                    <w:szCs w:val="22"/>
                  </w:rPr>
                  <w:instrText>✔</w:instrText>
                </w:r>
                <w:r w:rsidRPr="00526086">
                  <w:rPr>
                    <w:rFonts w:asciiTheme="minorHAnsi" w:hAnsiTheme="minorHAnsi"/>
                    <w:sz w:val="22"/>
                    <w:szCs w:val="22"/>
                  </w:rPr>
                  <w:instrText xml:space="preserve"> "  " </w:instrText>
                </w:r>
                <w:r w:rsidRPr="00526086">
                  <w:rPr>
                    <w:rFonts w:asciiTheme="minorHAnsi" w:hAnsiTheme="minorHAnsi"/>
                    <w:sz w:val="22"/>
                    <w:szCs w:val="22"/>
                  </w:rPr>
                  <w:fldChar w:fldCharType="separate"/>
                </w:r>
                <w:r w:rsidRPr="00526086">
                  <w:rPr>
                    <w:rFonts w:ascii="Segoe UI Symbol" w:hAnsi="Segoe UI Symbol" w:cs="Segoe UI Symbol"/>
                    <w:sz w:val="22"/>
                    <w:szCs w:val="22"/>
                  </w:rPr>
                  <w:t>✔</w:t>
                </w:r>
                <w:r w:rsidRPr="00526086">
                  <w:rPr>
                    <w:rFonts w:asciiTheme="minorHAnsi" w:hAnsiTheme="minorHAnsi"/>
                    <w:sz w:val="22"/>
                    <w:szCs w:val="22"/>
                  </w:rPr>
                  <w:fldChar w:fldCharType="end"/>
                </w:r>
              </w:p>
            </w:tc>
          </w:tr>
          <w:tr w:rsidR="004F0F3F" w14:paraId="18B828C6" w14:textId="77777777" w:rsidTr="000F45DB">
            <w:trPr>
              <w:trHeight w:val="418"/>
            </w:trPr>
            <w:tc>
              <w:tcPr>
                <w:tcW w:w="5129" w:type="dxa"/>
                <w:tcBorders>
                  <w:top w:val="single" w:sz="4" w:space="0" w:color="D9D9D9"/>
                  <w:left w:val="single" w:sz="4" w:space="0" w:color="D9D9D9"/>
                  <w:bottom w:val="single" w:sz="4" w:space="0" w:color="D9D9D9"/>
                  <w:right w:val="single" w:sz="4" w:space="0" w:color="D9D9D9"/>
                </w:tcBorders>
                <w:shd w:val="clear" w:color="auto" w:fill="F7F7F7"/>
              </w:tcPr>
              <w:p w14:paraId="09A6440D" w14:textId="77777777" w:rsidR="00E85D6F" w:rsidRPr="00526086" w:rsidRDefault="00880CEC" w:rsidP="00F81AC2">
                <w:pPr>
                  <w:rPr>
                    <w:rFonts w:asciiTheme="minorHAnsi" w:hAnsiTheme="minorHAnsi"/>
                    <w:bCs/>
                    <w:color w:val="auto"/>
                    <w:sz w:val="22"/>
                    <w:szCs w:val="22"/>
                  </w:rPr>
                </w:pPr>
                <w:r w:rsidRPr="00526086">
                  <w:rPr>
                    <w:rFonts w:asciiTheme="minorHAnsi" w:hAnsiTheme="minorHAnsi"/>
                    <w:noProof/>
                    <w:sz w:val="22"/>
                    <w:szCs w:val="22"/>
                  </w:rPr>
                  <w:t>Change in Technical Method</w:t>
                </w:r>
              </w:p>
            </w:tc>
            <w:tc>
              <w:tcPr>
                <w:tcW w:w="2790" w:type="dxa"/>
                <w:tcBorders>
                  <w:top w:val="single" w:sz="4" w:space="0" w:color="D9D9D9"/>
                  <w:left w:val="single" w:sz="4" w:space="0" w:color="D9D9D9"/>
                  <w:bottom w:val="single" w:sz="4" w:space="0" w:color="D9D9D9"/>
                  <w:right w:val="single" w:sz="4" w:space="0" w:color="D9D9D9"/>
                </w:tcBorders>
                <w:shd w:val="clear" w:color="auto" w:fill="F7F7F7"/>
              </w:tcPr>
              <w:p w14:paraId="4A8D6B6E" w14:textId="77777777" w:rsidR="00E85D6F" w:rsidRPr="00526086" w:rsidRDefault="00880CEC" w:rsidP="004E1D1A">
                <w:pPr>
                  <w:jc w:val="center"/>
                  <w:rPr>
                    <w:rFonts w:asciiTheme="minorHAnsi" w:hAnsiTheme="minorHAnsi"/>
                    <w:bCs/>
                    <w:color w:val="auto"/>
                    <w:sz w:val="22"/>
                    <w:szCs w:val="22"/>
                  </w:rPr>
                </w:pPr>
                <w:r w:rsidRPr="00526086">
                  <w:rPr>
                    <w:rFonts w:asciiTheme="minorHAnsi" w:hAnsiTheme="minorHAnsi"/>
                    <w:sz w:val="22"/>
                    <w:szCs w:val="22"/>
                  </w:rPr>
                  <w:fldChar w:fldCharType="begin"/>
                </w:r>
                <w:r w:rsidRPr="00526086">
                  <w:rPr>
                    <w:rFonts w:asciiTheme="minorHAnsi" w:hAnsiTheme="minorHAnsi"/>
                    <w:sz w:val="22"/>
                    <w:szCs w:val="22"/>
                  </w:rPr>
                  <w:instrText xml:space="preserve"> IF </w:instrText>
                </w:r>
                <w:r w:rsidR="004E1D1A">
                  <w:rPr>
                    <w:rFonts w:asciiTheme="minorHAnsi" w:hAnsiTheme="minorHAnsi"/>
                    <w:sz w:val="22"/>
                    <w:szCs w:val="22"/>
                  </w:rPr>
                  <w:instrText>"" ="NEW</w:instrText>
                </w:r>
                <w:r w:rsidRPr="00526086">
                  <w:rPr>
                    <w:rFonts w:asciiTheme="minorHAnsi" w:hAnsiTheme="minorHAnsi"/>
                    <w:sz w:val="22"/>
                    <w:szCs w:val="22"/>
                  </w:rPr>
                  <w:instrText xml:space="preserve">" </w:instrText>
                </w:r>
                <w:r w:rsidR="00883A3C">
                  <w:rPr>
                    <w:rFonts w:asciiTheme="minorHAnsi" w:hAnsiTheme="minorHAnsi"/>
                    <w:sz w:val="22"/>
                    <w:szCs w:val="22"/>
                  </w:rPr>
                  <w:instrText>"</w:instrText>
                </w:r>
                <w:r>
                  <w:rPr>
                    <w:rFonts w:ascii="Segoe UI Symbol" w:hAnsi="Segoe UI Symbol" w:cs="Segoe UI Symbol"/>
                    <w:sz w:val="22"/>
                    <w:szCs w:val="22"/>
                  </w:rPr>
                  <w:instrText>New</w:instrText>
                </w:r>
                <w:r w:rsidR="00883A3C">
                  <w:rPr>
                    <w:rFonts w:ascii="Segoe UI Symbol" w:hAnsi="Segoe UI Symbol" w:cs="Segoe UI Symbol"/>
                    <w:sz w:val="22"/>
                    <w:szCs w:val="22"/>
                  </w:rPr>
                  <w:instrText>"</w:instrText>
                </w:r>
                <w:r w:rsidRPr="00526086">
                  <w:rPr>
                    <w:rFonts w:asciiTheme="minorHAnsi" w:hAnsiTheme="minorHAnsi"/>
                    <w:sz w:val="22"/>
                    <w:szCs w:val="22"/>
                  </w:rPr>
                  <w:instrText xml:space="preserve"> "  " </w:instrText>
                </w:r>
                <w:r w:rsidRPr="00526086">
                  <w:rPr>
                    <w:rFonts w:asciiTheme="minorHAnsi" w:hAnsiTheme="minorHAnsi"/>
                    <w:sz w:val="22"/>
                    <w:szCs w:val="22"/>
                  </w:rPr>
                  <w:fldChar w:fldCharType="separate"/>
                </w:r>
                <w:r w:rsidRPr="00526086">
                  <w:rPr>
                    <w:rFonts w:asciiTheme="minorHAnsi" w:hAnsiTheme="minorHAnsi"/>
                    <w:sz w:val="22"/>
                    <w:szCs w:val="22"/>
                  </w:rPr>
                  <w:t xml:space="preserve">  </w:t>
                </w:r>
                <w:r w:rsidRPr="00526086">
                  <w:rPr>
                    <w:rFonts w:asciiTheme="minorHAnsi" w:hAnsiTheme="minorHAnsi"/>
                    <w:sz w:val="22"/>
                    <w:szCs w:val="22"/>
                  </w:rPr>
                  <w:fldChar w:fldCharType="end"/>
                </w:r>
                <w:r w:rsidR="00526086" w:rsidRPr="00526086">
                  <w:rPr>
                    <w:rFonts w:asciiTheme="minorHAnsi" w:hAnsiTheme="minorHAnsi"/>
                    <w:sz w:val="22"/>
                    <w:szCs w:val="22"/>
                  </w:rPr>
                  <w:fldChar w:fldCharType="begin"/>
                </w:r>
                <w:r w:rsidR="00526086" w:rsidRPr="00526086">
                  <w:rPr>
                    <w:rFonts w:asciiTheme="minorHAnsi" w:hAnsiTheme="minorHAnsi"/>
                    <w:sz w:val="22"/>
                    <w:szCs w:val="22"/>
                  </w:rPr>
                  <w:instrText xml:space="preserve"> IF </w:instrText>
                </w:r>
                <w:r w:rsidR="004E1D1A">
                  <w:rPr>
                    <w:rFonts w:asciiTheme="minorHAnsi" w:hAnsiTheme="minorHAnsi"/>
                    <w:sz w:val="22"/>
                    <w:szCs w:val="22"/>
                  </w:rPr>
                  <w:instrText>""</w:instrText>
                </w:r>
                <w:r w:rsidR="00526086" w:rsidRPr="00526086">
                  <w:rPr>
                    <w:rFonts w:asciiTheme="minorHAnsi" w:hAnsiTheme="minorHAnsi"/>
                    <w:sz w:val="22"/>
                    <w:szCs w:val="22"/>
                  </w:rPr>
                  <w:instrText xml:space="preserve"> ="X" </w:instrText>
                </w:r>
                <w:r w:rsidR="00526086" w:rsidRPr="00526086">
                  <w:rPr>
                    <w:rFonts w:ascii="Segoe UI Symbol" w:hAnsi="Segoe UI Symbol" w:cs="Segoe UI Symbol"/>
                    <w:sz w:val="22"/>
                    <w:szCs w:val="22"/>
                  </w:rPr>
                  <w:instrText>✔</w:instrText>
                </w:r>
                <w:r w:rsidR="00526086" w:rsidRPr="00526086">
                  <w:rPr>
                    <w:rFonts w:asciiTheme="minorHAnsi" w:hAnsiTheme="minorHAnsi"/>
                    <w:sz w:val="22"/>
                    <w:szCs w:val="22"/>
                  </w:rPr>
                  <w:instrText xml:space="preserve"> "  " </w:instrText>
                </w:r>
                <w:r w:rsidR="00526086" w:rsidRPr="00526086">
                  <w:rPr>
                    <w:rFonts w:asciiTheme="minorHAnsi" w:hAnsiTheme="minorHAnsi"/>
                    <w:sz w:val="22"/>
                    <w:szCs w:val="22"/>
                  </w:rPr>
                  <w:fldChar w:fldCharType="separate"/>
                </w:r>
                <w:r w:rsidR="00526086" w:rsidRPr="00526086">
                  <w:rPr>
                    <w:rFonts w:asciiTheme="minorHAnsi" w:hAnsiTheme="minorHAnsi"/>
                    <w:sz w:val="22"/>
                    <w:szCs w:val="22"/>
                  </w:rPr>
                  <w:t xml:space="preserve">  </w:t>
                </w:r>
                <w:r w:rsidR="00526086" w:rsidRPr="00526086">
                  <w:rPr>
                    <w:rFonts w:asciiTheme="minorHAnsi" w:hAnsiTheme="minorHAnsi"/>
                    <w:sz w:val="22"/>
                    <w:szCs w:val="22"/>
                  </w:rPr>
                  <w:fldChar w:fldCharType="end"/>
                </w:r>
              </w:p>
            </w:tc>
            <w:tc>
              <w:tcPr>
                <w:tcW w:w="2610" w:type="dxa"/>
                <w:tcBorders>
                  <w:top w:val="single" w:sz="4" w:space="0" w:color="D9D9D9"/>
                  <w:left w:val="single" w:sz="4" w:space="0" w:color="D9D9D9"/>
                  <w:bottom w:val="single" w:sz="4" w:space="0" w:color="D9D9D9"/>
                  <w:right w:val="single" w:sz="4" w:space="0" w:color="D9D9D9"/>
                </w:tcBorders>
                <w:shd w:val="clear" w:color="auto" w:fill="F7F7F7"/>
              </w:tcPr>
              <w:p w14:paraId="2E5F4A75" w14:textId="77777777" w:rsidR="00E85D6F" w:rsidRPr="00526086" w:rsidRDefault="00880CEC" w:rsidP="00621C6F">
                <w:pPr>
                  <w:jc w:val="center"/>
                  <w:rPr>
                    <w:rFonts w:asciiTheme="minorHAnsi" w:hAnsiTheme="minorHAnsi"/>
                    <w:bCs/>
                    <w:color w:val="auto"/>
                    <w:sz w:val="22"/>
                    <w:szCs w:val="22"/>
                  </w:rPr>
                </w:pPr>
                <w:r w:rsidRPr="00526086">
                  <w:rPr>
                    <w:rFonts w:asciiTheme="minorHAnsi" w:hAnsiTheme="minorHAnsi"/>
                    <w:sz w:val="22"/>
                    <w:szCs w:val="22"/>
                  </w:rPr>
                  <w:fldChar w:fldCharType="begin"/>
                </w:r>
                <w:r w:rsidRPr="00526086">
                  <w:rPr>
                    <w:rFonts w:asciiTheme="minorHAnsi" w:hAnsiTheme="minorHAnsi"/>
                    <w:sz w:val="22"/>
                    <w:szCs w:val="22"/>
                  </w:rPr>
                  <w:instrText xml:space="preserve"> IF </w:instrText>
                </w:r>
                <w:r w:rsidRPr="00526086">
                  <w:rPr>
                    <w:rFonts w:asciiTheme="minorHAnsi" w:hAnsiTheme="minorHAnsi"/>
                    <w:noProof/>
                    <w:sz w:val="22"/>
                    <w:szCs w:val="22"/>
                  </w:rPr>
                  <w:instrText>X</w:instrText>
                </w:r>
                <w:r w:rsidRPr="00526086">
                  <w:rPr>
                    <w:rFonts w:asciiTheme="minorHAnsi" w:hAnsiTheme="minorHAnsi"/>
                    <w:sz w:val="22"/>
                    <w:szCs w:val="22"/>
                  </w:rPr>
                  <w:instrText xml:space="preserve"> ="X" </w:instrText>
                </w:r>
                <w:r w:rsidRPr="00526086">
                  <w:rPr>
                    <w:rFonts w:ascii="Segoe UI Symbol" w:hAnsi="Segoe UI Symbol" w:cs="Segoe UI Symbol"/>
                    <w:sz w:val="22"/>
                    <w:szCs w:val="22"/>
                  </w:rPr>
                  <w:instrText>✔</w:instrText>
                </w:r>
                <w:r w:rsidRPr="00526086">
                  <w:rPr>
                    <w:rFonts w:asciiTheme="minorHAnsi" w:hAnsiTheme="minorHAnsi"/>
                    <w:sz w:val="22"/>
                    <w:szCs w:val="22"/>
                  </w:rPr>
                  <w:instrText xml:space="preserve"> "  " </w:instrText>
                </w:r>
                <w:r w:rsidRPr="00526086">
                  <w:rPr>
                    <w:rFonts w:asciiTheme="minorHAnsi" w:hAnsiTheme="minorHAnsi"/>
                    <w:sz w:val="22"/>
                    <w:szCs w:val="22"/>
                  </w:rPr>
                  <w:fldChar w:fldCharType="separate"/>
                </w:r>
                <w:r w:rsidRPr="00526086">
                  <w:rPr>
                    <w:rFonts w:ascii="Segoe UI Symbol" w:hAnsi="Segoe UI Symbol" w:cs="Segoe UI Symbol"/>
                    <w:sz w:val="22"/>
                    <w:szCs w:val="22"/>
                  </w:rPr>
                  <w:t>✔</w:t>
                </w:r>
                <w:r w:rsidRPr="00526086">
                  <w:rPr>
                    <w:rFonts w:asciiTheme="minorHAnsi" w:hAnsiTheme="minorHAnsi"/>
                    <w:sz w:val="22"/>
                    <w:szCs w:val="22"/>
                  </w:rPr>
                  <w:fldChar w:fldCharType="end"/>
                </w:r>
              </w:p>
            </w:tc>
          </w:tr>
          <w:tr w:rsidR="004F0F3F" w14:paraId="6210CAB2" w14:textId="77777777" w:rsidTr="000F45DB">
            <w:trPr>
              <w:trHeight w:val="418"/>
            </w:trPr>
            <w:tc>
              <w:tcPr>
                <w:tcW w:w="5129" w:type="dxa"/>
                <w:tcBorders>
                  <w:top w:val="single" w:sz="4" w:space="0" w:color="D9D9D9"/>
                  <w:left w:val="single" w:sz="4" w:space="0" w:color="D9D9D9"/>
                  <w:bottom w:val="single" w:sz="4" w:space="0" w:color="D9D9D9"/>
                  <w:right w:val="single" w:sz="4" w:space="0" w:color="D9D9D9"/>
                </w:tcBorders>
                <w:shd w:val="clear" w:color="auto" w:fill="F7F7F7"/>
              </w:tcPr>
              <w:p w14:paraId="6C00E53B" w14:textId="77777777" w:rsidR="00E85D6F" w:rsidRPr="00526086" w:rsidRDefault="00880CEC" w:rsidP="00F81AC2">
                <w:pPr>
                  <w:rPr>
                    <w:rFonts w:asciiTheme="minorHAnsi" w:hAnsiTheme="minorHAnsi"/>
                    <w:bCs/>
                    <w:color w:val="auto"/>
                    <w:sz w:val="22"/>
                    <w:szCs w:val="22"/>
                  </w:rPr>
                </w:pPr>
                <w:r w:rsidRPr="00526086">
                  <w:rPr>
                    <w:rFonts w:asciiTheme="minorHAnsi" w:hAnsiTheme="minorHAnsi"/>
                    <w:noProof/>
                    <w:sz w:val="22"/>
                    <w:szCs w:val="22"/>
                  </w:rPr>
                  <w:t>Change in Fiduciary</w:t>
                </w:r>
              </w:p>
            </w:tc>
            <w:tc>
              <w:tcPr>
                <w:tcW w:w="2790" w:type="dxa"/>
                <w:tcBorders>
                  <w:top w:val="single" w:sz="4" w:space="0" w:color="D9D9D9"/>
                  <w:left w:val="single" w:sz="4" w:space="0" w:color="D9D9D9"/>
                  <w:bottom w:val="single" w:sz="4" w:space="0" w:color="D9D9D9"/>
                  <w:right w:val="single" w:sz="4" w:space="0" w:color="D9D9D9"/>
                </w:tcBorders>
                <w:shd w:val="clear" w:color="auto" w:fill="F7F7F7"/>
              </w:tcPr>
              <w:p w14:paraId="7966F633" w14:textId="77777777" w:rsidR="00E85D6F" w:rsidRPr="00526086" w:rsidRDefault="00880CEC" w:rsidP="004E1D1A">
                <w:pPr>
                  <w:jc w:val="center"/>
                  <w:rPr>
                    <w:rFonts w:asciiTheme="minorHAnsi" w:hAnsiTheme="minorHAnsi"/>
                    <w:bCs/>
                    <w:color w:val="auto"/>
                    <w:sz w:val="22"/>
                    <w:szCs w:val="22"/>
                  </w:rPr>
                </w:pPr>
                <w:r w:rsidRPr="00526086">
                  <w:rPr>
                    <w:rFonts w:asciiTheme="minorHAnsi" w:hAnsiTheme="minorHAnsi"/>
                    <w:sz w:val="22"/>
                    <w:szCs w:val="22"/>
                  </w:rPr>
                  <w:fldChar w:fldCharType="begin"/>
                </w:r>
                <w:r w:rsidRPr="00526086">
                  <w:rPr>
                    <w:rFonts w:asciiTheme="minorHAnsi" w:hAnsiTheme="minorHAnsi"/>
                    <w:sz w:val="22"/>
                    <w:szCs w:val="22"/>
                  </w:rPr>
                  <w:instrText xml:space="preserve"> IF </w:instrText>
                </w:r>
                <w:r w:rsidR="004E1D1A">
                  <w:rPr>
                    <w:rFonts w:asciiTheme="minorHAnsi" w:hAnsiTheme="minorHAnsi"/>
                    <w:sz w:val="22"/>
                    <w:szCs w:val="22"/>
                  </w:rPr>
                  <w:instrText>"" ="NEW</w:instrText>
                </w:r>
                <w:r w:rsidRPr="00526086">
                  <w:rPr>
                    <w:rFonts w:asciiTheme="minorHAnsi" w:hAnsiTheme="minorHAnsi"/>
                    <w:sz w:val="22"/>
                    <w:szCs w:val="22"/>
                  </w:rPr>
                  <w:instrText xml:space="preserve">" </w:instrText>
                </w:r>
                <w:r w:rsidR="00883A3C">
                  <w:rPr>
                    <w:rFonts w:asciiTheme="minorHAnsi" w:hAnsiTheme="minorHAnsi"/>
                    <w:sz w:val="22"/>
                    <w:szCs w:val="22"/>
                  </w:rPr>
                  <w:instrText>"</w:instrText>
                </w:r>
                <w:r>
                  <w:rPr>
                    <w:rFonts w:ascii="Segoe UI Symbol" w:hAnsi="Segoe UI Symbol" w:cs="Segoe UI Symbol"/>
                    <w:sz w:val="22"/>
                    <w:szCs w:val="22"/>
                  </w:rPr>
                  <w:instrText>New</w:instrText>
                </w:r>
                <w:r w:rsidR="00883A3C">
                  <w:rPr>
                    <w:rFonts w:ascii="Segoe UI Symbol" w:hAnsi="Segoe UI Symbol" w:cs="Segoe UI Symbol"/>
                    <w:sz w:val="22"/>
                    <w:szCs w:val="22"/>
                  </w:rPr>
                  <w:instrText>"</w:instrText>
                </w:r>
                <w:r w:rsidRPr="00526086">
                  <w:rPr>
                    <w:rFonts w:asciiTheme="minorHAnsi" w:hAnsiTheme="minorHAnsi"/>
                    <w:sz w:val="22"/>
                    <w:szCs w:val="22"/>
                  </w:rPr>
                  <w:instrText xml:space="preserve"> "  " </w:instrText>
                </w:r>
                <w:r w:rsidRPr="00526086">
                  <w:rPr>
                    <w:rFonts w:asciiTheme="minorHAnsi" w:hAnsiTheme="minorHAnsi"/>
                    <w:sz w:val="22"/>
                    <w:szCs w:val="22"/>
                  </w:rPr>
                  <w:fldChar w:fldCharType="separate"/>
                </w:r>
                <w:r w:rsidRPr="00526086">
                  <w:rPr>
                    <w:rFonts w:asciiTheme="minorHAnsi" w:hAnsiTheme="minorHAnsi"/>
                    <w:sz w:val="22"/>
                    <w:szCs w:val="22"/>
                  </w:rPr>
                  <w:t xml:space="preserve">  </w:t>
                </w:r>
                <w:r w:rsidRPr="00526086">
                  <w:rPr>
                    <w:rFonts w:asciiTheme="minorHAnsi" w:hAnsiTheme="minorHAnsi"/>
                    <w:sz w:val="22"/>
                    <w:szCs w:val="22"/>
                  </w:rPr>
                  <w:fldChar w:fldCharType="end"/>
                </w:r>
                <w:r w:rsidR="00526086" w:rsidRPr="00526086">
                  <w:rPr>
                    <w:rFonts w:asciiTheme="minorHAnsi" w:hAnsiTheme="minorHAnsi"/>
                    <w:sz w:val="22"/>
                    <w:szCs w:val="22"/>
                  </w:rPr>
                  <w:fldChar w:fldCharType="begin"/>
                </w:r>
                <w:r w:rsidR="00526086" w:rsidRPr="00526086">
                  <w:rPr>
                    <w:rFonts w:asciiTheme="minorHAnsi" w:hAnsiTheme="minorHAnsi"/>
                    <w:sz w:val="22"/>
                    <w:szCs w:val="22"/>
                  </w:rPr>
                  <w:instrText xml:space="preserve"> IF </w:instrText>
                </w:r>
                <w:r w:rsidR="004E1D1A">
                  <w:rPr>
                    <w:rFonts w:asciiTheme="minorHAnsi" w:hAnsiTheme="minorHAnsi"/>
                    <w:sz w:val="22"/>
                    <w:szCs w:val="22"/>
                  </w:rPr>
                  <w:instrText>""</w:instrText>
                </w:r>
                <w:r w:rsidR="00526086" w:rsidRPr="00526086">
                  <w:rPr>
                    <w:rFonts w:asciiTheme="minorHAnsi" w:hAnsiTheme="minorHAnsi"/>
                    <w:sz w:val="22"/>
                    <w:szCs w:val="22"/>
                  </w:rPr>
                  <w:instrText xml:space="preserve"> ="X" </w:instrText>
                </w:r>
                <w:r w:rsidR="00526086" w:rsidRPr="00526086">
                  <w:rPr>
                    <w:rFonts w:ascii="Segoe UI Symbol" w:hAnsi="Segoe UI Symbol" w:cs="Segoe UI Symbol"/>
                    <w:sz w:val="22"/>
                    <w:szCs w:val="22"/>
                  </w:rPr>
                  <w:instrText>✔</w:instrText>
                </w:r>
                <w:r w:rsidR="00526086" w:rsidRPr="00526086">
                  <w:rPr>
                    <w:rFonts w:asciiTheme="minorHAnsi" w:hAnsiTheme="minorHAnsi"/>
                    <w:sz w:val="22"/>
                    <w:szCs w:val="22"/>
                  </w:rPr>
                  <w:instrText xml:space="preserve"> "  " </w:instrText>
                </w:r>
                <w:r w:rsidR="00526086" w:rsidRPr="00526086">
                  <w:rPr>
                    <w:rFonts w:asciiTheme="minorHAnsi" w:hAnsiTheme="minorHAnsi"/>
                    <w:sz w:val="22"/>
                    <w:szCs w:val="22"/>
                  </w:rPr>
                  <w:fldChar w:fldCharType="separate"/>
                </w:r>
                <w:r w:rsidR="00526086" w:rsidRPr="00526086">
                  <w:rPr>
                    <w:rFonts w:asciiTheme="minorHAnsi" w:hAnsiTheme="minorHAnsi"/>
                    <w:sz w:val="22"/>
                    <w:szCs w:val="22"/>
                  </w:rPr>
                  <w:t xml:space="preserve">  </w:t>
                </w:r>
                <w:r w:rsidR="00526086" w:rsidRPr="00526086">
                  <w:rPr>
                    <w:rFonts w:asciiTheme="minorHAnsi" w:hAnsiTheme="minorHAnsi"/>
                    <w:sz w:val="22"/>
                    <w:szCs w:val="22"/>
                  </w:rPr>
                  <w:fldChar w:fldCharType="end"/>
                </w:r>
              </w:p>
            </w:tc>
            <w:tc>
              <w:tcPr>
                <w:tcW w:w="2610" w:type="dxa"/>
                <w:tcBorders>
                  <w:top w:val="single" w:sz="4" w:space="0" w:color="D9D9D9"/>
                  <w:left w:val="single" w:sz="4" w:space="0" w:color="D9D9D9"/>
                  <w:bottom w:val="single" w:sz="4" w:space="0" w:color="D9D9D9"/>
                  <w:right w:val="single" w:sz="4" w:space="0" w:color="D9D9D9"/>
                </w:tcBorders>
                <w:shd w:val="clear" w:color="auto" w:fill="F7F7F7"/>
              </w:tcPr>
              <w:p w14:paraId="7E0006C6" w14:textId="77777777" w:rsidR="00E85D6F" w:rsidRPr="00526086" w:rsidRDefault="00880CEC" w:rsidP="00621C6F">
                <w:pPr>
                  <w:jc w:val="center"/>
                  <w:rPr>
                    <w:rFonts w:asciiTheme="minorHAnsi" w:hAnsiTheme="minorHAnsi"/>
                    <w:bCs/>
                    <w:color w:val="auto"/>
                    <w:sz w:val="22"/>
                    <w:szCs w:val="22"/>
                  </w:rPr>
                </w:pPr>
                <w:r w:rsidRPr="00526086">
                  <w:rPr>
                    <w:rFonts w:asciiTheme="minorHAnsi" w:hAnsiTheme="minorHAnsi"/>
                    <w:sz w:val="22"/>
                    <w:szCs w:val="22"/>
                  </w:rPr>
                  <w:fldChar w:fldCharType="begin"/>
                </w:r>
                <w:r w:rsidRPr="00526086">
                  <w:rPr>
                    <w:rFonts w:asciiTheme="minorHAnsi" w:hAnsiTheme="minorHAnsi"/>
                    <w:sz w:val="22"/>
                    <w:szCs w:val="22"/>
                  </w:rPr>
                  <w:instrText xml:space="preserve"> IF </w:instrText>
                </w:r>
                <w:r w:rsidRPr="00526086">
                  <w:rPr>
                    <w:rFonts w:asciiTheme="minorHAnsi" w:hAnsiTheme="minorHAnsi"/>
                    <w:noProof/>
                    <w:sz w:val="22"/>
                    <w:szCs w:val="22"/>
                  </w:rPr>
                  <w:instrText>X</w:instrText>
                </w:r>
                <w:r w:rsidRPr="00526086">
                  <w:rPr>
                    <w:rFonts w:asciiTheme="minorHAnsi" w:hAnsiTheme="minorHAnsi"/>
                    <w:sz w:val="22"/>
                    <w:szCs w:val="22"/>
                  </w:rPr>
                  <w:instrText xml:space="preserve"> ="X" </w:instrText>
                </w:r>
                <w:r w:rsidRPr="00526086">
                  <w:rPr>
                    <w:rFonts w:ascii="Segoe UI Symbol" w:hAnsi="Segoe UI Symbol" w:cs="Segoe UI Symbol"/>
                    <w:sz w:val="22"/>
                    <w:szCs w:val="22"/>
                  </w:rPr>
                  <w:instrText>✔</w:instrText>
                </w:r>
                <w:r w:rsidRPr="00526086">
                  <w:rPr>
                    <w:rFonts w:asciiTheme="minorHAnsi" w:hAnsiTheme="minorHAnsi"/>
                    <w:sz w:val="22"/>
                    <w:szCs w:val="22"/>
                  </w:rPr>
                  <w:instrText xml:space="preserve"> "  " </w:instrText>
                </w:r>
                <w:r w:rsidRPr="00526086">
                  <w:rPr>
                    <w:rFonts w:asciiTheme="minorHAnsi" w:hAnsiTheme="minorHAnsi"/>
                    <w:sz w:val="22"/>
                    <w:szCs w:val="22"/>
                  </w:rPr>
                  <w:fldChar w:fldCharType="separate"/>
                </w:r>
                <w:r w:rsidRPr="00526086">
                  <w:rPr>
                    <w:rFonts w:ascii="Segoe UI Symbol" w:hAnsi="Segoe UI Symbol" w:cs="Segoe UI Symbol"/>
                    <w:sz w:val="22"/>
                    <w:szCs w:val="22"/>
                  </w:rPr>
                  <w:t>✔</w:t>
                </w:r>
                <w:r w:rsidRPr="00526086">
                  <w:rPr>
                    <w:rFonts w:asciiTheme="minorHAnsi" w:hAnsiTheme="minorHAnsi"/>
                    <w:sz w:val="22"/>
                    <w:szCs w:val="22"/>
                  </w:rPr>
                  <w:fldChar w:fldCharType="end"/>
                </w:r>
              </w:p>
            </w:tc>
          </w:tr>
          <w:tr w:rsidR="004F0F3F" w14:paraId="2AF914B9" w14:textId="77777777" w:rsidTr="000F45DB">
            <w:trPr>
              <w:trHeight w:val="418"/>
            </w:trPr>
            <w:tc>
              <w:tcPr>
                <w:tcW w:w="5129" w:type="dxa"/>
                <w:tcBorders>
                  <w:top w:val="single" w:sz="4" w:space="0" w:color="D9D9D9"/>
                  <w:left w:val="single" w:sz="4" w:space="0" w:color="D9D9D9"/>
                  <w:bottom w:val="single" w:sz="4" w:space="0" w:color="D9D9D9"/>
                  <w:right w:val="single" w:sz="4" w:space="0" w:color="D9D9D9"/>
                </w:tcBorders>
                <w:shd w:val="clear" w:color="auto" w:fill="F7F7F7"/>
              </w:tcPr>
              <w:p w14:paraId="393CF6BD" w14:textId="77777777" w:rsidR="00E85D6F" w:rsidRPr="00526086" w:rsidRDefault="00880CEC" w:rsidP="00F81AC2">
                <w:pPr>
                  <w:rPr>
                    <w:rFonts w:asciiTheme="minorHAnsi" w:hAnsiTheme="minorHAnsi"/>
                    <w:bCs/>
                    <w:color w:val="auto"/>
                    <w:sz w:val="22"/>
                    <w:szCs w:val="22"/>
                  </w:rPr>
                </w:pPr>
                <w:r w:rsidRPr="00526086">
                  <w:rPr>
                    <w:rFonts w:asciiTheme="minorHAnsi" w:hAnsiTheme="minorHAnsi"/>
                    <w:noProof/>
                    <w:sz w:val="22"/>
                    <w:szCs w:val="22"/>
                  </w:rPr>
                  <w:t>Change in Environmental and Social Aspects</w:t>
                </w:r>
              </w:p>
            </w:tc>
            <w:tc>
              <w:tcPr>
                <w:tcW w:w="2790" w:type="dxa"/>
                <w:tcBorders>
                  <w:top w:val="single" w:sz="4" w:space="0" w:color="D9D9D9"/>
                  <w:left w:val="single" w:sz="4" w:space="0" w:color="D9D9D9"/>
                  <w:bottom w:val="single" w:sz="4" w:space="0" w:color="D9D9D9"/>
                  <w:right w:val="single" w:sz="4" w:space="0" w:color="D9D9D9"/>
                </w:tcBorders>
                <w:shd w:val="clear" w:color="auto" w:fill="F7F7F7"/>
              </w:tcPr>
              <w:p w14:paraId="72D295F6" w14:textId="77777777" w:rsidR="00E85D6F" w:rsidRPr="00526086" w:rsidRDefault="00880CEC" w:rsidP="004E1D1A">
                <w:pPr>
                  <w:jc w:val="center"/>
                  <w:rPr>
                    <w:rFonts w:asciiTheme="minorHAnsi" w:hAnsiTheme="minorHAnsi"/>
                    <w:bCs/>
                    <w:color w:val="auto"/>
                    <w:sz w:val="22"/>
                    <w:szCs w:val="22"/>
                  </w:rPr>
                </w:pPr>
                <w:r w:rsidRPr="00526086">
                  <w:rPr>
                    <w:rFonts w:asciiTheme="minorHAnsi" w:hAnsiTheme="minorHAnsi"/>
                    <w:sz w:val="22"/>
                    <w:szCs w:val="22"/>
                  </w:rPr>
                  <w:fldChar w:fldCharType="begin"/>
                </w:r>
                <w:r w:rsidRPr="00526086">
                  <w:rPr>
                    <w:rFonts w:asciiTheme="minorHAnsi" w:hAnsiTheme="minorHAnsi"/>
                    <w:sz w:val="22"/>
                    <w:szCs w:val="22"/>
                  </w:rPr>
                  <w:instrText xml:space="preserve"> IF </w:instrText>
                </w:r>
                <w:r w:rsidR="004E1D1A">
                  <w:rPr>
                    <w:rFonts w:asciiTheme="minorHAnsi" w:hAnsiTheme="minorHAnsi"/>
                    <w:sz w:val="22"/>
                    <w:szCs w:val="22"/>
                  </w:rPr>
                  <w:instrText>"" ="NEW</w:instrText>
                </w:r>
                <w:r w:rsidRPr="00526086">
                  <w:rPr>
                    <w:rFonts w:asciiTheme="minorHAnsi" w:hAnsiTheme="minorHAnsi"/>
                    <w:sz w:val="22"/>
                    <w:szCs w:val="22"/>
                  </w:rPr>
                  <w:instrText xml:space="preserve">" </w:instrText>
                </w:r>
                <w:r w:rsidR="00883A3C">
                  <w:rPr>
                    <w:rFonts w:asciiTheme="minorHAnsi" w:hAnsiTheme="minorHAnsi"/>
                    <w:sz w:val="22"/>
                    <w:szCs w:val="22"/>
                  </w:rPr>
                  <w:instrText>"</w:instrText>
                </w:r>
                <w:r>
                  <w:rPr>
                    <w:rFonts w:ascii="Segoe UI Symbol" w:hAnsi="Segoe UI Symbol" w:cs="Segoe UI Symbol"/>
                    <w:sz w:val="22"/>
                    <w:szCs w:val="22"/>
                  </w:rPr>
                  <w:instrText>New</w:instrText>
                </w:r>
                <w:r w:rsidR="00883A3C">
                  <w:rPr>
                    <w:rFonts w:ascii="Segoe UI Symbol" w:hAnsi="Segoe UI Symbol" w:cs="Segoe UI Symbol"/>
                    <w:sz w:val="22"/>
                    <w:szCs w:val="22"/>
                  </w:rPr>
                  <w:instrText>"</w:instrText>
                </w:r>
                <w:r w:rsidRPr="00526086">
                  <w:rPr>
                    <w:rFonts w:asciiTheme="minorHAnsi" w:hAnsiTheme="minorHAnsi"/>
                    <w:sz w:val="22"/>
                    <w:szCs w:val="22"/>
                  </w:rPr>
                  <w:instrText xml:space="preserve"> "  " </w:instrText>
                </w:r>
                <w:r w:rsidRPr="00526086">
                  <w:rPr>
                    <w:rFonts w:asciiTheme="minorHAnsi" w:hAnsiTheme="minorHAnsi"/>
                    <w:sz w:val="22"/>
                    <w:szCs w:val="22"/>
                  </w:rPr>
                  <w:fldChar w:fldCharType="separate"/>
                </w:r>
                <w:r w:rsidRPr="00526086">
                  <w:rPr>
                    <w:rFonts w:asciiTheme="minorHAnsi" w:hAnsiTheme="minorHAnsi"/>
                    <w:sz w:val="22"/>
                    <w:szCs w:val="22"/>
                  </w:rPr>
                  <w:t xml:space="preserve">  </w:t>
                </w:r>
                <w:r w:rsidRPr="00526086">
                  <w:rPr>
                    <w:rFonts w:asciiTheme="minorHAnsi" w:hAnsiTheme="minorHAnsi"/>
                    <w:sz w:val="22"/>
                    <w:szCs w:val="22"/>
                  </w:rPr>
                  <w:fldChar w:fldCharType="end"/>
                </w:r>
                <w:r w:rsidR="00526086" w:rsidRPr="00526086">
                  <w:rPr>
                    <w:rFonts w:asciiTheme="minorHAnsi" w:hAnsiTheme="minorHAnsi"/>
                    <w:sz w:val="22"/>
                    <w:szCs w:val="22"/>
                  </w:rPr>
                  <w:fldChar w:fldCharType="begin"/>
                </w:r>
                <w:r w:rsidR="00526086" w:rsidRPr="00526086">
                  <w:rPr>
                    <w:rFonts w:asciiTheme="minorHAnsi" w:hAnsiTheme="minorHAnsi"/>
                    <w:sz w:val="22"/>
                    <w:szCs w:val="22"/>
                  </w:rPr>
                  <w:instrText xml:space="preserve"> IF </w:instrText>
                </w:r>
                <w:r w:rsidR="004E1D1A">
                  <w:rPr>
                    <w:rFonts w:asciiTheme="minorHAnsi" w:hAnsiTheme="minorHAnsi"/>
                    <w:sz w:val="22"/>
                    <w:szCs w:val="22"/>
                  </w:rPr>
                  <w:instrText>""</w:instrText>
                </w:r>
                <w:r w:rsidR="00526086" w:rsidRPr="00526086">
                  <w:rPr>
                    <w:rFonts w:asciiTheme="minorHAnsi" w:hAnsiTheme="minorHAnsi"/>
                    <w:sz w:val="22"/>
                    <w:szCs w:val="22"/>
                  </w:rPr>
                  <w:instrText xml:space="preserve"> ="X" </w:instrText>
                </w:r>
                <w:r w:rsidR="00526086" w:rsidRPr="00526086">
                  <w:rPr>
                    <w:rFonts w:ascii="Segoe UI Symbol" w:hAnsi="Segoe UI Symbol" w:cs="Segoe UI Symbol"/>
                    <w:sz w:val="22"/>
                    <w:szCs w:val="22"/>
                  </w:rPr>
                  <w:instrText>✔</w:instrText>
                </w:r>
                <w:r w:rsidR="00526086" w:rsidRPr="00526086">
                  <w:rPr>
                    <w:rFonts w:asciiTheme="minorHAnsi" w:hAnsiTheme="minorHAnsi"/>
                    <w:sz w:val="22"/>
                    <w:szCs w:val="22"/>
                  </w:rPr>
                  <w:instrText xml:space="preserve"> "  " </w:instrText>
                </w:r>
                <w:r w:rsidR="00526086" w:rsidRPr="00526086">
                  <w:rPr>
                    <w:rFonts w:asciiTheme="minorHAnsi" w:hAnsiTheme="minorHAnsi"/>
                    <w:sz w:val="22"/>
                    <w:szCs w:val="22"/>
                  </w:rPr>
                  <w:fldChar w:fldCharType="separate"/>
                </w:r>
                <w:r w:rsidR="00526086" w:rsidRPr="00526086">
                  <w:rPr>
                    <w:rFonts w:asciiTheme="minorHAnsi" w:hAnsiTheme="minorHAnsi"/>
                    <w:sz w:val="22"/>
                    <w:szCs w:val="22"/>
                  </w:rPr>
                  <w:t xml:space="preserve">  </w:t>
                </w:r>
                <w:r w:rsidR="00526086" w:rsidRPr="00526086">
                  <w:rPr>
                    <w:rFonts w:asciiTheme="minorHAnsi" w:hAnsiTheme="minorHAnsi"/>
                    <w:sz w:val="22"/>
                    <w:szCs w:val="22"/>
                  </w:rPr>
                  <w:fldChar w:fldCharType="end"/>
                </w:r>
              </w:p>
            </w:tc>
            <w:tc>
              <w:tcPr>
                <w:tcW w:w="2610" w:type="dxa"/>
                <w:tcBorders>
                  <w:top w:val="single" w:sz="4" w:space="0" w:color="D9D9D9"/>
                  <w:left w:val="single" w:sz="4" w:space="0" w:color="D9D9D9"/>
                  <w:bottom w:val="single" w:sz="4" w:space="0" w:color="D9D9D9"/>
                  <w:right w:val="single" w:sz="4" w:space="0" w:color="D9D9D9"/>
                </w:tcBorders>
                <w:shd w:val="clear" w:color="auto" w:fill="F7F7F7"/>
              </w:tcPr>
              <w:p w14:paraId="13CFEE63" w14:textId="77777777" w:rsidR="00E85D6F" w:rsidRPr="00526086" w:rsidRDefault="00880CEC" w:rsidP="00621C6F">
                <w:pPr>
                  <w:jc w:val="center"/>
                  <w:rPr>
                    <w:rFonts w:asciiTheme="minorHAnsi" w:hAnsiTheme="minorHAnsi"/>
                    <w:bCs/>
                    <w:color w:val="auto"/>
                    <w:sz w:val="22"/>
                    <w:szCs w:val="22"/>
                  </w:rPr>
                </w:pPr>
                <w:r w:rsidRPr="00526086">
                  <w:rPr>
                    <w:rFonts w:asciiTheme="minorHAnsi" w:hAnsiTheme="minorHAnsi"/>
                    <w:sz w:val="22"/>
                    <w:szCs w:val="22"/>
                  </w:rPr>
                  <w:fldChar w:fldCharType="begin"/>
                </w:r>
                <w:r w:rsidRPr="00526086">
                  <w:rPr>
                    <w:rFonts w:asciiTheme="minorHAnsi" w:hAnsiTheme="minorHAnsi"/>
                    <w:sz w:val="22"/>
                    <w:szCs w:val="22"/>
                  </w:rPr>
                  <w:instrText xml:space="preserve"> IF </w:instrText>
                </w:r>
                <w:r w:rsidRPr="00526086">
                  <w:rPr>
                    <w:rFonts w:asciiTheme="minorHAnsi" w:hAnsiTheme="minorHAnsi"/>
                    <w:noProof/>
                    <w:sz w:val="22"/>
                    <w:szCs w:val="22"/>
                  </w:rPr>
                  <w:instrText>X</w:instrText>
                </w:r>
                <w:r w:rsidRPr="00526086">
                  <w:rPr>
                    <w:rFonts w:asciiTheme="minorHAnsi" w:hAnsiTheme="minorHAnsi"/>
                    <w:sz w:val="22"/>
                    <w:szCs w:val="22"/>
                  </w:rPr>
                  <w:instrText xml:space="preserve"> ="X" </w:instrText>
                </w:r>
                <w:r w:rsidRPr="00526086">
                  <w:rPr>
                    <w:rFonts w:ascii="Segoe UI Symbol" w:hAnsi="Segoe UI Symbol" w:cs="Segoe UI Symbol"/>
                    <w:sz w:val="22"/>
                    <w:szCs w:val="22"/>
                  </w:rPr>
                  <w:instrText>✔</w:instrText>
                </w:r>
                <w:r w:rsidRPr="00526086">
                  <w:rPr>
                    <w:rFonts w:asciiTheme="minorHAnsi" w:hAnsiTheme="minorHAnsi"/>
                    <w:sz w:val="22"/>
                    <w:szCs w:val="22"/>
                  </w:rPr>
                  <w:instrText xml:space="preserve"> "  " </w:instrText>
                </w:r>
                <w:r w:rsidRPr="00526086">
                  <w:rPr>
                    <w:rFonts w:asciiTheme="minorHAnsi" w:hAnsiTheme="minorHAnsi"/>
                    <w:sz w:val="22"/>
                    <w:szCs w:val="22"/>
                  </w:rPr>
                  <w:fldChar w:fldCharType="separate"/>
                </w:r>
                <w:r w:rsidRPr="00526086">
                  <w:rPr>
                    <w:rFonts w:ascii="Segoe UI Symbol" w:hAnsi="Segoe UI Symbol" w:cs="Segoe UI Symbol"/>
                    <w:sz w:val="22"/>
                    <w:szCs w:val="22"/>
                  </w:rPr>
                  <w:t>✔</w:t>
                </w:r>
                <w:r w:rsidRPr="00526086">
                  <w:rPr>
                    <w:rFonts w:asciiTheme="minorHAnsi" w:hAnsiTheme="minorHAnsi"/>
                    <w:sz w:val="22"/>
                    <w:szCs w:val="22"/>
                  </w:rPr>
                  <w:fldChar w:fldCharType="end"/>
                </w:r>
              </w:p>
            </w:tc>
          </w:tr>
          <w:tr w:rsidR="004F0F3F" w14:paraId="7D723DBE" w14:textId="77777777" w:rsidTr="000F45DB">
            <w:trPr>
              <w:trHeight w:val="418"/>
            </w:trPr>
            <w:tc>
              <w:tcPr>
                <w:tcW w:w="5129" w:type="dxa"/>
                <w:tcBorders>
                  <w:top w:val="single" w:sz="4" w:space="0" w:color="D9D9D9"/>
                  <w:left w:val="single" w:sz="4" w:space="0" w:color="D9D9D9"/>
                  <w:bottom w:val="single" w:sz="4" w:space="0" w:color="D9D9D9"/>
                  <w:right w:val="single" w:sz="4" w:space="0" w:color="D9D9D9"/>
                </w:tcBorders>
                <w:shd w:val="clear" w:color="auto" w:fill="F7F7F7"/>
              </w:tcPr>
              <w:p w14:paraId="309CBEFF" w14:textId="77777777" w:rsidR="00E85D6F" w:rsidRPr="00526086" w:rsidRDefault="00880CEC" w:rsidP="00F81AC2">
                <w:pPr>
                  <w:rPr>
                    <w:rFonts w:asciiTheme="minorHAnsi" w:hAnsiTheme="minorHAnsi"/>
                    <w:bCs/>
                    <w:color w:val="auto"/>
                    <w:sz w:val="22"/>
                    <w:szCs w:val="22"/>
                  </w:rPr>
                </w:pPr>
                <w:r w:rsidRPr="00526086">
                  <w:rPr>
                    <w:rFonts w:asciiTheme="minorHAnsi" w:hAnsiTheme="minorHAnsi"/>
                    <w:noProof/>
                    <w:sz w:val="22"/>
                    <w:szCs w:val="22"/>
                  </w:rPr>
                  <w:t>Other Change(s)</w:t>
                </w:r>
              </w:p>
            </w:tc>
            <w:tc>
              <w:tcPr>
                <w:tcW w:w="2790" w:type="dxa"/>
                <w:tcBorders>
                  <w:top w:val="single" w:sz="4" w:space="0" w:color="D9D9D9"/>
                  <w:left w:val="single" w:sz="4" w:space="0" w:color="D9D9D9"/>
                  <w:bottom w:val="single" w:sz="4" w:space="0" w:color="D9D9D9"/>
                  <w:right w:val="single" w:sz="4" w:space="0" w:color="D9D9D9"/>
                </w:tcBorders>
                <w:shd w:val="clear" w:color="auto" w:fill="F7F7F7"/>
              </w:tcPr>
              <w:p w14:paraId="0858028C" w14:textId="77777777" w:rsidR="00E85D6F" w:rsidRPr="00526086" w:rsidRDefault="00880CEC" w:rsidP="004E1D1A">
                <w:pPr>
                  <w:jc w:val="center"/>
                  <w:rPr>
                    <w:rFonts w:asciiTheme="minorHAnsi" w:hAnsiTheme="minorHAnsi"/>
                    <w:bCs/>
                    <w:color w:val="auto"/>
                    <w:sz w:val="22"/>
                    <w:szCs w:val="22"/>
                  </w:rPr>
                </w:pPr>
                <w:r w:rsidRPr="00526086">
                  <w:rPr>
                    <w:rFonts w:asciiTheme="minorHAnsi" w:hAnsiTheme="minorHAnsi"/>
                    <w:sz w:val="22"/>
                    <w:szCs w:val="22"/>
                  </w:rPr>
                  <w:fldChar w:fldCharType="begin"/>
                </w:r>
                <w:r w:rsidRPr="00526086">
                  <w:rPr>
                    <w:rFonts w:asciiTheme="minorHAnsi" w:hAnsiTheme="minorHAnsi"/>
                    <w:sz w:val="22"/>
                    <w:szCs w:val="22"/>
                  </w:rPr>
                  <w:instrText xml:space="preserve"> IF </w:instrText>
                </w:r>
                <w:r w:rsidR="004E1D1A">
                  <w:rPr>
                    <w:rFonts w:asciiTheme="minorHAnsi" w:hAnsiTheme="minorHAnsi"/>
                    <w:sz w:val="22"/>
                    <w:szCs w:val="22"/>
                  </w:rPr>
                  <w:instrText>"" ="NEW</w:instrText>
                </w:r>
                <w:r w:rsidRPr="00526086">
                  <w:rPr>
                    <w:rFonts w:asciiTheme="minorHAnsi" w:hAnsiTheme="minorHAnsi"/>
                    <w:sz w:val="22"/>
                    <w:szCs w:val="22"/>
                  </w:rPr>
                  <w:instrText xml:space="preserve">" </w:instrText>
                </w:r>
                <w:r w:rsidR="00883A3C">
                  <w:rPr>
                    <w:rFonts w:asciiTheme="minorHAnsi" w:hAnsiTheme="minorHAnsi"/>
                    <w:sz w:val="22"/>
                    <w:szCs w:val="22"/>
                  </w:rPr>
                  <w:instrText>"</w:instrText>
                </w:r>
                <w:r>
                  <w:rPr>
                    <w:rFonts w:ascii="Segoe UI Symbol" w:hAnsi="Segoe UI Symbol" w:cs="Segoe UI Symbol"/>
                    <w:sz w:val="22"/>
                    <w:szCs w:val="22"/>
                  </w:rPr>
                  <w:instrText>New</w:instrText>
                </w:r>
                <w:r w:rsidR="00883A3C">
                  <w:rPr>
                    <w:rFonts w:ascii="Segoe UI Symbol" w:hAnsi="Segoe UI Symbol" w:cs="Segoe UI Symbol"/>
                    <w:sz w:val="22"/>
                    <w:szCs w:val="22"/>
                  </w:rPr>
                  <w:instrText>"</w:instrText>
                </w:r>
                <w:r w:rsidRPr="00526086">
                  <w:rPr>
                    <w:rFonts w:asciiTheme="minorHAnsi" w:hAnsiTheme="minorHAnsi"/>
                    <w:sz w:val="22"/>
                    <w:szCs w:val="22"/>
                  </w:rPr>
                  <w:instrText xml:space="preserve"> "  " </w:instrText>
                </w:r>
                <w:r w:rsidRPr="00526086">
                  <w:rPr>
                    <w:rFonts w:asciiTheme="minorHAnsi" w:hAnsiTheme="minorHAnsi"/>
                    <w:sz w:val="22"/>
                    <w:szCs w:val="22"/>
                  </w:rPr>
                  <w:fldChar w:fldCharType="separate"/>
                </w:r>
                <w:r w:rsidRPr="00526086">
                  <w:rPr>
                    <w:rFonts w:asciiTheme="minorHAnsi" w:hAnsiTheme="minorHAnsi"/>
                    <w:sz w:val="22"/>
                    <w:szCs w:val="22"/>
                  </w:rPr>
                  <w:t xml:space="preserve">  </w:t>
                </w:r>
                <w:r w:rsidRPr="00526086">
                  <w:rPr>
                    <w:rFonts w:asciiTheme="minorHAnsi" w:hAnsiTheme="minorHAnsi"/>
                    <w:sz w:val="22"/>
                    <w:szCs w:val="22"/>
                  </w:rPr>
                  <w:fldChar w:fldCharType="end"/>
                </w:r>
                <w:r w:rsidR="00526086" w:rsidRPr="00526086">
                  <w:rPr>
                    <w:rFonts w:asciiTheme="minorHAnsi" w:hAnsiTheme="minorHAnsi"/>
                    <w:sz w:val="22"/>
                    <w:szCs w:val="22"/>
                  </w:rPr>
                  <w:fldChar w:fldCharType="begin"/>
                </w:r>
                <w:r w:rsidR="00526086" w:rsidRPr="00526086">
                  <w:rPr>
                    <w:rFonts w:asciiTheme="minorHAnsi" w:hAnsiTheme="minorHAnsi"/>
                    <w:sz w:val="22"/>
                    <w:szCs w:val="22"/>
                  </w:rPr>
                  <w:instrText xml:space="preserve"> IF </w:instrText>
                </w:r>
                <w:r w:rsidR="004E1D1A">
                  <w:rPr>
                    <w:rFonts w:asciiTheme="minorHAnsi" w:hAnsiTheme="minorHAnsi"/>
                    <w:sz w:val="22"/>
                    <w:szCs w:val="22"/>
                  </w:rPr>
                  <w:instrText>""</w:instrText>
                </w:r>
                <w:r w:rsidR="00526086" w:rsidRPr="00526086">
                  <w:rPr>
                    <w:rFonts w:asciiTheme="minorHAnsi" w:hAnsiTheme="minorHAnsi"/>
                    <w:sz w:val="22"/>
                    <w:szCs w:val="22"/>
                  </w:rPr>
                  <w:instrText xml:space="preserve"> ="X" </w:instrText>
                </w:r>
                <w:r w:rsidR="00526086" w:rsidRPr="00526086">
                  <w:rPr>
                    <w:rFonts w:ascii="Segoe UI Symbol" w:hAnsi="Segoe UI Symbol" w:cs="Segoe UI Symbol"/>
                    <w:sz w:val="22"/>
                    <w:szCs w:val="22"/>
                  </w:rPr>
                  <w:instrText>✔</w:instrText>
                </w:r>
                <w:r w:rsidR="00526086" w:rsidRPr="00526086">
                  <w:rPr>
                    <w:rFonts w:asciiTheme="minorHAnsi" w:hAnsiTheme="minorHAnsi"/>
                    <w:sz w:val="22"/>
                    <w:szCs w:val="22"/>
                  </w:rPr>
                  <w:instrText xml:space="preserve"> "  " </w:instrText>
                </w:r>
                <w:r w:rsidR="00526086" w:rsidRPr="00526086">
                  <w:rPr>
                    <w:rFonts w:asciiTheme="minorHAnsi" w:hAnsiTheme="minorHAnsi"/>
                    <w:sz w:val="22"/>
                    <w:szCs w:val="22"/>
                  </w:rPr>
                  <w:fldChar w:fldCharType="separate"/>
                </w:r>
                <w:r w:rsidR="00526086" w:rsidRPr="00526086">
                  <w:rPr>
                    <w:rFonts w:asciiTheme="minorHAnsi" w:hAnsiTheme="minorHAnsi"/>
                    <w:sz w:val="22"/>
                    <w:szCs w:val="22"/>
                  </w:rPr>
                  <w:t xml:space="preserve">  </w:t>
                </w:r>
                <w:r w:rsidR="00526086" w:rsidRPr="00526086">
                  <w:rPr>
                    <w:rFonts w:asciiTheme="minorHAnsi" w:hAnsiTheme="minorHAnsi"/>
                    <w:sz w:val="22"/>
                    <w:szCs w:val="22"/>
                  </w:rPr>
                  <w:fldChar w:fldCharType="end"/>
                </w:r>
              </w:p>
            </w:tc>
            <w:tc>
              <w:tcPr>
                <w:tcW w:w="2610" w:type="dxa"/>
                <w:tcBorders>
                  <w:top w:val="single" w:sz="4" w:space="0" w:color="D9D9D9"/>
                  <w:left w:val="single" w:sz="4" w:space="0" w:color="D9D9D9"/>
                  <w:bottom w:val="single" w:sz="4" w:space="0" w:color="D9D9D9"/>
                  <w:right w:val="single" w:sz="4" w:space="0" w:color="D9D9D9"/>
                </w:tcBorders>
                <w:shd w:val="clear" w:color="auto" w:fill="F7F7F7"/>
              </w:tcPr>
              <w:p w14:paraId="33667A65" w14:textId="77777777" w:rsidR="00E85D6F" w:rsidRPr="00526086" w:rsidRDefault="00880CEC" w:rsidP="00621C6F">
                <w:pPr>
                  <w:jc w:val="center"/>
                  <w:rPr>
                    <w:rFonts w:asciiTheme="minorHAnsi" w:hAnsiTheme="minorHAnsi"/>
                    <w:bCs/>
                    <w:color w:val="auto"/>
                    <w:sz w:val="22"/>
                    <w:szCs w:val="22"/>
                  </w:rPr>
                </w:pPr>
                <w:r w:rsidRPr="00526086">
                  <w:rPr>
                    <w:rFonts w:asciiTheme="minorHAnsi" w:hAnsiTheme="minorHAnsi"/>
                    <w:sz w:val="22"/>
                    <w:szCs w:val="22"/>
                  </w:rPr>
                  <w:fldChar w:fldCharType="begin"/>
                </w:r>
                <w:r w:rsidRPr="00526086">
                  <w:rPr>
                    <w:rFonts w:asciiTheme="minorHAnsi" w:hAnsiTheme="minorHAnsi"/>
                    <w:sz w:val="22"/>
                    <w:szCs w:val="22"/>
                  </w:rPr>
                  <w:instrText xml:space="preserve"> IF </w:instrText>
                </w:r>
                <w:r w:rsidRPr="00526086">
                  <w:rPr>
                    <w:rFonts w:asciiTheme="minorHAnsi" w:hAnsiTheme="minorHAnsi"/>
                    <w:noProof/>
                    <w:sz w:val="22"/>
                    <w:szCs w:val="22"/>
                  </w:rPr>
                  <w:instrText>X</w:instrText>
                </w:r>
                <w:r w:rsidRPr="00526086">
                  <w:rPr>
                    <w:rFonts w:asciiTheme="minorHAnsi" w:hAnsiTheme="minorHAnsi"/>
                    <w:sz w:val="22"/>
                    <w:szCs w:val="22"/>
                  </w:rPr>
                  <w:instrText xml:space="preserve"> ="X" </w:instrText>
                </w:r>
                <w:r w:rsidRPr="00526086">
                  <w:rPr>
                    <w:rFonts w:ascii="Segoe UI Symbol" w:hAnsi="Segoe UI Symbol" w:cs="Segoe UI Symbol"/>
                    <w:sz w:val="22"/>
                    <w:szCs w:val="22"/>
                  </w:rPr>
                  <w:instrText>✔</w:instrText>
                </w:r>
                <w:r w:rsidRPr="00526086">
                  <w:rPr>
                    <w:rFonts w:asciiTheme="minorHAnsi" w:hAnsiTheme="minorHAnsi"/>
                    <w:sz w:val="22"/>
                    <w:szCs w:val="22"/>
                  </w:rPr>
                  <w:instrText xml:space="preserve"> "  " </w:instrText>
                </w:r>
                <w:r w:rsidRPr="00526086">
                  <w:rPr>
                    <w:rFonts w:asciiTheme="minorHAnsi" w:hAnsiTheme="minorHAnsi"/>
                    <w:sz w:val="22"/>
                    <w:szCs w:val="22"/>
                  </w:rPr>
                  <w:fldChar w:fldCharType="separate"/>
                </w:r>
                <w:r w:rsidRPr="00526086">
                  <w:rPr>
                    <w:rFonts w:ascii="Segoe UI Symbol" w:hAnsi="Segoe UI Symbol" w:cs="Segoe UI Symbol"/>
                    <w:sz w:val="22"/>
                    <w:szCs w:val="22"/>
                  </w:rPr>
                  <w:t>✔</w:t>
                </w:r>
                <w:r w:rsidRPr="00526086">
                  <w:rPr>
                    <w:rFonts w:asciiTheme="minorHAnsi" w:hAnsiTheme="minorHAnsi"/>
                    <w:sz w:val="22"/>
                    <w:szCs w:val="22"/>
                  </w:rPr>
                  <w:fldChar w:fldCharType="end"/>
                </w:r>
              </w:p>
            </w:tc>
          </w:tr>
        </w:tbl>
        <w:p w14:paraId="22B7A60D" w14:textId="77777777" w:rsidR="008770EE" w:rsidRPr="003F79AF" w:rsidRDefault="008770EE" w:rsidP="002E481C">
          <w:pPr>
            <w:shd w:val="clear" w:color="auto" w:fill="F7F7F7"/>
            <w:ind w:left="-605" w:right="29"/>
            <w:rPr>
              <w:rFonts w:asciiTheme="minorHAnsi" w:hAnsiTheme="minorHAnsi"/>
              <w:bCs/>
              <w:color w:val="auto"/>
              <w:sz w:val="22"/>
              <w:szCs w:val="22"/>
            </w:rPr>
          </w:pPr>
        </w:p>
        <w:p w14:paraId="7A69F64B" w14:textId="77777777" w:rsidR="003615CB" w:rsidRDefault="003615CB" w:rsidP="002E481C">
          <w:pPr>
            <w:shd w:val="clear" w:color="auto" w:fill="F7F7F7"/>
            <w:ind w:left="-605" w:right="29"/>
            <w:rPr>
              <w:rFonts w:asciiTheme="minorHAnsi" w:hAnsiTheme="minorHAnsi"/>
              <w:bCs/>
              <w:color w:val="auto"/>
              <w:sz w:val="22"/>
              <w:szCs w:val="22"/>
            </w:rPr>
          </w:pPr>
        </w:p>
        <w:tbl>
          <w:tblPr>
            <w:tblStyle w:val="TableGrid31"/>
            <w:tblW w:w="1053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8F8F8"/>
            <w:tblLayout w:type="fixed"/>
            <w:tblLook w:val="04A0" w:firstRow="1" w:lastRow="0" w:firstColumn="1" w:lastColumn="0" w:noHBand="0" w:noVBand="1"/>
          </w:tblPr>
          <w:tblGrid>
            <w:gridCol w:w="10530"/>
          </w:tblGrid>
          <w:tr w:rsidR="004F0F3F" w14:paraId="6D0F8501" w14:textId="77777777" w:rsidTr="00C035CB">
            <w:trPr>
              <w:trHeight w:val="432"/>
            </w:trPr>
            <w:tc>
              <w:tcPr>
                <w:tcW w:w="10530" w:type="dxa"/>
                <w:shd w:val="clear" w:color="auto" w:fill="F8F8F8"/>
                <w:vAlign w:val="center"/>
              </w:tcPr>
              <w:p w14:paraId="4E1A9694" w14:textId="77777777" w:rsidR="008770EE" w:rsidRPr="00DD5666" w:rsidRDefault="00880CEC" w:rsidP="00261B7F">
                <w:pPr>
                  <w:pStyle w:val="NoSpacing"/>
                  <w:keepNext/>
                  <w:numPr>
                    <w:ilvl w:val="0"/>
                    <w:numId w:val="1"/>
                  </w:numPr>
                  <w:ind w:left="432" w:hanging="468"/>
                  <w:outlineLvl w:val="0"/>
                  <w:rPr>
                    <w:rFonts w:asciiTheme="minorHAnsi" w:hAnsiTheme="minorHAnsi"/>
                    <w:b/>
                    <w:sz w:val="22"/>
                    <w:szCs w:val="22"/>
                  </w:rPr>
                </w:pPr>
                <w:bookmarkStart w:id="33" w:name="_Toc256000008"/>
                <w:bookmarkStart w:id="34" w:name="_Toc517269163"/>
                <w:bookmarkStart w:id="35" w:name="_Toc520325358"/>
                <w:bookmarkStart w:id="36" w:name="_Toc104869137"/>
                <w:r w:rsidRPr="00850119">
                  <w:rPr>
                    <w:rFonts w:ascii="Calibri" w:hAnsi="Calibri" w:cs="Times New Roman"/>
                    <w:b/>
                    <w:bCs/>
                    <w:color w:val="auto"/>
                    <w:sz w:val="22"/>
                    <w:szCs w:val="22"/>
                  </w:rPr>
                  <w:t>DETAILED CHANGE(S)</w:t>
                </w:r>
                <w:bookmarkEnd w:id="33"/>
                <w:bookmarkEnd w:id="34"/>
                <w:bookmarkEnd w:id="35"/>
                <w:bookmarkEnd w:id="36"/>
              </w:p>
            </w:tc>
          </w:tr>
        </w:tbl>
        <w:p w14:paraId="076E5E05" w14:textId="77777777" w:rsidR="008770EE" w:rsidRDefault="008770EE" w:rsidP="00865BAE">
          <w:pPr>
            <w:keepNext/>
            <w:shd w:val="clear" w:color="auto" w:fill="F7F7F7"/>
            <w:ind w:left="-605" w:right="29"/>
            <w:rPr>
              <w:rFonts w:asciiTheme="minorHAnsi" w:hAnsiTheme="minorHAnsi"/>
              <w:bCs/>
              <w:color w:val="auto"/>
              <w:sz w:val="22"/>
              <w:szCs w:val="22"/>
            </w:rPr>
          </w:pPr>
        </w:p>
        <w:p w14:paraId="30199399" w14:textId="77777777" w:rsidR="0056504B" w:rsidRPr="00F81AC2" w:rsidRDefault="0056504B" w:rsidP="00696CAA">
          <w:pPr>
            <w:keepNext/>
            <w:shd w:val="clear" w:color="auto" w:fill="F7F7F7"/>
            <w:spacing w:line="14" w:lineRule="exact"/>
            <w:ind w:left="-634"/>
            <w:rPr>
              <w:rFonts w:asciiTheme="minorHAnsi" w:hAnsiTheme="minorHAnsi"/>
              <w:bCs/>
              <w:color w:val="auto"/>
              <w:sz w:val="22"/>
              <w:szCs w:val="22"/>
            </w:rPr>
          </w:pPr>
        </w:p>
        <w:tbl>
          <w:tblPr>
            <w:tblStyle w:val="TableGrid"/>
            <w:tblW w:w="10534" w:type="dxa"/>
            <w:tblInd w:w="-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C"/>
            <w:tblLayout w:type="fixed"/>
            <w:tblLook w:val="04A0" w:firstRow="1" w:lastRow="0" w:firstColumn="1" w:lastColumn="0" w:noHBand="0" w:noVBand="1"/>
          </w:tblPr>
          <w:tblGrid>
            <w:gridCol w:w="10534"/>
          </w:tblGrid>
          <w:tr w:rsidR="004F0F3F" w14:paraId="1927D813" w14:textId="77777777" w:rsidTr="002B0884">
            <w:trPr>
              <w:trHeight w:val="432"/>
            </w:trPr>
            <w:tc>
              <w:tcPr>
                <w:tcW w:w="10534" w:type="dxa"/>
                <w:shd w:val="clear" w:color="auto" w:fill="F2F7FC"/>
                <w:vAlign w:val="center"/>
              </w:tcPr>
              <w:p w14:paraId="60402DBF" w14:textId="77777777" w:rsidR="003615CB" w:rsidRPr="00603BF5" w:rsidRDefault="00880CEC" w:rsidP="007B6548">
                <w:pPr>
                  <w:keepNext/>
                  <w:shd w:val="clear" w:color="auto" w:fill="F7F7F7"/>
                  <w:ind w:hanging="14"/>
                  <w:rPr>
                    <w:noProof/>
                    <w:sz w:val="22"/>
                    <w:szCs w:val="22"/>
                  </w:rPr>
                </w:pPr>
                <w:bookmarkStart w:id="37" w:name="_Toc433982409"/>
                <w:bookmarkStart w:id="38" w:name="_Toc476244382"/>
                <w:bookmarkStart w:id="39" w:name="_Toc476244699"/>
                <w:bookmarkStart w:id="40" w:name="_Toc476244715"/>
                <w:r>
                  <w:rPr>
                    <w:rFonts w:ascii="Calibri" w:eastAsia="Times New Roman" w:hAnsi="Calibri" w:cs="Times New Roman"/>
                    <w:b/>
                    <w:bCs/>
                    <w:color w:val="1F3864"/>
                    <w:sz w:val="22"/>
                    <w:szCs w:val="22"/>
                  </w:rPr>
                  <w:t>PROGRAM</w:t>
                </w:r>
                <w:r w:rsidR="009A0A87" w:rsidRPr="00356BC8">
                  <w:rPr>
                    <w:rFonts w:ascii="Calibri" w:eastAsia="Times New Roman" w:hAnsi="Calibri" w:cs="Times New Roman"/>
                    <w:b/>
                    <w:bCs/>
                    <w:color w:val="1F3864"/>
                    <w:sz w:val="22"/>
                    <w:szCs w:val="22"/>
                  </w:rPr>
                  <w:t xml:space="preserve"> DEVELOPMENT OBJECTIVE</w:t>
                </w:r>
                <w:bookmarkEnd w:id="37"/>
                <w:bookmarkEnd w:id="38"/>
                <w:bookmarkEnd w:id="39"/>
                <w:bookmarkEnd w:id="40"/>
              </w:p>
            </w:tc>
          </w:tr>
          <w:tr w:rsidR="004F0F3F" w14:paraId="1107B1E3" w14:textId="77777777" w:rsidTr="002B0884">
            <w:trPr>
              <w:trHeight w:val="432"/>
            </w:trPr>
            <w:tc>
              <w:tcPr>
                <w:tcW w:w="10534" w:type="dxa"/>
                <w:shd w:val="clear" w:color="auto" w:fill="F2F7FC"/>
                <w:vAlign w:val="center"/>
              </w:tcPr>
              <w:p w14:paraId="289902A8" w14:textId="77777777" w:rsidR="007B6548" w:rsidRDefault="007B6548" w:rsidP="007B6548">
                <w:pPr>
                  <w:keepNext/>
                  <w:shd w:val="clear" w:color="auto" w:fill="F7F7F7"/>
                  <w:ind w:hanging="14"/>
                  <w:rPr>
                    <w:rFonts w:ascii="Calibri" w:eastAsia="Times New Roman" w:hAnsi="Calibri" w:cs="Times New Roman"/>
                    <w:b/>
                    <w:bCs/>
                    <w:color w:val="1F3864"/>
                    <w:sz w:val="22"/>
                    <w:szCs w:val="22"/>
                  </w:rPr>
                </w:pPr>
              </w:p>
            </w:tc>
          </w:tr>
          <w:tr w:rsidR="004F0F3F" w14:paraId="08ADE4D6" w14:textId="77777777" w:rsidTr="002B0884">
            <w:trPr>
              <w:trHeight w:val="432"/>
            </w:trPr>
            <w:tc>
              <w:tcPr>
                <w:tcW w:w="10534" w:type="dxa"/>
                <w:shd w:val="clear" w:color="auto" w:fill="F2F7FC"/>
                <w:vAlign w:val="center"/>
              </w:tcPr>
              <w:p w14:paraId="6F40168C" w14:textId="77777777" w:rsidR="002F6587" w:rsidRPr="001D443F" w:rsidRDefault="00880CEC" w:rsidP="007B6548">
                <w:pPr>
                  <w:keepNext/>
                  <w:shd w:val="clear" w:color="auto" w:fill="F7F7F7"/>
                  <w:ind w:hanging="14"/>
                  <w:rPr>
                    <w:rFonts w:ascii="Calibri" w:eastAsia="Times New Roman" w:hAnsi="Calibri" w:cs="Times New Roman"/>
                    <w:b/>
                    <w:bCs/>
                    <w:color w:val="1F3864"/>
                    <w:sz w:val="22"/>
                    <w:szCs w:val="22"/>
                    <w:highlight w:val="yellow"/>
                  </w:rPr>
                </w:pPr>
                <w:r w:rsidRPr="00AD0354">
                  <w:rPr>
                    <w:rFonts w:ascii="Calibri" w:hAnsi="Calibri" w:cs="Times New Roman"/>
                    <w:b/>
                    <w:color w:val="767171"/>
                    <w:sz w:val="22"/>
                    <w:szCs w:val="22"/>
                  </w:rPr>
                  <w:t>Current PDO</w:t>
                </w:r>
              </w:p>
            </w:tc>
          </w:tr>
          <w:tr w:rsidR="004F0F3F" w14:paraId="6BFD1BD3" w14:textId="77777777" w:rsidTr="002B0884">
            <w:trPr>
              <w:trHeight w:val="432"/>
            </w:trPr>
            <w:tc>
              <w:tcPr>
                <w:tcW w:w="10534" w:type="dxa"/>
                <w:shd w:val="clear" w:color="auto" w:fill="F2F7FC"/>
                <w:vAlign w:val="center"/>
              </w:tcPr>
              <w:p w14:paraId="12308F7B" w14:textId="77777777" w:rsidR="002F6587" w:rsidRPr="001D443F" w:rsidRDefault="00880CEC" w:rsidP="007B6548">
                <w:pPr>
                  <w:shd w:val="clear" w:color="auto" w:fill="F7F7F7"/>
                  <w:ind w:hanging="14"/>
                  <w:rPr>
                    <w:rFonts w:ascii="Calibri" w:eastAsia="Times New Roman" w:hAnsi="Calibri" w:cs="Times New Roman"/>
                    <w:b/>
                    <w:bCs/>
                    <w:color w:val="1F3864"/>
                    <w:sz w:val="22"/>
                    <w:szCs w:val="22"/>
                    <w:highlight w:val="yellow"/>
                  </w:rPr>
                </w:pPr>
                <w:r>
                  <w:rPr>
                    <w:rFonts w:asciiTheme="minorHAnsi" w:hAnsiTheme="minorHAnsi"/>
                    <w:noProof/>
                    <w:sz w:val="22"/>
                    <w:szCs w:val="22"/>
                  </w:rPr>
                  <w:t>The program development objectives are to improve the financial viability, increase the reliability of electricity supply, and strengthen the governance of BT.</w:t>
                </w:r>
              </w:p>
            </w:tc>
          </w:tr>
          <w:tr w:rsidR="004F0F3F" w14:paraId="653B3F68" w14:textId="77777777" w:rsidTr="00AD0354">
            <w:trPr>
              <w:trHeight w:val="432"/>
            </w:trPr>
            <w:tc>
              <w:tcPr>
                <w:tcW w:w="10534" w:type="dxa"/>
                <w:shd w:val="clear" w:color="auto" w:fill="F8F8F8"/>
                <w:vAlign w:val="center"/>
              </w:tcPr>
              <w:p w14:paraId="68216C0E" w14:textId="77777777" w:rsidR="002F6587" w:rsidRPr="001D443F" w:rsidRDefault="00880CEC" w:rsidP="007B6548">
                <w:pPr>
                  <w:shd w:val="clear" w:color="auto" w:fill="F7F7F7"/>
                  <w:rPr>
                    <w:rFonts w:ascii="Calibri" w:eastAsia="Times New Roman" w:hAnsi="Calibri" w:cs="Times New Roman"/>
                    <w:b/>
                    <w:bCs/>
                    <w:color w:val="1F3864"/>
                    <w:sz w:val="22"/>
                    <w:szCs w:val="22"/>
                    <w:highlight w:val="yellow"/>
                  </w:rPr>
                </w:pPr>
                <w:r w:rsidRPr="00AD0354">
                  <w:rPr>
                    <w:rFonts w:ascii="Calibri" w:hAnsi="Calibri" w:cs="Times New Roman"/>
                    <w:b/>
                    <w:color w:val="767171"/>
                    <w:sz w:val="22"/>
                    <w:szCs w:val="22"/>
                  </w:rPr>
                  <w:t>Proposed New PDO</w:t>
                </w:r>
              </w:p>
            </w:tc>
          </w:tr>
          <w:tr w:rsidR="004F0F3F" w14:paraId="6B475DE6" w14:textId="77777777" w:rsidTr="002B0884">
            <w:trPr>
              <w:trHeight w:val="432"/>
            </w:trPr>
            <w:tc>
              <w:tcPr>
                <w:tcW w:w="10534" w:type="dxa"/>
                <w:shd w:val="clear" w:color="auto" w:fill="F2F7FC"/>
                <w:vAlign w:val="center"/>
              </w:tcPr>
              <w:p w14:paraId="2CFC6F52" w14:textId="77777777" w:rsidR="002F6587" w:rsidRPr="001D443F" w:rsidRDefault="00880CEC" w:rsidP="007B6548">
                <w:pPr>
                  <w:shd w:val="clear" w:color="auto" w:fill="F7F7F7"/>
                  <w:ind w:hanging="14"/>
                  <w:rPr>
                    <w:rFonts w:ascii="Calibri" w:eastAsia="Times New Roman" w:hAnsi="Calibri" w:cs="Times New Roman"/>
                    <w:b/>
                    <w:bCs/>
                    <w:color w:val="1F3864"/>
                    <w:sz w:val="22"/>
                    <w:szCs w:val="22"/>
                    <w:highlight w:val="yellow"/>
                  </w:rPr>
                </w:pPr>
                <w:r>
                  <w:rPr>
                    <w:rFonts w:asciiTheme="minorHAnsi" w:hAnsiTheme="minorHAnsi"/>
                    <w:noProof/>
                    <w:sz w:val="22"/>
                    <w:szCs w:val="22"/>
                  </w:rPr>
                  <w:t xml:space="preserve">The project development objectives are to improve the financial viability, increase the reliability of electricity supply, and strengthen the governance of Barqi Tojik OJSC, Shabakahoi Intiqoli Barq OJSC, and Shabakahoi </w:t>
                </w:r>
                <w:r>
                  <w:rPr>
                    <w:rFonts w:asciiTheme="minorHAnsi" w:hAnsiTheme="minorHAnsi"/>
                    <w:noProof/>
                    <w:sz w:val="22"/>
                    <w:szCs w:val="22"/>
                  </w:rPr>
                  <w:lastRenderedPageBreak/>
                  <w:t>Taqsimoti Barq OJSC</w:t>
                </w:r>
              </w:p>
            </w:tc>
          </w:tr>
          <w:tr w:rsidR="004F0F3F" w14:paraId="53E00E5D" w14:textId="77777777" w:rsidTr="005F753C">
            <w:trPr>
              <w:trHeight w:val="180"/>
            </w:trPr>
            <w:tc>
              <w:tcPr>
                <w:tcW w:w="10534" w:type="dxa"/>
                <w:shd w:val="clear" w:color="auto" w:fill="F2F7FC"/>
                <w:vAlign w:val="center"/>
              </w:tcPr>
              <w:p w14:paraId="2BEA3AD7" w14:textId="77777777" w:rsidR="005F753C" w:rsidRDefault="005F753C" w:rsidP="007B6548">
                <w:pPr>
                  <w:shd w:val="clear" w:color="auto" w:fill="F7F7F7"/>
                  <w:ind w:hanging="14"/>
                  <w:rPr>
                    <w:rFonts w:asciiTheme="minorHAnsi" w:hAnsiTheme="minorHAnsi"/>
                    <w:noProof/>
                    <w:sz w:val="22"/>
                    <w:szCs w:val="22"/>
                  </w:rPr>
                </w:pPr>
              </w:p>
            </w:tc>
          </w:tr>
        </w:tbl>
        <w:p w14:paraId="5593F1D5" w14:textId="77777777" w:rsidR="003615CB" w:rsidRPr="00F81AC2" w:rsidRDefault="003615CB" w:rsidP="003F0287">
          <w:pPr>
            <w:shd w:val="clear" w:color="auto" w:fill="F7F7F7"/>
            <w:spacing w:line="14" w:lineRule="exact"/>
            <w:ind w:left="-634"/>
            <w:rPr>
              <w:rFonts w:asciiTheme="minorHAnsi" w:hAnsiTheme="minorHAnsi"/>
              <w:bCs/>
              <w:color w:val="auto"/>
              <w:sz w:val="22"/>
              <w:szCs w:val="22"/>
            </w:rPr>
          </w:pPr>
        </w:p>
        <w:tbl>
          <w:tblPr>
            <w:tblStyle w:val="TableGrid"/>
            <w:tblW w:w="10525" w:type="dxa"/>
            <w:tblInd w:w="-630" w:type="dxa"/>
            <w:shd w:val="clear" w:color="auto" w:fill="F7F7F7"/>
            <w:tblLayout w:type="fixed"/>
            <w:tblLook w:val="04A0" w:firstRow="1" w:lastRow="0" w:firstColumn="1" w:lastColumn="0" w:noHBand="0" w:noVBand="1"/>
          </w:tblPr>
          <w:tblGrid>
            <w:gridCol w:w="1615"/>
            <w:gridCol w:w="1710"/>
            <w:gridCol w:w="1710"/>
            <w:gridCol w:w="1710"/>
            <w:gridCol w:w="1710"/>
            <w:gridCol w:w="2070"/>
          </w:tblGrid>
          <w:tr w:rsidR="004F0F3F" w14:paraId="583EC4EE" w14:textId="77777777" w:rsidTr="00825E2F">
            <w:trPr>
              <w:trHeight w:val="387"/>
            </w:trPr>
            <w:tc>
              <w:tcPr>
                <w:tcW w:w="10525" w:type="dxa"/>
                <w:gridSpan w:val="6"/>
                <w:tcBorders>
                  <w:top w:val="nil"/>
                  <w:left w:val="nil"/>
                  <w:bottom w:val="single" w:sz="4" w:space="0" w:color="D9D9D9"/>
                  <w:right w:val="nil"/>
                </w:tcBorders>
                <w:shd w:val="clear" w:color="auto" w:fill="F7F7F7"/>
              </w:tcPr>
              <w:p w14:paraId="27B14F5F" w14:textId="77777777" w:rsidR="00825E2F" w:rsidRPr="006732E6" w:rsidRDefault="00880CEC" w:rsidP="00E20862">
                <w:pPr>
                  <w:keepNext/>
                  <w:rPr>
                    <w:rFonts w:ascii="Calibri" w:hAnsi="Calibri" w:cs="Times New Roman"/>
                    <w:b/>
                    <w:sz w:val="22"/>
                    <w:szCs w:val="22"/>
                  </w:rPr>
                </w:pPr>
                <w:r w:rsidRPr="00825E2F">
                  <w:rPr>
                    <w:rFonts w:ascii="Calibri" w:eastAsia="Times New Roman" w:hAnsi="Calibri" w:cs="Times New Roman"/>
                    <w:b/>
                    <w:color w:val="002060"/>
                    <w:sz w:val="22"/>
                    <w:szCs w:val="22"/>
                  </w:rPr>
                  <w:t>LOAN CLOSING DATE(S)</w:t>
                </w:r>
              </w:p>
            </w:tc>
          </w:tr>
          <w:tr w:rsidR="004F0F3F" w14:paraId="0BB3AEFE" w14:textId="77777777" w:rsidTr="00825E2F">
            <w:trPr>
              <w:trHeight w:val="387"/>
            </w:trPr>
            <w:tc>
              <w:tcPr>
                <w:tcW w:w="10525" w:type="dxa"/>
                <w:gridSpan w:val="6"/>
                <w:tcBorders>
                  <w:top w:val="nil"/>
                  <w:left w:val="nil"/>
                  <w:bottom w:val="single" w:sz="4" w:space="0" w:color="D9D9D9"/>
                  <w:right w:val="nil"/>
                </w:tcBorders>
                <w:shd w:val="clear" w:color="auto" w:fill="F7F7F7"/>
              </w:tcPr>
              <w:p w14:paraId="7B15BAFE" w14:textId="77777777" w:rsidR="007B6548" w:rsidRPr="00825E2F" w:rsidRDefault="007B6548" w:rsidP="00E20862">
                <w:pPr>
                  <w:keepNext/>
                  <w:rPr>
                    <w:rFonts w:ascii="Calibri" w:eastAsia="Times New Roman" w:hAnsi="Calibri" w:cs="Times New Roman"/>
                    <w:b/>
                    <w:color w:val="002060"/>
                    <w:sz w:val="22"/>
                    <w:szCs w:val="22"/>
                  </w:rPr>
                </w:pPr>
              </w:p>
            </w:tc>
          </w:tr>
          <w:tr w:rsidR="004F0F3F" w14:paraId="431D3AFB" w14:textId="77777777" w:rsidTr="00736809">
            <w:tc>
              <w:tcPr>
                <w:tcW w:w="1615" w:type="dxa"/>
                <w:tcBorders>
                  <w:top w:val="single" w:sz="4" w:space="0" w:color="D9D9D9"/>
                  <w:left w:val="single" w:sz="4" w:space="0" w:color="D9D9D9"/>
                  <w:bottom w:val="single" w:sz="4" w:space="0" w:color="D9D9D9"/>
                  <w:right w:val="single" w:sz="4" w:space="0" w:color="D9D9D9"/>
                </w:tcBorders>
                <w:shd w:val="clear" w:color="auto" w:fill="F7F7F7"/>
              </w:tcPr>
              <w:p w14:paraId="074CFE8C" w14:textId="77777777" w:rsidR="002F31D5" w:rsidRDefault="00880CEC" w:rsidP="00E20862">
                <w:pPr>
                  <w:keepNext/>
                  <w:rPr>
                    <w:rFonts w:ascii="Calibri" w:eastAsia="Times New Roman" w:hAnsi="Calibri" w:cs="Times New Roman"/>
                    <w:b/>
                    <w:color w:val="002060"/>
                    <w:sz w:val="22"/>
                    <w:szCs w:val="22"/>
                  </w:rPr>
                </w:pPr>
                <w:r w:rsidRPr="006732E6">
                  <w:rPr>
                    <w:rFonts w:ascii="Calibri" w:hAnsi="Calibri" w:cs="Times New Roman"/>
                    <w:b/>
                    <w:sz w:val="22"/>
                    <w:szCs w:val="22"/>
                  </w:rPr>
                  <w:t>Ln/Cr/Tf</w:t>
                </w:r>
              </w:p>
            </w:tc>
            <w:tc>
              <w:tcPr>
                <w:tcW w:w="1710" w:type="dxa"/>
                <w:tcBorders>
                  <w:top w:val="single" w:sz="4" w:space="0" w:color="D9D9D9"/>
                  <w:left w:val="single" w:sz="4" w:space="0" w:color="D9D9D9"/>
                  <w:bottom w:val="single" w:sz="4" w:space="0" w:color="D9D9D9"/>
                  <w:right w:val="single" w:sz="4" w:space="0" w:color="D9D9D9"/>
                </w:tcBorders>
                <w:shd w:val="clear" w:color="auto" w:fill="F7F7F7"/>
              </w:tcPr>
              <w:p w14:paraId="2FCE0425" w14:textId="77777777" w:rsidR="002F31D5" w:rsidRDefault="00880CEC" w:rsidP="00E20862">
                <w:pPr>
                  <w:keepNext/>
                  <w:rPr>
                    <w:rFonts w:ascii="Calibri" w:eastAsia="Times New Roman" w:hAnsi="Calibri" w:cs="Times New Roman"/>
                    <w:b/>
                    <w:color w:val="002060"/>
                    <w:sz w:val="22"/>
                    <w:szCs w:val="22"/>
                  </w:rPr>
                </w:pPr>
                <w:r w:rsidRPr="006732E6">
                  <w:rPr>
                    <w:rFonts w:ascii="Calibri" w:hAnsi="Calibri" w:cs="Times New Roman"/>
                    <w:b/>
                    <w:sz w:val="22"/>
                    <w:szCs w:val="22"/>
                  </w:rPr>
                  <w:t>Status</w:t>
                </w:r>
              </w:p>
            </w:tc>
            <w:tc>
              <w:tcPr>
                <w:tcW w:w="1710" w:type="dxa"/>
                <w:tcBorders>
                  <w:top w:val="single" w:sz="4" w:space="0" w:color="D9D9D9"/>
                  <w:left w:val="single" w:sz="4" w:space="0" w:color="D9D9D9"/>
                  <w:bottom w:val="single" w:sz="4" w:space="0" w:color="D9D9D9"/>
                  <w:right w:val="single" w:sz="4" w:space="0" w:color="D9D9D9"/>
                </w:tcBorders>
                <w:shd w:val="clear" w:color="auto" w:fill="F7F7F7"/>
              </w:tcPr>
              <w:p w14:paraId="0D81DDA1" w14:textId="77777777" w:rsidR="002F31D5" w:rsidRPr="006732E6" w:rsidRDefault="00880CEC" w:rsidP="00E20862">
                <w:pPr>
                  <w:keepNext/>
                  <w:shd w:val="clear" w:color="auto" w:fill="F7F7F7"/>
                  <w:rPr>
                    <w:rFonts w:ascii="Calibri" w:hAnsi="Calibri" w:cs="Times New Roman"/>
                    <w:b/>
                    <w:sz w:val="22"/>
                    <w:szCs w:val="22"/>
                  </w:rPr>
                </w:pPr>
                <w:r w:rsidRPr="006732E6">
                  <w:rPr>
                    <w:rFonts w:ascii="Calibri" w:hAnsi="Calibri" w:cs="Times New Roman"/>
                    <w:b/>
                    <w:sz w:val="22"/>
                    <w:szCs w:val="22"/>
                  </w:rPr>
                  <w:t>Original Closing</w:t>
                </w:r>
              </w:p>
              <w:p w14:paraId="4A202954" w14:textId="77777777" w:rsidR="002F31D5" w:rsidRDefault="002F31D5" w:rsidP="00E20862">
                <w:pPr>
                  <w:keepNext/>
                  <w:rPr>
                    <w:rFonts w:ascii="Calibri" w:eastAsia="Times New Roman" w:hAnsi="Calibri" w:cs="Times New Roman"/>
                    <w:b/>
                    <w:color w:val="002060"/>
                    <w:sz w:val="22"/>
                    <w:szCs w:val="22"/>
                  </w:rPr>
                </w:pPr>
              </w:p>
            </w:tc>
            <w:tc>
              <w:tcPr>
                <w:tcW w:w="1710" w:type="dxa"/>
                <w:tcBorders>
                  <w:top w:val="single" w:sz="4" w:space="0" w:color="D9D9D9"/>
                  <w:left w:val="single" w:sz="4" w:space="0" w:color="D9D9D9"/>
                  <w:bottom w:val="single" w:sz="4" w:space="0" w:color="D9D9D9"/>
                  <w:right w:val="single" w:sz="4" w:space="0" w:color="D9D9D9"/>
                </w:tcBorders>
                <w:shd w:val="clear" w:color="auto" w:fill="F7F7F7"/>
              </w:tcPr>
              <w:p w14:paraId="4EDE4C10" w14:textId="77777777" w:rsidR="002F31D5" w:rsidRPr="006732E6" w:rsidRDefault="00880CEC" w:rsidP="00E20862">
                <w:pPr>
                  <w:keepNext/>
                  <w:shd w:val="clear" w:color="auto" w:fill="F7F7F7"/>
                  <w:rPr>
                    <w:rFonts w:ascii="Calibri" w:hAnsi="Calibri" w:cs="Times New Roman"/>
                    <w:b/>
                    <w:sz w:val="22"/>
                    <w:szCs w:val="22"/>
                  </w:rPr>
                </w:pPr>
                <w:r>
                  <w:rPr>
                    <w:rFonts w:ascii="Calibri" w:hAnsi="Calibri" w:cs="Times New Roman"/>
                    <w:b/>
                    <w:sz w:val="22"/>
                    <w:szCs w:val="22"/>
                  </w:rPr>
                  <w:t xml:space="preserve">Current </w:t>
                </w:r>
                <w:r w:rsidRPr="006732E6">
                  <w:rPr>
                    <w:rFonts w:ascii="Calibri" w:hAnsi="Calibri" w:cs="Times New Roman"/>
                    <w:b/>
                    <w:sz w:val="22"/>
                    <w:szCs w:val="22"/>
                  </w:rPr>
                  <w:t xml:space="preserve">Closing(s) </w:t>
                </w:r>
              </w:p>
              <w:p w14:paraId="4118E5C4" w14:textId="77777777" w:rsidR="002F31D5" w:rsidRDefault="002F31D5" w:rsidP="00E20862">
                <w:pPr>
                  <w:keepNext/>
                  <w:rPr>
                    <w:rFonts w:ascii="Calibri" w:eastAsia="Times New Roman" w:hAnsi="Calibri" w:cs="Times New Roman"/>
                    <w:b/>
                    <w:color w:val="002060"/>
                    <w:sz w:val="22"/>
                    <w:szCs w:val="22"/>
                  </w:rPr>
                </w:pPr>
              </w:p>
            </w:tc>
            <w:tc>
              <w:tcPr>
                <w:tcW w:w="1710" w:type="dxa"/>
                <w:tcBorders>
                  <w:top w:val="single" w:sz="4" w:space="0" w:color="D9D9D9"/>
                  <w:left w:val="single" w:sz="4" w:space="0" w:color="D9D9D9"/>
                  <w:bottom w:val="single" w:sz="4" w:space="0" w:color="D9D9D9"/>
                  <w:right w:val="single" w:sz="4" w:space="0" w:color="D9D9D9"/>
                </w:tcBorders>
                <w:shd w:val="clear" w:color="auto" w:fill="F7F7F7"/>
              </w:tcPr>
              <w:p w14:paraId="733375E1" w14:textId="77777777" w:rsidR="002F31D5" w:rsidRPr="006732E6" w:rsidRDefault="00880CEC" w:rsidP="00E20862">
                <w:pPr>
                  <w:keepNext/>
                  <w:shd w:val="clear" w:color="auto" w:fill="F7F7F7"/>
                  <w:rPr>
                    <w:rFonts w:ascii="Calibri" w:hAnsi="Calibri" w:cs="Times New Roman"/>
                    <w:b/>
                    <w:sz w:val="22"/>
                    <w:szCs w:val="22"/>
                  </w:rPr>
                </w:pPr>
                <w:r w:rsidRPr="006732E6">
                  <w:rPr>
                    <w:rFonts w:ascii="Calibri" w:hAnsi="Calibri" w:cs="Times New Roman"/>
                    <w:b/>
                    <w:sz w:val="22"/>
                    <w:szCs w:val="22"/>
                  </w:rPr>
                  <w:t xml:space="preserve">Proposed </w:t>
                </w:r>
              </w:p>
              <w:p w14:paraId="183E253D" w14:textId="77777777" w:rsidR="002F31D5" w:rsidRPr="006732E6" w:rsidRDefault="00880CEC" w:rsidP="00E20862">
                <w:pPr>
                  <w:keepNext/>
                  <w:shd w:val="clear" w:color="auto" w:fill="F7F7F7"/>
                  <w:rPr>
                    <w:rFonts w:ascii="Calibri" w:hAnsi="Calibri" w:cs="Times New Roman"/>
                    <w:b/>
                    <w:sz w:val="22"/>
                    <w:szCs w:val="22"/>
                  </w:rPr>
                </w:pPr>
                <w:r w:rsidRPr="006732E6">
                  <w:rPr>
                    <w:rFonts w:ascii="Calibri" w:hAnsi="Calibri" w:cs="Times New Roman"/>
                    <w:b/>
                    <w:sz w:val="22"/>
                    <w:szCs w:val="22"/>
                  </w:rPr>
                  <w:t xml:space="preserve">Closing </w:t>
                </w:r>
              </w:p>
              <w:p w14:paraId="2327493D" w14:textId="77777777" w:rsidR="002F31D5" w:rsidRDefault="002F31D5" w:rsidP="00E20862">
                <w:pPr>
                  <w:keepNext/>
                  <w:rPr>
                    <w:rFonts w:ascii="Calibri" w:eastAsia="Times New Roman" w:hAnsi="Calibri" w:cs="Times New Roman"/>
                    <w:b/>
                    <w:color w:val="002060"/>
                    <w:sz w:val="22"/>
                    <w:szCs w:val="22"/>
                  </w:rPr>
                </w:pPr>
              </w:p>
            </w:tc>
            <w:tc>
              <w:tcPr>
                <w:tcW w:w="2070" w:type="dxa"/>
                <w:tcBorders>
                  <w:top w:val="single" w:sz="4" w:space="0" w:color="D9D9D9"/>
                  <w:left w:val="single" w:sz="4" w:space="0" w:color="D9D9D9"/>
                  <w:bottom w:val="single" w:sz="4" w:space="0" w:color="D9D9D9"/>
                  <w:right w:val="single" w:sz="4" w:space="0" w:color="D9D9D9"/>
                </w:tcBorders>
                <w:shd w:val="clear" w:color="auto" w:fill="F7F7F7"/>
              </w:tcPr>
              <w:p w14:paraId="353165DA" w14:textId="77777777" w:rsidR="002F31D5" w:rsidRDefault="00880CEC" w:rsidP="00E20862">
                <w:pPr>
                  <w:keepNext/>
                  <w:rPr>
                    <w:rFonts w:ascii="Calibri" w:eastAsia="Times New Roman" w:hAnsi="Calibri" w:cs="Times New Roman"/>
                    <w:b/>
                    <w:color w:val="002060"/>
                    <w:sz w:val="22"/>
                    <w:szCs w:val="22"/>
                  </w:rPr>
                </w:pPr>
                <w:r w:rsidRPr="006732E6">
                  <w:rPr>
                    <w:rFonts w:ascii="Calibri" w:hAnsi="Calibri" w:cs="Times New Roman"/>
                    <w:b/>
                    <w:sz w:val="22"/>
                    <w:szCs w:val="22"/>
                  </w:rPr>
                  <w:t>Proposed Deadline for Withdrawal Applications</w:t>
                </w:r>
              </w:p>
            </w:tc>
          </w:tr>
          <w:tr w:rsidR="004F0F3F" w14:paraId="2E8CF812" w14:textId="77777777" w:rsidTr="00B153CC">
            <w:trPr>
              <w:trHeight w:val="418"/>
            </w:trPr>
            <w:tc>
              <w:tcPr>
                <w:tcW w:w="1615" w:type="dxa"/>
                <w:tcBorders>
                  <w:top w:val="single" w:sz="4" w:space="0" w:color="D9D9D9"/>
                  <w:left w:val="single" w:sz="4" w:space="0" w:color="D9D9D9"/>
                  <w:bottom w:val="single" w:sz="4" w:space="0" w:color="D9D9D9"/>
                  <w:right w:val="single" w:sz="4" w:space="0" w:color="D9D9D9"/>
                </w:tcBorders>
                <w:shd w:val="clear" w:color="auto" w:fill="F7F7F7"/>
              </w:tcPr>
              <w:p w14:paraId="536C8068" w14:textId="77777777" w:rsidR="002F31D5" w:rsidRDefault="00880CEC" w:rsidP="00736809">
                <w:pPr>
                  <w:rPr>
                    <w:rFonts w:ascii="Calibri" w:eastAsia="Times New Roman" w:hAnsi="Calibri" w:cs="Times New Roman"/>
                    <w:b/>
                    <w:color w:val="002060"/>
                    <w:sz w:val="22"/>
                    <w:szCs w:val="22"/>
                  </w:rPr>
                </w:pPr>
                <w:r>
                  <w:rPr>
                    <w:rFonts w:asciiTheme="minorHAnsi" w:hAnsiTheme="minorHAnsi"/>
                    <w:noProof/>
                    <w:sz w:val="22"/>
                    <w:szCs w:val="22"/>
                  </w:rPr>
                  <w:t>IDA-D5580</w:t>
                </w:r>
              </w:p>
            </w:tc>
            <w:tc>
              <w:tcPr>
                <w:tcW w:w="1710" w:type="dxa"/>
                <w:tcBorders>
                  <w:top w:val="single" w:sz="4" w:space="0" w:color="D9D9D9"/>
                  <w:left w:val="single" w:sz="4" w:space="0" w:color="D9D9D9"/>
                  <w:bottom w:val="single" w:sz="4" w:space="0" w:color="D9D9D9"/>
                  <w:right w:val="single" w:sz="4" w:space="0" w:color="D9D9D9"/>
                </w:tcBorders>
                <w:shd w:val="clear" w:color="auto" w:fill="F7F7F7"/>
              </w:tcPr>
              <w:p w14:paraId="0486EBBA" w14:textId="77777777" w:rsidR="002F31D5" w:rsidRDefault="00880CEC" w:rsidP="00AD74D1">
                <w:pPr>
                  <w:rPr>
                    <w:rFonts w:ascii="Calibri" w:eastAsia="Times New Roman" w:hAnsi="Calibri" w:cs="Times New Roman"/>
                    <w:b/>
                    <w:color w:val="002060"/>
                    <w:sz w:val="22"/>
                    <w:szCs w:val="22"/>
                  </w:rPr>
                </w:pPr>
                <w:r>
                  <w:rPr>
                    <w:rFonts w:asciiTheme="minorHAnsi" w:hAnsiTheme="minorHAnsi"/>
                    <w:noProof/>
                    <w:sz w:val="22"/>
                    <w:szCs w:val="22"/>
                  </w:rPr>
                  <w:t>Effective</w:t>
                </w:r>
              </w:p>
            </w:tc>
            <w:tc>
              <w:tcPr>
                <w:tcW w:w="1710" w:type="dxa"/>
                <w:tcBorders>
                  <w:top w:val="single" w:sz="4" w:space="0" w:color="D9D9D9"/>
                  <w:left w:val="single" w:sz="4" w:space="0" w:color="D9D9D9"/>
                  <w:bottom w:val="single" w:sz="4" w:space="0" w:color="D9D9D9"/>
                  <w:right w:val="single" w:sz="4" w:space="0" w:color="D9D9D9"/>
                </w:tcBorders>
                <w:shd w:val="clear" w:color="auto" w:fill="F7F7F7"/>
              </w:tcPr>
              <w:p w14:paraId="470DFF29" w14:textId="77777777" w:rsidR="002F31D5" w:rsidRDefault="00880CEC" w:rsidP="00AD74D1">
                <w:pPr>
                  <w:rPr>
                    <w:rFonts w:ascii="Calibri" w:eastAsia="Times New Roman" w:hAnsi="Calibri" w:cs="Times New Roman"/>
                    <w:b/>
                    <w:color w:val="002060"/>
                    <w:sz w:val="22"/>
                    <w:szCs w:val="22"/>
                  </w:rPr>
                </w:pPr>
                <w:r>
                  <w:rPr>
                    <w:rFonts w:asciiTheme="minorHAnsi" w:hAnsiTheme="minorHAnsi"/>
                    <w:noProof/>
                    <w:sz w:val="22"/>
                    <w:szCs w:val="22"/>
                  </w:rPr>
                  <w:t>30-Aug-2026</w:t>
                </w:r>
              </w:p>
            </w:tc>
            <w:tc>
              <w:tcPr>
                <w:tcW w:w="1710" w:type="dxa"/>
                <w:tcBorders>
                  <w:top w:val="single" w:sz="4" w:space="0" w:color="D9D9D9"/>
                  <w:left w:val="single" w:sz="4" w:space="0" w:color="D9D9D9"/>
                  <w:bottom w:val="single" w:sz="4" w:space="0" w:color="D9D9D9"/>
                  <w:right w:val="single" w:sz="4" w:space="0" w:color="D9D9D9"/>
                </w:tcBorders>
                <w:shd w:val="clear" w:color="auto" w:fill="F7F7F7"/>
              </w:tcPr>
              <w:p w14:paraId="7F029165" w14:textId="77777777" w:rsidR="002F31D5" w:rsidRDefault="00880CEC" w:rsidP="00AD74D1">
                <w:pPr>
                  <w:rPr>
                    <w:rFonts w:ascii="Calibri" w:eastAsia="Times New Roman" w:hAnsi="Calibri" w:cs="Times New Roman"/>
                    <w:b/>
                    <w:color w:val="002060"/>
                    <w:sz w:val="22"/>
                    <w:szCs w:val="22"/>
                  </w:rPr>
                </w:pPr>
                <w:r>
                  <w:rPr>
                    <w:rFonts w:asciiTheme="minorHAnsi" w:hAnsiTheme="minorHAnsi"/>
                    <w:noProof/>
                    <w:sz w:val="22"/>
                    <w:szCs w:val="22"/>
                  </w:rPr>
                  <w:t>30-Aug-2026</w:t>
                </w:r>
              </w:p>
            </w:tc>
            <w:tc>
              <w:tcPr>
                <w:tcW w:w="1710" w:type="dxa"/>
                <w:tcBorders>
                  <w:top w:val="single" w:sz="4" w:space="0" w:color="D9D9D9"/>
                  <w:left w:val="single" w:sz="4" w:space="0" w:color="D9D9D9"/>
                  <w:bottom w:val="single" w:sz="4" w:space="0" w:color="D9D9D9"/>
                  <w:right w:val="single" w:sz="4" w:space="0" w:color="D9D9D9"/>
                </w:tcBorders>
                <w:shd w:val="clear" w:color="auto" w:fill="F7F7F7"/>
              </w:tcPr>
              <w:p w14:paraId="2090D72A" w14:textId="77777777" w:rsidR="002F31D5" w:rsidRDefault="00880CEC" w:rsidP="00AD74D1">
                <w:pPr>
                  <w:rPr>
                    <w:rFonts w:ascii="Calibri" w:eastAsia="Times New Roman" w:hAnsi="Calibri" w:cs="Times New Roman"/>
                    <w:b/>
                    <w:color w:val="002060"/>
                    <w:sz w:val="22"/>
                    <w:szCs w:val="22"/>
                  </w:rPr>
                </w:pPr>
                <w:r>
                  <w:rPr>
                    <w:rFonts w:asciiTheme="minorHAnsi" w:hAnsiTheme="minorHAnsi"/>
                    <w:noProof/>
                    <w:sz w:val="22"/>
                    <w:szCs w:val="22"/>
                  </w:rPr>
                  <w:t>30-Jul-2032</w:t>
                </w:r>
              </w:p>
            </w:tc>
            <w:tc>
              <w:tcPr>
                <w:tcW w:w="2070" w:type="dxa"/>
                <w:tcBorders>
                  <w:top w:val="single" w:sz="4" w:space="0" w:color="D9D9D9"/>
                  <w:left w:val="single" w:sz="4" w:space="0" w:color="D9D9D9"/>
                  <w:bottom w:val="single" w:sz="4" w:space="0" w:color="D9D9D9"/>
                  <w:right w:val="single" w:sz="4" w:space="0" w:color="D9D9D9"/>
                </w:tcBorders>
                <w:shd w:val="clear" w:color="auto" w:fill="F7F7F7"/>
              </w:tcPr>
              <w:p w14:paraId="6F9B2951" w14:textId="77777777" w:rsidR="002F31D5" w:rsidRDefault="00880CEC" w:rsidP="00736809">
                <w:pPr>
                  <w:rPr>
                    <w:rFonts w:ascii="Calibri" w:eastAsia="Times New Roman" w:hAnsi="Calibri" w:cs="Times New Roman"/>
                    <w:b/>
                    <w:color w:val="002060"/>
                    <w:sz w:val="22"/>
                    <w:szCs w:val="22"/>
                  </w:rPr>
                </w:pPr>
                <w:r>
                  <w:rPr>
                    <w:rFonts w:asciiTheme="minorHAnsi" w:hAnsiTheme="minorHAnsi"/>
                    <w:noProof/>
                    <w:sz w:val="22"/>
                    <w:szCs w:val="22"/>
                  </w:rPr>
                  <w:t>30-Jan-2033</w:t>
                </w:r>
              </w:p>
            </w:tc>
          </w:tr>
          <w:tr w:rsidR="004F0F3F" w14:paraId="644A8630" w14:textId="77777777" w:rsidTr="00B153CC">
            <w:trPr>
              <w:trHeight w:val="242"/>
            </w:trPr>
            <w:tc>
              <w:tcPr>
                <w:tcW w:w="10525" w:type="dxa"/>
                <w:gridSpan w:val="6"/>
                <w:tcBorders>
                  <w:top w:val="single" w:sz="4" w:space="0" w:color="D9D9D9"/>
                  <w:left w:val="nil"/>
                  <w:bottom w:val="nil"/>
                  <w:right w:val="nil"/>
                </w:tcBorders>
                <w:shd w:val="clear" w:color="auto" w:fill="F7F7F7"/>
              </w:tcPr>
              <w:p w14:paraId="711596E3" w14:textId="77777777" w:rsidR="00B153CC" w:rsidRDefault="00B153CC" w:rsidP="00736809">
                <w:pPr>
                  <w:rPr>
                    <w:rFonts w:asciiTheme="minorHAnsi" w:hAnsiTheme="minorHAnsi"/>
                    <w:noProof/>
                    <w:sz w:val="22"/>
                    <w:szCs w:val="22"/>
                  </w:rPr>
                </w:pPr>
              </w:p>
            </w:tc>
          </w:tr>
        </w:tbl>
        <w:p w14:paraId="1A0AC5DE" w14:textId="77777777" w:rsidR="002F31D5" w:rsidRDefault="002F31D5" w:rsidP="00B153CC">
          <w:pPr>
            <w:shd w:val="clear" w:color="auto" w:fill="F7F7F7"/>
            <w:spacing w:line="14" w:lineRule="exact"/>
            <w:ind w:left="-634"/>
            <w:rPr>
              <w:rFonts w:ascii="Calibri" w:eastAsia="Times New Roman" w:hAnsi="Calibri" w:cs="Times New Roman"/>
              <w:b/>
              <w:color w:val="002060"/>
              <w:sz w:val="22"/>
              <w:szCs w:val="22"/>
            </w:rPr>
          </w:pPr>
        </w:p>
        <w:p w14:paraId="2A5594BD" w14:textId="77777777" w:rsidR="002F31D5" w:rsidRDefault="002F31D5" w:rsidP="00EA08BA">
          <w:pPr>
            <w:shd w:val="clear" w:color="auto" w:fill="F7F7F7"/>
            <w:spacing w:line="14" w:lineRule="exact"/>
            <w:ind w:left="-605" w:right="29"/>
            <w:rPr>
              <w:rFonts w:ascii="Calibri" w:eastAsia="Times New Roman" w:hAnsi="Calibri" w:cs="Times New Roman"/>
              <w:b/>
              <w:color w:val="002060"/>
              <w:sz w:val="22"/>
              <w:szCs w:val="22"/>
            </w:rPr>
          </w:pPr>
        </w:p>
        <w:p w14:paraId="3037EE41" w14:textId="77777777" w:rsidR="00A342FC" w:rsidRDefault="00A342FC" w:rsidP="00630451">
          <w:pPr>
            <w:shd w:val="clear" w:color="auto" w:fill="F7F7F7"/>
            <w:spacing w:line="14" w:lineRule="exact"/>
            <w:ind w:left="-605" w:right="29"/>
            <w:rPr>
              <w:rFonts w:ascii="Calibri" w:eastAsia="Times New Roman" w:hAnsi="Calibri" w:cs="Times New Roman"/>
              <w:b/>
              <w:color w:val="002060"/>
              <w:sz w:val="22"/>
              <w:szCs w:val="22"/>
            </w:rPr>
          </w:pPr>
        </w:p>
        <w:p w14:paraId="6CBBF40D" w14:textId="77777777" w:rsidR="00351E6A" w:rsidRPr="00351E6A" w:rsidRDefault="00351E6A" w:rsidP="00EA08BA">
          <w:pPr>
            <w:shd w:val="clear" w:color="auto" w:fill="F7F7F7"/>
            <w:spacing w:line="14" w:lineRule="exact"/>
            <w:ind w:left="-605" w:right="29"/>
            <w:rPr>
              <w:rFonts w:ascii="Calibri" w:eastAsia="Times New Roman" w:hAnsi="Calibri" w:cs="Times New Roman"/>
              <w:b/>
              <w:color w:val="002060"/>
              <w:sz w:val="22"/>
              <w:szCs w:val="22"/>
            </w:rPr>
          </w:pPr>
        </w:p>
        <w:p w14:paraId="018E78A8" w14:textId="77777777" w:rsidR="00FC40D7" w:rsidRPr="002333A9" w:rsidRDefault="00FC40D7" w:rsidP="002333A9">
          <w:pPr>
            <w:shd w:val="clear" w:color="auto" w:fill="F7F7F7"/>
            <w:spacing w:line="14" w:lineRule="exact"/>
            <w:ind w:left="-605" w:right="29"/>
            <w:rPr>
              <w:rFonts w:ascii="Calibri" w:eastAsia="Times New Roman" w:hAnsi="Calibri" w:cs="Times New Roman"/>
              <w:b/>
              <w:color w:val="F7F7F7"/>
              <w:sz w:val="22"/>
              <w:szCs w:val="22"/>
            </w:rPr>
          </w:pPr>
        </w:p>
        <w:p w14:paraId="51B78817" w14:textId="77777777" w:rsidR="004244C5" w:rsidRPr="00E14432" w:rsidRDefault="004244C5" w:rsidP="00876CE3">
          <w:pPr>
            <w:keepNext/>
            <w:shd w:val="clear" w:color="auto" w:fill="F7F7F7"/>
            <w:ind w:left="-605" w:right="29"/>
            <w:rPr>
              <w:rFonts w:asciiTheme="minorHAnsi" w:hAnsiTheme="minorHAnsi"/>
              <w:color w:val="767171" w:themeColor="background2" w:themeShade="80"/>
              <w:sz w:val="22"/>
              <w:szCs w:val="22"/>
            </w:rPr>
          </w:pPr>
        </w:p>
        <w:p w14:paraId="08ECCA01" w14:textId="77777777" w:rsidR="00876CE3" w:rsidRPr="00074722" w:rsidRDefault="00876CE3" w:rsidP="00494175">
          <w:pPr>
            <w:shd w:val="clear" w:color="auto" w:fill="F7F7F7"/>
            <w:ind w:left="-605" w:right="29"/>
            <w:rPr>
              <w:rFonts w:ascii="Calibri" w:eastAsia="Times New Roman" w:hAnsi="Calibri" w:cs="Times New Roman"/>
              <w:b/>
              <w:color w:val="FF0000"/>
              <w:sz w:val="22"/>
              <w:szCs w:val="22"/>
            </w:rPr>
          </w:pPr>
        </w:p>
        <w:p w14:paraId="7F0E39AA" w14:textId="77777777" w:rsidR="00CC13C8" w:rsidRDefault="00CC13C8" w:rsidP="00494175">
          <w:pPr>
            <w:shd w:val="clear" w:color="auto" w:fill="F7F7F7"/>
            <w:ind w:left="-605" w:right="29"/>
            <w:rPr>
              <w:rFonts w:ascii="Calibri" w:eastAsia="Times New Roman" w:hAnsi="Calibri" w:cs="Times New Roman"/>
              <w:b/>
              <w:color w:val="F7F7F7"/>
              <w:sz w:val="22"/>
              <w:szCs w:val="22"/>
            </w:rPr>
          </w:pPr>
        </w:p>
        <w:p w14:paraId="5FC71C87" w14:textId="77777777" w:rsidR="005826F0" w:rsidRPr="0092215E" w:rsidRDefault="005826F0" w:rsidP="00CC13C8">
          <w:pPr>
            <w:shd w:val="clear" w:color="auto" w:fill="F7F7F7"/>
            <w:spacing w:line="14" w:lineRule="exact"/>
            <w:ind w:right="29"/>
            <w:rPr>
              <w:rFonts w:ascii="Calibri" w:eastAsia="Times New Roman" w:hAnsi="Calibri" w:cs="Times New Roman"/>
              <w:b/>
              <w:color w:val="F7F7F7"/>
              <w:sz w:val="22"/>
              <w:szCs w:val="22"/>
            </w:rPr>
          </w:pPr>
        </w:p>
        <w:p w14:paraId="749E44ED" w14:textId="77777777" w:rsidR="00623C9D" w:rsidRPr="00D63567" w:rsidRDefault="00623C9D" w:rsidP="00D63567">
          <w:pPr>
            <w:shd w:val="clear" w:color="auto" w:fill="F7F7F7"/>
            <w:spacing w:line="14" w:lineRule="exact"/>
            <w:ind w:left="-605" w:right="29"/>
            <w:rPr>
              <w:rFonts w:ascii="Calibri" w:hAnsi="Calibri" w:cs="Times New Roman"/>
              <w:b/>
              <w:color w:val="F7F7F7"/>
              <w:sz w:val="22"/>
              <w:szCs w:val="22"/>
            </w:rPr>
          </w:pPr>
        </w:p>
        <w:p w14:paraId="76C728C9" w14:textId="77777777" w:rsidR="004E423E" w:rsidRDefault="004E423E" w:rsidP="00790A58">
          <w:pPr>
            <w:shd w:val="clear" w:color="auto" w:fill="F7F7F7"/>
            <w:spacing w:line="14" w:lineRule="exact"/>
            <w:ind w:left="-605" w:right="29"/>
            <w:rPr>
              <w:rFonts w:ascii="Calibri" w:eastAsia="Times New Roman" w:hAnsi="Calibri" w:cs="Times New Roman"/>
              <w:b/>
              <w:color w:val="002060"/>
              <w:sz w:val="22"/>
              <w:szCs w:val="22"/>
            </w:rPr>
          </w:pPr>
        </w:p>
        <w:p w14:paraId="5174AE6A" w14:textId="77777777" w:rsidR="00595BC8" w:rsidRDefault="00595BC8" w:rsidP="00595BC8">
          <w:pPr>
            <w:shd w:val="clear" w:color="auto" w:fill="F7F7F7"/>
            <w:ind w:left="-605" w:right="29"/>
            <w:rPr>
              <w:rFonts w:ascii="Calibri" w:eastAsia="Times New Roman" w:hAnsi="Calibri" w:cs="Times New Roman"/>
              <w:b/>
              <w:color w:val="002060"/>
              <w:sz w:val="22"/>
              <w:szCs w:val="22"/>
            </w:rPr>
          </w:pPr>
        </w:p>
        <w:p w14:paraId="0453FB0B" w14:textId="77777777" w:rsidR="00595BC8" w:rsidRDefault="00595BC8" w:rsidP="00AE2908">
          <w:pPr>
            <w:shd w:val="clear" w:color="auto" w:fill="F7F7F7"/>
            <w:ind w:left="-605" w:right="29"/>
            <w:rPr>
              <w:rFonts w:ascii="Calibri" w:eastAsia="Times New Roman" w:hAnsi="Calibri" w:cs="Times New Roman"/>
              <w:b/>
              <w:color w:val="002060"/>
              <w:sz w:val="22"/>
              <w:szCs w:val="22"/>
            </w:rPr>
          </w:pPr>
        </w:p>
        <w:p w14:paraId="24D28301" w14:textId="77777777" w:rsidR="00111AA7" w:rsidRPr="00AD74D1" w:rsidRDefault="00111AA7" w:rsidP="00A96483">
          <w:pPr>
            <w:shd w:val="clear" w:color="auto" w:fill="F7F7F7"/>
            <w:ind w:left="-605" w:right="29"/>
            <w:rPr>
              <w:rFonts w:ascii="Calibri" w:eastAsia="Times New Roman" w:hAnsi="Calibri" w:cs="Times New Roman"/>
              <w:b/>
              <w:color w:val="002060"/>
              <w:sz w:val="22"/>
              <w:szCs w:val="22"/>
            </w:rPr>
          </w:pPr>
        </w:p>
        <w:sdt>
          <w:sdtPr>
            <w:tag w:val="OPS_CORE_SECTION_END_6"/>
            <w:id w:val="482349524"/>
            <w:lock w:val="sdtContentLocked"/>
            <w:placeholder>
              <w:docPart w:val="FB16AFAD44134EE9A6542D4FA206E679"/>
            </w:placeholder>
          </w:sdtPr>
          <w:sdtContent>
            <w:p w14:paraId="3AF88512" w14:textId="77777777" w:rsidR="00C33B5B" w:rsidRPr="00AD74D1" w:rsidRDefault="00880CEC" w:rsidP="00E3778C">
              <w:pPr>
                <w:pStyle w:val="Normal4"/>
                <w:spacing w:after="0" w:line="14" w:lineRule="exact"/>
                <w:ind w:left="-907"/>
                <w:rPr>
                  <w:rFonts w:ascii="Calibri" w:eastAsia="Times New Roman" w:hAnsi="Calibri" w:cs="Times New Roman"/>
                  <w:b/>
                  <w:color w:val="002060"/>
                </w:rPr>
              </w:pPr>
              <w:r w:rsidRPr="005315C1">
                <w:rPr>
                  <w:color w:val="FFFFFF" w:themeColor="background1"/>
                </w:rPr>
                <w:t xml:space="preserve"> </w:t>
              </w:r>
            </w:p>
          </w:sdtContent>
        </w:sdt>
        <w:p w14:paraId="6B15D6DB" w14:textId="77777777" w:rsidR="003615CB" w:rsidRDefault="00000000" w:rsidP="00C33B5B">
          <w:pPr>
            <w:shd w:val="clear" w:color="auto" w:fill="F7F7F7"/>
            <w:spacing w:line="14" w:lineRule="exact"/>
            <w:rPr>
              <w:rFonts w:asciiTheme="minorHAnsi" w:hAnsiTheme="minorHAnsi"/>
              <w:b/>
              <w:bCs/>
              <w:color w:val="7F7F7F" w:themeColor="text1" w:themeTint="80"/>
              <w:sz w:val="22"/>
              <w:szCs w:val="22"/>
            </w:rPr>
            <w:sectPr w:rsidR="003615CB" w:rsidSect="00E51AFC">
              <w:type w:val="continuous"/>
              <w:pgSz w:w="12240" w:h="15840" w:code="1"/>
              <w:pgMar w:top="1440" w:right="900" w:bottom="1440" w:left="1440" w:header="720" w:footer="720" w:gutter="0"/>
              <w:pgBorders w:offsetFrom="page">
                <w:bottom w:val="single" w:sz="8" w:space="24" w:color="F7F7F7"/>
              </w:pgBorders>
              <w:cols w:space="720"/>
              <w:docGrid w:linePitch="360"/>
            </w:sectPr>
          </w:pPr>
        </w:p>
      </w:sdtContent>
    </w:sdt>
    <w:tbl>
      <w:tblPr>
        <w:tblStyle w:val="TableGrid"/>
        <w:tblW w:w="1413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C"/>
        <w:tblLayout w:type="fixed"/>
        <w:tblLook w:val="04A0" w:firstRow="1" w:lastRow="0" w:firstColumn="1" w:lastColumn="0" w:noHBand="0" w:noVBand="1"/>
      </w:tblPr>
      <w:tblGrid>
        <w:gridCol w:w="14130"/>
      </w:tblGrid>
      <w:tr w:rsidR="004F0F3F" w14:paraId="24E0FEA0" w14:textId="77777777" w:rsidTr="00CB3A8D">
        <w:trPr>
          <w:trHeight w:val="432"/>
        </w:trPr>
        <w:tc>
          <w:tcPr>
            <w:tcW w:w="14130" w:type="dxa"/>
            <w:shd w:val="clear" w:color="auto" w:fill="F2F7FC"/>
            <w:vAlign w:val="center"/>
          </w:tcPr>
          <w:p w14:paraId="3FE08F29" w14:textId="77777777" w:rsidR="00C33B5B" w:rsidRPr="00B77CBF" w:rsidRDefault="00880CEC" w:rsidP="00CB3A8D">
            <w:pPr>
              <w:pStyle w:val="NoSpacing"/>
              <w:jc w:val="center"/>
              <w:outlineLvl w:val="0"/>
              <w:rPr>
                <w:rFonts w:asciiTheme="minorHAnsi" w:hAnsiTheme="minorHAnsi"/>
                <w:b/>
              </w:rPr>
            </w:pPr>
            <w:bookmarkStart w:id="41" w:name="_Toc256000009"/>
            <w:bookmarkStart w:id="42" w:name="_Toc460509215"/>
            <w:bookmarkStart w:id="43" w:name="_Toc517269164"/>
            <w:bookmarkStart w:id="44" w:name="_Toc520325359"/>
            <w:bookmarkStart w:id="45" w:name="_Toc104869138"/>
            <w:r>
              <w:rPr>
                <w:rFonts w:asciiTheme="minorHAnsi" w:hAnsiTheme="minorHAnsi"/>
                <w:b/>
                <w:color w:val="000000" w:themeColor="text1"/>
              </w:rPr>
              <w:lastRenderedPageBreak/>
              <w:t>IX</w:t>
            </w:r>
            <w:r w:rsidRPr="003C3319">
              <w:rPr>
                <w:rFonts w:asciiTheme="minorHAnsi" w:hAnsiTheme="minorHAnsi"/>
                <w:b/>
                <w:color w:val="000000" w:themeColor="text1"/>
              </w:rPr>
              <w:t xml:space="preserve">. </w:t>
            </w:r>
            <w:r w:rsidR="00C95CF1">
              <w:rPr>
                <w:rFonts w:asciiTheme="minorHAnsi" w:hAnsiTheme="minorHAnsi"/>
                <w:b/>
                <w:color w:val="000000" w:themeColor="text1"/>
              </w:rPr>
              <w:t xml:space="preserve">  </w:t>
            </w:r>
            <w:r w:rsidRPr="003C3319">
              <w:rPr>
                <w:rFonts w:asciiTheme="minorHAnsi" w:hAnsiTheme="minorHAnsi"/>
                <w:b/>
                <w:color w:val="000000" w:themeColor="text1"/>
              </w:rPr>
              <w:t>RESULTS FRAMEWORK AND MONITORING</w:t>
            </w:r>
            <w:bookmarkEnd w:id="41"/>
            <w:bookmarkEnd w:id="42"/>
            <w:bookmarkEnd w:id="43"/>
            <w:bookmarkEnd w:id="44"/>
            <w:bookmarkEnd w:id="45"/>
          </w:p>
        </w:tc>
      </w:tr>
    </w:tbl>
    <w:p w14:paraId="6694F4B9" w14:textId="77777777" w:rsidR="00C33B5B" w:rsidRDefault="00C33B5B" w:rsidP="00C33B5B">
      <w:pPr>
        <w:ind w:left="-792"/>
        <w:rPr>
          <w:rFonts w:asciiTheme="minorHAnsi" w:hAnsiTheme="minorHAnsi"/>
          <w:b/>
          <w:bCs/>
          <w:color w:val="7F7F7F" w:themeColor="text1" w:themeTint="80"/>
          <w:sz w:val="22"/>
          <w:szCs w:val="22"/>
        </w:rPr>
      </w:pPr>
    </w:p>
    <w:tbl>
      <w:tblPr>
        <w:tblStyle w:val="TableGrid"/>
        <w:tblW w:w="14130"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ayout w:type="fixed"/>
        <w:tblLook w:val="04A0" w:firstRow="1" w:lastRow="0" w:firstColumn="1" w:lastColumn="0" w:noHBand="0" w:noVBand="1"/>
      </w:tblPr>
      <w:tblGrid>
        <w:gridCol w:w="14130"/>
      </w:tblGrid>
      <w:tr w:rsidR="00453F54" w14:paraId="2593B551" w14:textId="77777777" w:rsidTr="00A64B72">
        <w:tc>
          <w:tcPr>
            <w:tcW w:w="14126" w:type="dxa"/>
            <w:shd w:val="clear" w:color="auto" w:fill="F7F7F7"/>
          </w:tcPr>
          <w:p w14:paraId="48C7B840" w14:textId="77777777" w:rsidR="00453F54" w:rsidRDefault="00453F54" w:rsidP="00A64B72">
            <w:pPr>
              <w:jc w:val="center"/>
              <w:rPr>
                <w:rFonts w:asciiTheme="minorHAnsi" w:hAnsiTheme="minorHAnsi"/>
                <w:b/>
                <w:color w:val="0D0D0D" w:themeColor="text1" w:themeTint="F2"/>
                <w:sz w:val="22"/>
                <w:szCs w:val="22"/>
              </w:rPr>
            </w:pPr>
          </w:p>
          <w:p w14:paraId="30F441F9" w14:textId="77777777" w:rsidR="00453F54" w:rsidRDefault="00453F54" w:rsidP="00A64B72">
            <w:pPr>
              <w:jc w:val="center"/>
              <w:rPr>
                <w:rFonts w:asciiTheme="minorHAnsi" w:hAnsiTheme="minorHAnsi"/>
                <w:b/>
                <w:caps/>
                <w:sz w:val="22"/>
                <w:szCs w:val="22"/>
              </w:rPr>
            </w:pPr>
            <w:r>
              <w:rPr>
                <w:rFonts w:asciiTheme="minorHAnsi" w:hAnsiTheme="minorHAnsi"/>
                <w:b/>
                <w:color w:val="0D0D0D" w:themeColor="text1" w:themeTint="F2"/>
                <w:sz w:val="22"/>
                <w:szCs w:val="22"/>
              </w:rPr>
              <w:t>Results Framework</w:t>
            </w:r>
          </w:p>
        </w:tc>
      </w:tr>
      <w:tr w:rsidR="00453F54" w14:paraId="3CAFDDC9" w14:textId="77777777" w:rsidTr="00A64B72">
        <w:tc>
          <w:tcPr>
            <w:tcW w:w="14126" w:type="dxa"/>
            <w:shd w:val="clear" w:color="auto" w:fill="F7F7F7"/>
            <w:hideMark/>
          </w:tcPr>
          <w:p w14:paraId="2E9F9F52" w14:textId="77777777" w:rsidR="00453F54" w:rsidRDefault="00453F54" w:rsidP="00A64B72">
            <w:pPr>
              <w:jc w:val="center"/>
              <w:rPr>
                <w:rFonts w:asciiTheme="minorHAnsi" w:hAnsiTheme="minorHAnsi"/>
                <w:b/>
                <w:color w:val="0D0D0D" w:themeColor="text1" w:themeTint="F2"/>
                <w:sz w:val="22"/>
                <w:szCs w:val="22"/>
              </w:rPr>
            </w:pPr>
            <w:r w:rsidRPr="001252A9">
              <w:rPr>
                <w:rFonts w:asciiTheme="minorHAnsi" w:hAnsiTheme="minorHAnsi"/>
                <w:b/>
                <w:bCs/>
                <w:color w:val="auto"/>
                <w:sz w:val="22"/>
                <w:szCs w:val="22"/>
              </w:rPr>
              <w:t xml:space="preserve">COUNTRY: </w:t>
            </w:r>
            <w:r>
              <w:rPr>
                <w:rFonts w:asciiTheme="minorHAnsi" w:hAnsiTheme="minorHAnsi"/>
                <w:b/>
                <w:bCs/>
                <w:color w:val="auto"/>
                <w:sz w:val="22"/>
                <w:szCs w:val="22"/>
              </w:rPr>
              <w:t xml:space="preserve">Republic of </w:t>
            </w:r>
            <w:r w:rsidRPr="001252A9">
              <w:rPr>
                <w:rFonts w:asciiTheme="minorHAnsi" w:hAnsiTheme="minorHAnsi"/>
                <w:b/>
                <w:bCs/>
                <w:noProof/>
                <w:color w:val="auto"/>
                <w:sz w:val="22"/>
                <w:szCs w:val="22"/>
              </w:rPr>
              <w:t>Tajikistan</w:t>
            </w:r>
            <w:r w:rsidRPr="001252A9">
              <w:rPr>
                <w:rFonts w:asciiTheme="minorHAnsi" w:hAnsiTheme="minorHAnsi"/>
                <w:b/>
                <w:bCs/>
                <w:color w:val="auto"/>
                <w:sz w:val="22"/>
                <w:szCs w:val="22"/>
              </w:rPr>
              <w:t xml:space="preserve"> </w:t>
            </w:r>
            <w:r w:rsidRPr="001252A9">
              <w:rPr>
                <w:rFonts w:asciiTheme="minorHAnsi" w:hAnsiTheme="minorHAnsi"/>
                <w:b/>
                <w:bCs/>
                <w:color w:val="auto"/>
                <w:sz w:val="22"/>
                <w:szCs w:val="22"/>
              </w:rPr>
              <w:br/>
            </w:r>
            <w:r w:rsidRPr="001252A9">
              <w:rPr>
                <w:rFonts w:asciiTheme="minorHAnsi" w:hAnsiTheme="minorHAnsi"/>
                <w:b/>
                <w:bCs/>
                <w:noProof/>
                <w:color w:val="auto"/>
                <w:sz w:val="22"/>
                <w:szCs w:val="22"/>
              </w:rPr>
              <w:t>Power Utility Financial Recovery</w:t>
            </w:r>
            <w:r>
              <w:rPr>
                <w:rFonts w:asciiTheme="minorHAnsi" w:hAnsiTheme="minorHAnsi"/>
                <w:b/>
                <w:bCs/>
                <w:noProof/>
                <w:color w:val="auto"/>
                <w:sz w:val="22"/>
                <w:szCs w:val="22"/>
              </w:rPr>
              <w:t xml:space="preserve"> Program for Results</w:t>
            </w:r>
          </w:p>
        </w:tc>
      </w:tr>
    </w:tbl>
    <w:p w14:paraId="41DC4F6C" w14:textId="77777777" w:rsidR="00453F54" w:rsidRDefault="00453F54" w:rsidP="00453F54">
      <w:pPr>
        <w:shd w:val="clear" w:color="auto" w:fill="F7F7F7"/>
        <w:ind w:left="-547" w:right="-562"/>
        <w:rPr>
          <w:rFonts w:asciiTheme="minorHAnsi" w:hAnsiTheme="minorHAnsi"/>
          <w:b/>
          <w:bCs/>
          <w:color w:val="auto"/>
          <w:sz w:val="22"/>
          <w:szCs w:val="22"/>
        </w:rPr>
      </w:pPr>
    </w:p>
    <w:tbl>
      <w:tblPr>
        <w:tblStyle w:val="TableGrid"/>
        <w:tblW w:w="14130"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ayout w:type="fixed"/>
        <w:tblLook w:val="04A0" w:firstRow="1" w:lastRow="0" w:firstColumn="1" w:lastColumn="0" w:noHBand="0" w:noVBand="1"/>
      </w:tblPr>
      <w:tblGrid>
        <w:gridCol w:w="14130"/>
      </w:tblGrid>
      <w:tr w:rsidR="00453F54" w14:paraId="0F508CD2" w14:textId="77777777" w:rsidTr="00A64B72">
        <w:trPr>
          <w:trHeight w:val="360"/>
        </w:trPr>
        <w:tc>
          <w:tcPr>
            <w:tcW w:w="14130" w:type="dxa"/>
            <w:shd w:val="clear" w:color="auto" w:fill="F7F7F7"/>
          </w:tcPr>
          <w:p w14:paraId="72BA587F" w14:textId="77777777" w:rsidR="00453F54" w:rsidRDefault="00453F54" w:rsidP="00A64B72">
            <w:pPr>
              <w:rPr>
                <w:rFonts w:asciiTheme="minorHAnsi" w:hAnsiTheme="minorHAnsi"/>
                <w:b/>
                <w:color w:val="172D5F"/>
                <w:sz w:val="22"/>
                <w:szCs w:val="22"/>
              </w:rPr>
            </w:pPr>
            <w:r>
              <w:rPr>
                <w:rFonts w:asciiTheme="minorHAnsi" w:hAnsiTheme="minorHAnsi" w:cstheme="minorHAnsi"/>
                <w:b/>
                <w:color w:val="172D5F"/>
                <w:sz w:val="22"/>
                <w:szCs w:val="22"/>
              </w:rPr>
              <w:t>Program</w:t>
            </w:r>
            <w:r w:rsidRPr="00565C6B">
              <w:rPr>
                <w:rFonts w:asciiTheme="minorHAnsi" w:hAnsiTheme="minorHAnsi" w:cstheme="minorHAnsi"/>
                <w:b/>
                <w:color w:val="172D5F"/>
                <w:sz w:val="22"/>
                <w:szCs w:val="22"/>
              </w:rPr>
              <w:t xml:space="preserve"> </w:t>
            </w:r>
            <w:r w:rsidRPr="00934FB8">
              <w:rPr>
                <w:rFonts w:asciiTheme="minorHAnsi" w:hAnsiTheme="minorHAnsi"/>
                <w:b/>
                <w:color w:val="172D5F"/>
                <w:sz w:val="22"/>
                <w:szCs w:val="22"/>
              </w:rPr>
              <w:t>Development Objective</w:t>
            </w:r>
            <w:r>
              <w:rPr>
                <w:rFonts w:asciiTheme="minorHAnsi" w:hAnsiTheme="minorHAnsi"/>
                <w:b/>
                <w:color w:val="172D5F"/>
                <w:sz w:val="22"/>
                <w:szCs w:val="22"/>
              </w:rPr>
              <w:t>(</w:t>
            </w:r>
            <w:r w:rsidRPr="00934FB8">
              <w:rPr>
                <w:rFonts w:asciiTheme="minorHAnsi" w:hAnsiTheme="minorHAnsi"/>
                <w:b/>
                <w:color w:val="172D5F"/>
                <w:sz w:val="22"/>
                <w:szCs w:val="22"/>
              </w:rPr>
              <w:t>s</w:t>
            </w:r>
            <w:r>
              <w:rPr>
                <w:rFonts w:asciiTheme="minorHAnsi" w:hAnsiTheme="minorHAnsi"/>
                <w:b/>
                <w:color w:val="172D5F"/>
                <w:sz w:val="22"/>
                <w:szCs w:val="22"/>
              </w:rPr>
              <w:t>)</w:t>
            </w:r>
          </w:p>
          <w:p w14:paraId="3BDFAF30" w14:textId="74D678D5" w:rsidR="00C32182" w:rsidRPr="00934FB8" w:rsidRDefault="00C32182" w:rsidP="00A64B72">
            <w:pPr>
              <w:rPr>
                <w:rFonts w:asciiTheme="minorHAnsi" w:hAnsiTheme="minorHAnsi"/>
                <w:sz w:val="22"/>
                <w:szCs w:val="22"/>
              </w:rPr>
            </w:pPr>
            <w:r>
              <w:rPr>
                <w:rFonts w:asciiTheme="minorHAnsi" w:hAnsiTheme="minorHAnsi" w:cstheme="minorHAnsi"/>
                <w:bCs/>
                <w:noProof/>
                <w:sz w:val="22"/>
                <w:szCs w:val="22"/>
              </w:rPr>
              <w:t xml:space="preserve">The Program development objectives are </w:t>
            </w:r>
            <w:r w:rsidRPr="009638BF">
              <w:rPr>
                <w:rFonts w:asciiTheme="minorHAnsi" w:hAnsiTheme="minorHAnsi" w:cstheme="minorHAnsi"/>
                <w:bCs/>
                <w:noProof/>
                <w:sz w:val="22"/>
                <w:szCs w:val="22"/>
              </w:rPr>
              <w:t>to improve the financial viability, increase the reliability of electricity supply, and strengthen the governance of Barqi Tojik OJS</w:t>
            </w:r>
            <w:r>
              <w:rPr>
                <w:rFonts w:asciiTheme="minorHAnsi" w:hAnsiTheme="minorHAnsi" w:cstheme="minorHAnsi"/>
                <w:bCs/>
                <w:noProof/>
                <w:sz w:val="22"/>
                <w:szCs w:val="22"/>
              </w:rPr>
              <w:t>H</w:t>
            </w:r>
            <w:r w:rsidRPr="009638BF">
              <w:rPr>
                <w:rFonts w:asciiTheme="minorHAnsi" w:hAnsiTheme="minorHAnsi" w:cstheme="minorHAnsi"/>
                <w:bCs/>
                <w:noProof/>
                <w:sz w:val="22"/>
                <w:szCs w:val="22"/>
              </w:rPr>
              <w:t xml:space="preserve">C, </w:t>
            </w:r>
            <w:proofErr w:type="spellStart"/>
            <w:r w:rsidRPr="009638BF">
              <w:rPr>
                <w:rFonts w:asciiTheme="minorHAnsi" w:eastAsia="Times New Roman" w:hAnsiTheme="minorHAnsi" w:cstheme="minorHAnsi"/>
                <w:sz w:val="22"/>
                <w:szCs w:val="22"/>
              </w:rPr>
              <w:t>Shabakahoi</w:t>
            </w:r>
            <w:proofErr w:type="spellEnd"/>
            <w:r w:rsidRPr="009638BF">
              <w:rPr>
                <w:rFonts w:asciiTheme="minorHAnsi" w:eastAsia="Times New Roman" w:hAnsiTheme="minorHAnsi" w:cstheme="minorHAnsi"/>
                <w:sz w:val="22"/>
                <w:szCs w:val="22"/>
              </w:rPr>
              <w:t xml:space="preserve"> </w:t>
            </w:r>
            <w:proofErr w:type="spellStart"/>
            <w:r w:rsidRPr="009638BF">
              <w:rPr>
                <w:rFonts w:asciiTheme="minorHAnsi" w:eastAsia="Times New Roman" w:hAnsiTheme="minorHAnsi" w:cstheme="minorHAnsi"/>
                <w:sz w:val="22"/>
                <w:szCs w:val="22"/>
              </w:rPr>
              <w:t>Intiqoli</w:t>
            </w:r>
            <w:proofErr w:type="spellEnd"/>
            <w:r w:rsidRPr="009638BF">
              <w:rPr>
                <w:rFonts w:asciiTheme="minorHAnsi" w:eastAsia="Times New Roman" w:hAnsiTheme="minorHAnsi" w:cstheme="minorHAnsi"/>
                <w:sz w:val="22"/>
                <w:szCs w:val="22"/>
              </w:rPr>
              <w:t xml:space="preserve"> </w:t>
            </w:r>
            <w:proofErr w:type="spellStart"/>
            <w:r w:rsidRPr="009638BF">
              <w:rPr>
                <w:rFonts w:asciiTheme="minorHAnsi" w:eastAsia="Times New Roman" w:hAnsiTheme="minorHAnsi" w:cstheme="minorHAnsi"/>
                <w:sz w:val="22"/>
                <w:szCs w:val="22"/>
              </w:rPr>
              <w:t>Barq</w:t>
            </w:r>
            <w:proofErr w:type="spellEnd"/>
            <w:r w:rsidRPr="009638BF">
              <w:rPr>
                <w:rFonts w:asciiTheme="minorHAnsi" w:eastAsia="Times New Roman" w:hAnsiTheme="minorHAnsi" w:cstheme="minorHAnsi"/>
                <w:sz w:val="22"/>
                <w:szCs w:val="22"/>
              </w:rPr>
              <w:t xml:space="preserve"> OJSC, and </w:t>
            </w:r>
            <w:proofErr w:type="spellStart"/>
            <w:r w:rsidRPr="009638BF">
              <w:rPr>
                <w:rFonts w:asciiTheme="minorHAnsi" w:eastAsia="Times New Roman" w:hAnsiTheme="minorHAnsi" w:cstheme="minorHAnsi"/>
                <w:sz w:val="22"/>
                <w:szCs w:val="22"/>
              </w:rPr>
              <w:t>Shabakahoi</w:t>
            </w:r>
            <w:proofErr w:type="spellEnd"/>
            <w:r w:rsidRPr="009638BF">
              <w:rPr>
                <w:rFonts w:asciiTheme="minorHAnsi" w:eastAsia="Times New Roman" w:hAnsiTheme="minorHAnsi" w:cstheme="minorHAnsi"/>
                <w:sz w:val="22"/>
                <w:szCs w:val="22"/>
              </w:rPr>
              <w:t xml:space="preserve"> </w:t>
            </w:r>
            <w:proofErr w:type="spellStart"/>
            <w:r w:rsidRPr="009638BF">
              <w:rPr>
                <w:rFonts w:asciiTheme="minorHAnsi" w:eastAsia="Times New Roman" w:hAnsiTheme="minorHAnsi" w:cstheme="minorHAnsi"/>
                <w:sz w:val="22"/>
                <w:szCs w:val="22"/>
              </w:rPr>
              <w:t>Taqsimoti</w:t>
            </w:r>
            <w:proofErr w:type="spellEnd"/>
            <w:r w:rsidRPr="009638BF">
              <w:rPr>
                <w:rFonts w:asciiTheme="minorHAnsi" w:eastAsia="Times New Roman" w:hAnsiTheme="minorHAnsi" w:cstheme="minorHAnsi"/>
                <w:sz w:val="22"/>
                <w:szCs w:val="22"/>
              </w:rPr>
              <w:t xml:space="preserve"> </w:t>
            </w:r>
            <w:proofErr w:type="spellStart"/>
            <w:r w:rsidRPr="009638BF">
              <w:rPr>
                <w:rFonts w:asciiTheme="minorHAnsi" w:eastAsia="Times New Roman" w:hAnsiTheme="minorHAnsi" w:cstheme="minorHAnsi"/>
                <w:sz w:val="22"/>
                <w:szCs w:val="22"/>
              </w:rPr>
              <w:t>Barq</w:t>
            </w:r>
            <w:proofErr w:type="spellEnd"/>
            <w:r w:rsidRPr="009638BF">
              <w:rPr>
                <w:rFonts w:asciiTheme="minorHAnsi" w:eastAsia="Times New Roman" w:hAnsiTheme="minorHAnsi" w:cstheme="minorHAnsi"/>
                <w:sz w:val="22"/>
                <w:szCs w:val="22"/>
              </w:rPr>
              <w:t xml:space="preserve"> OJSC</w:t>
            </w:r>
            <w:r>
              <w:rPr>
                <w:rFonts w:asciiTheme="minorHAnsi" w:eastAsia="Times New Roman" w:hAnsiTheme="minorHAnsi" w:cstheme="minorHAnsi"/>
                <w:sz w:val="22"/>
                <w:szCs w:val="22"/>
              </w:rPr>
              <w:t>.</w:t>
            </w:r>
          </w:p>
        </w:tc>
      </w:tr>
    </w:tbl>
    <w:p w14:paraId="6677CBBE" w14:textId="77777777" w:rsidR="00453F54" w:rsidRDefault="00453F54" w:rsidP="00453F54">
      <w:pPr>
        <w:shd w:val="clear" w:color="auto" w:fill="F7F7F7"/>
        <w:spacing w:line="80" w:lineRule="exact"/>
        <w:ind w:left="-547" w:right="-562"/>
        <w:rPr>
          <w:rFonts w:asciiTheme="minorHAnsi" w:hAnsiTheme="minorHAnsi"/>
          <w:b/>
          <w:bCs/>
          <w:color w:val="auto"/>
          <w:sz w:val="22"/>
          <w:szCs w:val="22"/>
        </w:rPr>
      </w:pPr>
    </w:p>
    <w:tbl>
      <w:tblPr>
        <w:tblStyle w:val="TableGrid"/>
        <w:tblW w:w="14126"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6"/>
      </w:tblGrid>
      <w:tr w:rsidR="00453F54" w14:paraId="756C9B67" w14:textId="77777777" w:rsidTr="00A64B72">
        <w:trPr>
          <w:trHeight w:val="432"/>
        </w:trPr>
        <w:tc>
          <w:tcPr>
            <w:tcW w:w="14126" w:type="dxa"/>
            <w:shd w:val="clear" w:color="auto" w:fill="F7F7F7"/>
            <w:vAlign w:val="center"/>
            <w:hideMark/>
          </w:tcPr>
          <w:p w14:paraId="1CD012C4" w14:textId="77777777" w:rsidR="00453F54" w:rsidRDefault="00453F54" w:rsidP="00A64B72">
            <w:pPr>
              <w:rPr>
                <w:rFonts w:ascii="Calibri" w:eastAsia="Times New Roman" w:hAnsi="Calibri" w:cs="Times New Roman"/>
                <w:b/>
                <w:color w:val="172D5F"/>
                <w:sz w:val="22"/>
                <w:szCs w:val="22"/>
              </w:rPr>
            </w:pPr>
            <w:r w:rsidRPr="00565C6B">
              <w:rPr>
                <w:rFonts w:asciiTheme="minorHAnsi" w:hAnsiTheme="minorHAnsi" w:cstheme="minorHAnsi"/>
                <w:b/>
                <w:color w:val="002060"/>
                <w:sz w:val="22"/>
                <w:szCs w:val="22"/>
              </w:rPr>
              <w:t>Program Development Objective Indicators</w:t>
            </w:r>
            <w:r>
              <w:rPr>
                <w:rFonts w:asciiTheme="minorHAnsi" w:hAnsiTheme="minorHAnsi" w:cstheme="minorHAnsi"/>
                <w:b/>
                <w:color w:val="002060"/>
                <w:sz w:val="22"/>
                <w:szCs w:val="22"/>
              </w:rPr>
              <w:t xml:space="preserve"> by Objectives/Outcomes</w:t>
            </w:r>
          </w:p>
        </w:tc>
      </w:tr>
    </w:tbl>
    <w:tbl>
      <w:tblPr>
        <w:tblW w:w="14130" w:type="dxa"/>
        <w:tblInd w:w="-576" w:type="dxa"/>
        <w:shd w:val="clear" w:color="auto" w:fill="F7F7F7"/>
        <w:tblLayout w:type="fixed"/>
        <w:tblCellMar>
          <w:left w:w="0" w:type="dxa"/>
          <w:right w:w="0" w:type="dxa"/>
        </w:tblCellMar>
        <w:tblLook w:val="04A0" w:firstRow="1" w:lastRow="0" w:firstColumn="1" w:lastColumn="0" w:noHBand="0" w:noVBand="1"/>
      </w:tblPr>
      <w:tblGrid>
        <w:gridCol w:w="6156"/>
        <w:gridCol w:w="630"/>
        <w:gridCol w:w="3690"/>
        <w:gridCol w:w="3654"/>
      </w:tblGrid>
      <w:tr w:rsidR="00453F54" w14:paraId="36BEA8E2" w14:textId="77777777" w:rsidTr="00A64B72">
        <w:trPr>
          <w:trHeight w:val="20"/>
          <w:tblHeader/>
        </w:trPr>
        <w:tc>
          <w:tcPr>
            <w:tcW w:w="6156" w:type="dxa"/>
            <w:tcBorders>
              <w:top w:val="nil"/>
              <w:left w:val="nil"/>
              <w:bottom w:val="single" w:sz="4" w:space="0" w:color="auto"/>
              <w:right w:val="nil"/>
            </w:tcBorders>
            <w:shd w:val="clear" w:color="auto" w:fill="F7F7F7"/>
            <w:vAlign w:val="center"/>
            <w:hideMark/>
          </w:tcPr>
          <w:p w14:paraId="6292B314" w14:textId="77777777" w:rsidR="00453F54" w:rsidRDefault="00453F54" w:rsidP="00A64B72">
            <w:pPr>
              <w:keepNext/>
              <w:keepLines/>
              <w:spacing w:after="60"/>
              <w:ind w:left="115"/>
              <w:rPr>
                <w:rFonts w:asciiTheme="minorHAnsi" w:hAnsiTheme="minorHAnsi" w:cstheme="minorHAnsi"/>
                <w:b/>
                <w:color w:val="F7F7F7"/>
                <w:sz w:val="2"/>
                <w:szCs w:val="2"/>
              </w:rPr>
            </w:pPr>
            <w:r>
              <w:rPr>
                <w:rFonts w:asciiTheme="minorHAnsi" w:hAnsiTheme="minorHAnsi" w:cstheme="minorHAnsi"/>
                <w:b/>
                <w:color w:val="F7F7F7"/>
                <w:sz w:val="2"/>
                <w:szCs w:val="2"/>
              </w:rPr>
              <w:t>RESULT_FRAME_TBL_PDO</w:t>
            </w:r>
          </w:p>
        </w:tc>
        <w:tc>
          <w:tcPr>
            <w:tcW w:w="630" w:type="dxa"/>
            <w:tcBorders>
              <w:top w:val="nil"/>
              <w:left w:val="nil"/>
              <w:bottom w:val="single" w:sz="4" w:space="0" w:color="auto"/>
              <w:right w:val="nil"/>
            </w:tcBorders>
            <w:shd w:val="clear" w:color="auto" w:fill="F7F7F7"/>
            <w:vAlign w:val="center"/>
          </w:tcPr>
          <w:p w14:paraId="30ECFF6D" w14:textId="77777777" w:rsidR="00453F54" w:rsidRDefault="00453F54" w:rsidP="00A64B72">
            <w:pPr>
              <w:keepNext/>
              <w:keepLines/>
              <w:spacing w:after="60"/>
              <w:ind w:left="115"/>
              <w:jc w:val="center"/>
              <w:rPr>
                <w:rFonts w:asciiTheme="minorHAnsi" w:hAnsiTheme="minorHAnsi" w:cstheme="minorHAnsi"/>
                <w:b/>
                <w:color w:val="F7F7F7"/>
                <w:sz w:val="2"/>
                <w:szCs w:val="2"/>
              </w:rPr>
            </w:pPr>
          </w:p>
        </w:tc>
        <w:tc>
          <w:tcPr>
            <w:tcW w:w="3690" w:type="dxa"/>
            <w:tcBorders>
              <w:top w:val="nil"/>
              <w:left w:val="nil"/>
              <w:bottom w:val="single" w:sz="4" w:space="0" w:color="auto"/>
              <w:right w:val="nil"/>
            </w:tcBorders>
            <w:shd w:val="clear" w:color="auto" w:fill="F7F7F7"/>
            <w:vAlign w:val="center"/>
          </w:tcPr>
          <w:p w14:paraId="0F0FC76D" w14:textId="77777777" w:rsidR="00453F54" w:rsidRDefault="00453F54" w:rsidP="00A64B72">
            <w:pPr>
              <w:keepNext/>
              <w:keepLines/>
              <w:spacing w:after="60"/>
              <w:ind w:left="115"/>
              <w:jc w:val="center"/>
              <w:rPr>
                <w:rFonts w:asciiTheme="minorHAnsi" w:hAnsiTheme="minorHAnsi" w:cstheme="minorHAnsi"/>
                <w:b/>
                <w:color w:val="F7F7F7"/>
                <w:sz w:val="2"/>
                <w:szCs w:val="2"/>
              </w:rPr>
            </w:pPr>
          </w:p>
        </w:tc>
        <w:tc>
          <w:tcPr>
            <w:tcW w:w="3654" w:type="dxa"/>
            <w:tcBorders>
              <w:top w:val="nil"/>
              <w:left w:val="nil"/>
              <w:bottom w:val="single" w:sz="4" w:space="0" w:color="auto"/>
              <w:right w:val="nil"/>
            </w:tcBorders>
            <w:shd w:val="clear" w:color="auto" w:fill="F7F7F7"/>
            <w:vAlign w:val="center"/>
          </w:tcPr>
          <w:p w14:paraId="6B62575E" w14:textId="77777777" w:rsidR="00453F54" w:rsidRDefault="00453F54" w:rsidP="00A64B72">
            <w:pPr>
              <w:keepNext/>
              <w:keepLines/>
              <w:spacing w:after="60"/>
              <w:ind w:left="115"/>
              <w:jc w:val="center"/>
              <w:rPr>
                <w:rFonts w:asciiTheme="minorHAnsi" w:hAnsiTheme="minorHAnsi" w:cstheme="minorHAnsi"/>
                <w:b/>
                <w:color w:val="F7F7F7"/>
                <w:sz w:val="2"/>
                <w:szCs w:val="2"/>
              </w:rPr>
            </w:pPr>
          </w:p>
        </w:tc>
      </w:tr>
      <w:tr w:rsidR="00453F54" w:rsidRPr="00A12083" w14:paraId="136E6F24" w14:textId="77777777" w:rsidTr="00A64B72">
        <w:trPr>
          <w:trHeight w:val="20"/>
          <w:tblHeader/>
        </w:trPr>
        <w:tc>
          <w:tcPr>
            <w:tcW w:w="6156"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4B61CA21" w14:textId="77777777" w:rsidR="00453F54" w:rsidRPr="00A12083" w:rsidRDefault="00453F54" w:rsidP="00A64B72">
            <w:pPr>
              <w:keepNext/>
              <w:keepLines/>
              <w:spacing w:after="60"/>
              <w:ind w:left="130" w:right="90"/>
              <w:rPr>
                <w:rFonts w:ascii="Calibri" w:hAnsi="Calibri" w:cs="Times New Roman"/>
                <w:b/>
                <w:color w:val="auto"/>
                <w:sz w:val="22"/>
                <w:szCs w:val="22"/>
              </w:rPr>
            </w:pPr>
            <w:r w:rsidRPr="00A12083">
              <w:rPr>
                <w:rFonts w:ascii="Calibri" w:hAnsi="Calibri" w:cs="Times New Roman"/>
                <w:b/>
                <w:color w:val="auto"/>
                <w:sz w:val="22"/>
                <w:szCs w:val="22"/>
              </w:rPr>
              <w:t>Indicator Name</w:t>
            </w:r>
          </w:p>
        </w:tc>
        <w:tc>
          <w:tcPr>
            <w:tcW w:w="630"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019440A3" w14:textId="77777777" w:rsidR="00453F54" w:rsidRPr="00A12083" w:rsidRDefault="00453F54" w:rsidP="00A64B72">
            <w:pPr>
              <w:keepNext/>
              <w:keepLines/>
              <w:spacing w:after="60"/>
              <w:ind w:left="115"/>
              <w:rPr>
                <w:rFonts w:ascii="Calibri" w:hAnsi="Calibri" w:cs="Times New Roman"/>
                <w:b/>
                <w:color w:val="auto"/>
                <w:sz w:val="22"/>
                <w:szCs w:val="22"/>
              </w:rPr>
            </w:pPr>
            <w:r w:rsidRPr="00A12083">
              <w:rPr>
                <w:rFonts w:ascii="Calibri" w:hAnsi="Calibri" w:cs="Times New Roman"/>
                <w:b/>
                <w:color w:val="auto"/>
                <w:sz w:val="22"/>
                <w:szCs w:val="22"/>
              </w:rPr>
              <w:t>DLI</w:t>
            </w:r>
          </w:p>
        </w:tc>
        <w:tc>
          <w:tcPr>
            <w:tcW w:w="3690"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2F806F3A" w14:textId="77777777" w:rsidR="00453F54" w:rsidRPr="00A12083" w:rsidRDefault="00453F54" w:rsidP="00A64B72">
            <w:pPr>
              <w:keepNext/>
              <w:keepLines/>
              <w:spacing w:after="60"/>
              <w:ind w:left="115"/>
              <w:rPr>
                <w:rFonts w:ascii="Calibri" w:hAnsi="Calibri" w:cs="Times New Roman"/>
                <w:b/>
                <w:color w:val="auto"/>
                <w:sz w:val="22"/>
                <w:szCs w:val="22"/>
              </w:rPr>
            </w:pPr>
            <w:r w:rsidRPr="00A12083">
              <w:rPr>
                <w:rFonts w:ascii="Calibri" w:hAnsi="Calibri" w:cs="Times New Roman"/>
                <w:b/>
                <w:color w:val="auto"/>
                <w:sz w:val="22"/>
                <w:szCs w:val="22"/>
              </w:rPr>
              <w:t>Baseline</w:t>
            </w:r>
          </w:p>
        </w:tc>
        <w:tc>
          <w:tcPr>
            <w:tcW w:w="3654"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6D37DEE2" w14:textId="77777777" w:rsidR="00453F54" w:rsidRPr="00A12083" w:rsidRDefault="00453F54" w:rsidP="00A64B72">
            <w:pPr>
              <w:keepNext/>
              <w:keepLines/>
              <w:spacing w:after="60"/>
              <w:ind w:left="115"/>
              <w:rPr>
                <w:rFonts w:ascii="Calibri" w:hAnsi="Calibri" w:cs="Times New Roman"/>
                <w:b/>
                <w:color w:val="auto"/>
                <w:sz w:val="22"/>
                <w:szCs w:val="22"/>
              </w:rPr>
            </w:pPr>
            <w:r w:rsidRPr="00A12083">
              <w:rPr>
                <w:rFonts w:ascii="Calibri" w:hAnsi="Calibri" w:cs="Times New Roman"/>
                <w:b/>
                <w:color w:val="auto"/>
                <w:sz w:val="22"/>
                <w:szCs w:val="22"/>
              </w:rPr>
              <w:t>End Target</w:t>
            </w:r>
          </w:p>
        </w:tc>
      </w:tr>
      <w:tr w:rsidR="00453F54" w:rsidRPr="001A5405" w14:paraId="63F22733" w14:textId="77777777" w:rsidTr="00A64B72">
        <w:trPr>
          <w:trHeight w:val="126"/>
          <w:tblHeader/>
        </w:trPr>
        <w:tc>
          <w:tcPr>
            <w:tcW w:w="6156" w:type="dxa"/>
            <w:tcBorders>
              <w:top w:val="single" w:sz="4" w:space="0" w:color="auto"/>
              <w:left w:val="single" w:sz="4" w:space="0" w:color="auto"/>
              <w:bottom w:val="single" w:sz="4" w:space="0" w:color="auto"/>
              <w:right w:val="single" w:sz="4" w:space="0" w:color="auto"/>
            </w:tcBorders>
            <w:shd w:val="clear" w:color="auto" w:fill="F7F7F7"/>
            <w:vAlign w:val="center"/>
          </w:tcPr>
          <w:p w14:paraId="0EAA6AA8" w14:textId="77777777" w:rsidR="00453F54" w:rsidRPr="001A5405" w:rsidRDefault="00453F54" w:rsidP="00A64B72">
            <w:pPr>
              <w:spacing w:after="60"/>
              <w:ind w:left="130" w:right="90"/>
              <w:rPr>
                <w:rFonts w:asciiTheme="minorHAnsi" w:hAnsiTheme="minorHAnsi" w:cstheme="minorHAnsi"/>
                <w:b/>
                <w:color w:val="auto"/>
                <w:sz w:val="20"/>
                <w:szCs w:val="22"/>
              </w:rPr>
            </w:pPr>
            <w:r w:rsidRPr="001A5405">
              <w:rPr>
                <w:rFonts w:asciiTheme="minorHAnsi" w:hAnsiTheme="minorHAnsi" w:cstheme="minorHAnsi"/>
                <w:b/>
                <w:color w:val="auto"/>
                <w:sz w:val="20"/>
                <w:szCs w:val="22"/>
              </w:rPr>
              <w:t xml:space="preserve">Results Area 1: </w:t>
            </w:r>
            <w:r>
              <w:rPr>
                <w:rFonts w:asciiTheme="minorHAnsi" w:hAnsiTheme="minorHAnsi" w:cstheme="minorHAnsi"/>
                <w:b/>
                <w:color w:val="auto"/>
                <w:sz w:val="20"/>
                <w:szCs w:val="22"/>
              </w:rPr>
              <w:t>Achievement of Financial Viability of BT</w:t>
            </w:r>
          </w:p>
        </w:tc>
        <w:tc>
          <w:tcPr>
            <w:tcW w:w="630" w:type="dxa"/>
            <w:tcBorders>
              <w:top w:val="single" w:sz="4" w:space="0" w:color="auto"/>
              <w:left w:val="single" w:sz="4" w:space="0" w:color="auto"/>
              <w:bottom w:val="single" w:sz="4" w:space="0" w:color="auto"/>
              <w:right w:val="single" w:sz="4" w:space="0" w:color="auto"/>
            </w:tcBorders>
            <w:shd w:val="clear" w:color="auto" w:fill="F7F7F7"/>
            <w:vAlign w:val="center"/>
          </w:tcPr>
          <w:p w14:paraId="3ACA79CF" w14:textId="77777777" w:rsidR="00453F54" w:rsidRPr="001A5405" w:rsidRDefault="00453F54" w:rsidP="00A64B72">
            <w:pPr>
              <w:spacing w:after="60"/>
              <w:ind w:left="115"/>
              <w:rPr>
                <w:rFonts w:asciiTheme="minorHAnsi" w:hAnsiTheme="minorHAnsi" w:cstheme="minorHAnsi"/>
                <w:b/>
                <w:color w:val="auto"/>
                <w:sz w:val="20"/>
                <w:szCs w:val="22"/>
              </w:rPr>
            </w:pPr>
          </w:p>
        </w:tc>
        <w:tc>
          <w:tcPr>
            <w:tcW w:w="3690" w:type="dxa"/>
            <w:tcBorders>
              <w:top w:val="single" w:sz="4" w:space="0" w:color="auto"/>
              <w:left w:val="single" w:sz="4" w:space="0" w:color="auto"/>
              <w:bottom w:val="single" w:sz="4" w:space="0" w:color="auto"/>
              <w:right w:val="single" w:sz="4" w:space="0" w:color="auto"/>
            </w:tcBorders>
            <w:shd w:val="clear" w:color="auto" w:fill="F7F7F7"/>
            <w:vAlign w:val="center"/>
          </w:tcPr>
          <w:p w14:paraId="04AFDEAF" w14:textId="77777777" w:rsidR="00453F54" w:rsidRPr="006E5E75" w:rsidRDefault="00453F54" w:rsidP="00A64B72">
            <w:pPr>
              <w:keepNext/>
              <w:keepLines/>
              <w:spacing w:after="60"/>
              <w:ind w:left="115"/>
              <w:rPr>
                <w:rFonts w:asciiTheme="minorHAnsi" w:hAnsiTheme="minorHAnsi" w:cstheme="minorHAnsi"/>
                <w:color w:val="auto"/>
                <w:sz w:val="20"/>
                <w:szCs w:val="22"/>
              </w:rPr>
            </w:pPr>
          </w:p>
        </w:tc>
        <w:tc>
          <w:tcPr>
            <w:tcW w:w="3654" w:type="dxa"/>
            <w:tcBorders>
              <w:top w:val="single" w:sz="4" w:space="0" w:color="auto"/>
              <w:left w:val="single" w:sz="4" w:space="0" w:color="auto"/>
              <w:bottom w:val="single" w:sz="4" w:space="0" w:color="auto"/>
              <w:right w:val="single" w:sz="4" w:space="0" w:color="auto"/>
            </w:tcBorders>
            <w:shd w:val="clear" w:color="auto" w:fill="F7F7F7"/>
            <w:vAlign w:val="center"/>
          </w:tcPr>
          <w:p w14:paraId="69FE82F0" w14:textId="77777777" w:rsidR="00453F54" w:rsidRPr="001A5405" w:rsidRDefault="00453F54" w:rsidP="00A64B72">
            <w:pPr>
              <w:spacing w:after="60"/>
              <w:ind w:left="115"/>
              <w:rPr>
                <w:rFonts w:asciiTheme="minorHAnsi" w:hAnsiTheme="minorHAnsi" w:cstheme="minorHAnsi"/>
                <w:b/>
                <w:color w:val="auto"/>
                <w:sz w:val="20"/>
                <w:szCs w:val="22"/>
              </w:rPr>
            </w:pPr>
          </w:p>
        </w:tc>
      </w:tr>
      <w:tr w:rsidR="00453F54" w:rsidRPr="001A5405" w14:paraId="407D934F" w14:textId="77777777" w:rsidTr="00A64B72">
        <w:trPr>
          <w:trHeight w:val="404"/>
          <w:tblHeader/>
        </w:trPr>
        <w:tc>
          <w:tcPr>
            <w:tcW w:w="6156" w:type="dxa"/>
            <w:tcBorders>
              <w:top w:val="single" w:sz="4" w:space="0" w:color="auto"/>
              <w:left w:val="single" w:sz="4" w:space="0" w:color="auto"/>
              <w:bottom w:val="single" w:sz="4" w:space="0" w:color="auto"/>
              <w:right w:val="single" w:sz="4" w:space="0" w:color="auto"/>
            </w:tcBorders>
            <w:shd w:val="clear" w:color="auto" w:fill="F7F7F7"/>
            <w:vAlign w:val="center"/>
          </w:tcPr>
          <w:p w14:paraId="5BD6AC96" w14:textId="38705CDE" w:rsidR="00453F54" w:rsidRPr="001A5405" w:rsidRDefault="00C32182" w:rsidP="00A64B72">
            <w:pPr>
              <w:spacing w:after="60"/>
              <w:ind w:left="130" w:right="90"/>
              <w:rPr>
                <w:rFonts w:asciiTheme="minorHAnsi" w:hAnsiTheme="minorHAnsi" w:cstheme="minorHAnsi"/>
                <w:color w:val="auto"/>
                <w:sz w:val="20"/>
                <w:szCs w:val="22"/>
              </w:rPr>
            </w:pPr>
            <w:r>
              <w:rPr>
                <w:rFonts w:asciiTheme="minorHAnsi" w:hAnsiTheme="minorHAnsi" w:cstheme="minorHAnsi"/>
                <w:color w:val="auto"/>
                <w:sz w:val="20"/>
                <w:szCs w:val="22"/>
              </w:rPr>
              <w:t>Electricity sector’s</w:t>
            </w:r>
            <w:r w:rsidR="00453F54">
              <w:rPr>
                <w:rFonts w:asciiTheme="minorHAnsi" w:hAnsiTheme="minorHAnsi" w:cstheme="minorHAnsi"/>
                <w:color w:val="auto"/>
                <w:sz w:val="20"/>
                <w:szCs w:val="22"/>
              </w:rPr>
              <w:t xml:space="preserve"> cash deficit</w:t>
            </w:r>
          </w:p>
        </w:tc>
        <w:tc>
          <w:tcPr>
            <w:tcW w:w="630" w:type="dxa"/>
            <w:tcBorders>
              <w:top w:val="single" w:sz="4" w:space="0" w:color="auto"/>
              <w:left w:val="single" w:sz="4" w:space="0" w:color="auto"/>
              <w:bottom w:val="single" w:sz="4" w:space="0" w:color="auto"/>
              <w:right w:val="single" w:sz="4" w:space="0" w:color="auto"/>
            </w:tcBorders>
            <w:shd w:val="clear" w:color="auto" w:fill="F7F7F7"/>
            <w:vAlign w:val="center"/>
          </w:tcPr>
          <w:p w14:paraId="55A7E742" w14:textId="77777777" w:rsidR="00453F54" w:rsidRPr="001A5405" w:rsidRDefault="00453F54" w:rsidP="00A64B72">
            <w:pPr>
              <w:spacing w:after="60"/>
              <w:ind w:left="115"/>
              <w:rPr>
                <w:rFonts w:asciiTheme="minorHAnsi" w:hAnsiTheme="minorHAnsi" w:cstheme="minorHAnsi"/>
                <w:color w:val="auto"/>
                <w:sz w:val="20"/>
                <w:szCs w:val="22"/>
              </w:rPr>
            </w:pPr>
            <w:r>
              <w:rPr>
                <w:rFonts w:asciiTheme="minorHAnsi" w:hAnsiTheme="minorHAnsi" w:cstheme="minorHAnsi"/>
                <w:color w:val="auto"/>
                <w:sz w:val="20"/>
                <w:szCs w:val="22"/>
              </w:rPr>
              <w:t>3</w:t>
            </w:r>
          </w:p>
        </w:tc>
        <w:tc>
          <w:tcPr>
            <w:tcW w:w="3690" w:type="dxa"/>
            <w:tcBorders>
              <w:top w:val="single" w:sz="4" w:space="0" w:color="auto"/>
              <w:left w:val="single" w:sz="4" w:space="0" w:color="auto"/>
              <w:bottom w:val="single" w:sz="4" w:space="0" w:color="auto"/>
              <w:right w:val="single" w:sz="4" w:space="0" w:color="auto"/>
            </w:tcBorders>
            <w:shd w:val="clear" w:color="auto" w:fill="F7F7F7"/>
            <w:vAlign w:val="center"/>
          </w:tcPr>
          <w:p w14:paraId="255FB6FB" w14:textId="6B60B130" w:rsidR="00453F54" w:rsidRPr="001A5405" w:rsidRDefault="00C32182" w:rsidP="00A64B72">
            <w:pPr>
              <w:keepNext/>
              <w:keepLines/>
              <w:spacing w:after="60"/>
              <w:ind w:left="115"/>
              <w:rPr>
                <w:rFonts w:asciiTheme="minorHAnsi" w:hAnsiTheme="minorHAnsi" w:cstheme="minorHAnsi"/>
                <w:color w:val="auto"/>
                <w:sz w:val="20"/>
                <w:szCs w:val="22"/>
              </w:rPr>
            </w:pPr>
            <w:r>
              <w:rPr>
                <w:rFonts w:asciiTheme="minorHAnsi" w:hAnsiTheme="minorHAnsi" w:cstheme="minorHAnsi"/>
                <w:color w:val="auto"/>
                <w:sz w:val="20"/>
                <w:szCs w:val="22"/>
              </w:rPr>
              <w:t>TJS 19.5 billion</w:t>
            </w:r>
          </w:p>
        </w:tc>
        <w:tc>
          <w:tcPr>
            <w:tcW w:w="3654" w:type="dxa"/>
            <w:tcBorders>
              <w:top w:val="single" w:sz="4" w:space="0" w:color="auto"/>
              <w:left w:val="single" w:sz="4" w:space="0" w:color="auto"/>
              <w:bottom w:val="single" w:sz="4" w:space="0" w:color="auto"/>
              <w:right w:val="single" w:sz="4" w:space="0" w:color="auto"/>
            </w:tcBorders>
            <w:shd w:val="clear" w:color="auto" w:fill="F7F7F7"/>
            <w:vAlign w:val="center"/>
          </w:tcPr>
          <w:p w14:paraId="63FB7327" w14:textId="0E6F4A0B" w:rsidR="00453F54" w:rsidRPr="00404AB1" w:rsidRDefault="00EF10A7" w:rsidP="00A64B72">
            <w:pPr>
              <w:spacing w:after="60"/>
              <w:ind w:left="115"/>
              <w:rPr>
                <w:rFonts w:asciiTheme="minorHAnsi" w:hAnsiTheme="minorHAnsi" w:cstheme="minorHAnsi"/>
                <w:color w:val="auto"/>
                <w:sz w:val="20"/>
                <w:szCs w:val="22"/>
              </w:rPr>
            </w:pPr>
            <w:r>
              <w:rPr>
                <w:rFonts w:asciiTheme="minorHAnsi" w:hAnsiTheme="minorHAnsi" w:cstheme="minorHAnsi"/>
                <w:color w:val="auto"/>
                <w:sz w:val="20"/>
                <w:szCs w:val="22"/>
              </w:rPr>
              <w:t>No deficit</w:t>
            </w:r>
          </w:p>
        </w:tc>
      </w:tr>
      <w:tr w:rsidR="00453F54" w:rsidRPr="001A5405" w14:paraId="3BF4302B" w14:textId="77777777" w:rsidTr="00A64B72">
        <w:trPr>
          <w:trHeight w:val="126"/>
          <w:tblHeader/>
        </w:trPr>
        <w:tc>
          <w:tcPr>
            <w:tcW w:w="6156" w:type="dxa"/>
            <w:tcBorders>
              <w:top w:val="single" w:sz="4" w:space="0" w:color="auto"/>
              <w:left w:val="single" w:sz="4" w:space="0" w:color="auto"/>
              <w:bottom w:val="single" w:sz="4" w:space="0" w:color="auto"/>
              <w:right w:val="single" w:sz="4" w:space="0" w:color="auto"/>
            </w:tcBorders>
            <w:shd w:val="clear" w:color="auto" w:fill="F7F7F7"/>
            <w:vAlign w:val="center"/>
          </w:tcPr>
          <w:p w14:paraId="2C890602" w14:textId="77777777" w:rsidR="00453F54" w:rsidRPr="001A5405" w:rsidRDefault="00453F54" w:rsidP="00A64B72">
            <w:pPr>
              <w:spacing w:after="60"/>
              <w:ind w:left="130" w:right="90"/>
              <w:rPr>
                <w:rFonts w:asciiTheme="minorHAnsi" w:eastAsia="Times New Roman" w:hAnsiTheme="minorHAnsi" w:cstheme="minorHAnsi"/>
                <w:b/>
                <w:color w:val="auto"/>
                <w:sz w:val="20"/>
                <w:szCs w:val="22"/>
              </w:rPr>
            </w:pPr>
            <w:r w:rsidRPr="001A5405">
              <w:rPr>
                <w:rFonts w:asciiTheme="minorHAnsi" w:eastAsia="Times New Roman" w:hAnsiTheme="minorHAnsi" w:cstheme="minorHAnsi"/>
                <w:b/>
                <w:color w:val="auto"/>
                <w:sz w:val="20"/>
                <w:szCs w:val="22"/>
              </w:rPr>
              <w:t>Results Area 2:</w:t>
            </w:r>
            <w:r>
              <w:rPr>
                <w:rFonts w:asciiTheme="minorHAnsi" w:eastAsia="Times New Roman" w:hAnsiTheme="minorHAnsi" w:cstheme="minorHAnsi"/>
                <w:b/>
                <w:color w:val="auto"/>
                <w:sz w:val="20"/>
                <w:szCs w:val="22"/>
              </w:rPr>
              <w:t xml:space="preserve"> Ensuring</w:t>
            </w:r>
            <w:r w:rsidRPr="001A5405">
              <w:rPr>
                <w:rFonts w:asciiTheme="minorHAnsi" w:eastAsia="Times New Roman" w:hAnsiTheme="minorHAnsi" w:cstheme="minorHAnsi"/>
                <w:b/>
                <w:color w:val="auto"/>
                <w:sz w:val="20"/>
                <w:szCs w:val="22"/>
              </w:rPr>
              <w:t xml:space="preserve"> Electricity Supply Reliability</w:t>
            </w:r>
          </w:p>
        </w:tc>
        <w:tc>
          <w:tcPr>
            <w:tcW w:w="630" w:type="dxa"/>
            <w:tcBorders>
              <w:top w:val="single" w:sz="4" w:space="0" w:color="auto"/>
              <w:left w:val="single" w:sz="4" w:space="0" w:color="auto"/>
              <w:bottom w:val="single" w:sz="4" w:space="0" w:color="auto"/>
              <w:right w:val="single" w:sz="4" w:space="0" w:color="auto"/>
            </w:tcBorders>
            <w:shd w:val="clear" w:color="auto" w:fill="F7F7F7"/>
            <w:vAlign w:val="center"/>
          </w:tcPr>
          <w:p w14:paraId="1FB83912" w14:textId="77777777" w:rsidR="00453F54" w:rsidRPr="001A5405" w:rsidRDefault="00453F54" w:rsidP="00A64B72">
            <w:pPr>
              <w:spacing w:after="60"/>
              <w:ind w:left="115"/>
              <w:rPr>
                <w:rFonts w:asciiTheme="minorHAnsi" w:hAnsiTheme="minorHAnsi" w:cstheme="minorHAnsi"/>
                <w:b/>
                <w:color w:val="auto"/>
                <w:sz w:val="20"/>
                <w:szCs w:val="22"/>
              </w:rPr>
            </w:pPr>
          </w:p>
        </w:tc>
        <w:tc>
          <w:tcPr>
            <w:tcW w:w="3690" w:type="dxa"/>
            <w:tcBorders>
              <w:top w:val="single" w:sz="4" w:space="0" w:color="auto"/>
              <w:left w:val="single" w:sz="4" w:space="0" w:color="auto"/>
              <w:bottom w:val="single" w:sz="4" w:space="0" w:color="auto"/>
              <w:right w:val="single" w:sz="4" w:space="0" w:color="auto"/>
            </w:tcBorders>
            <w:shd w:val="clear" w:color="auto" w:fill="F7F7F7"/>
            <w:vAlign w:val="center"/>
          </w:tcPr>
          <w:p w14:paraId="79721FCF" w14:textId="77777777" w:rsidR="00453F54" w:rsidRPr="001A5405" w:rsidRDefault="00453F54" w:rsidP="00A64B72">
            <w:pPr>
              <w:keepNext/>
              <w:keepLines/>
              <w:spacing w:after="60"/>
              <w:ind w:left="115"/>
              <w:rPr>
                <w:rFonts w:asciiTheme="minorHAnsi" w:hAnsiTheme="minorHAnsi" w:cstheme="minorHAnsi"/>
                <w:b/>
                <w:color w:val="auto"/>
                <w:sz w:val="20"/>
                <w:szCs w:val="22"/>
              </w:rPr>
            </w:pPr>
          </w:p>
        </w:tc>
        <w:tc>
          <w:tcPr>
            <w:tcW w:w="3654" w:type="dxa"/>
            <w:tcBorders>
              <w:top w:val="single" w:sz="4" w:space="0" w:color="auto"/>
              <w:left w:val="single" w:sz="4" w:space="0" w:color="auto"/>
              <w:bottom w:val="single" w:sz="4" w:space="0" w:color="auto"/>
              <w:right w:val="single" w:sz="4" w:space="0" w:color="auto"/>
            </w:tcBorders>
            <w:shd w:val="clear" w:color="auto" w:fill="F7F7F7"/>
            <w:vAlign w:val="center"/>
          </w:tcPr>
          <w:p w14:paraId="2A3B31DA" w14:textId="77777777" w:rsidR="00453F54" w:rsidRPr="001A5405" w:rsidRDefault="00453F54" w:rsidP="00A64B72">
            <w:pPr>
              <w:spacing w:after="60"/>
              <w:ind w:left="115"/>
              <w:rPr>
                <w:rFonts w:asciiTheme="minorHAnsi" w:hAnsiTheme="minorHAnsi" w:cstheme="minorHAnsi"/>
                <w:b/>
                <w:color w:val="auto"/>
                <w:sz w:val="20"/>
                <w:szCs w:val="22"/>
              </w:rPr>
            </w:pPr>
          </w:p>
        </w:tc>
      </w:tr>
      <w:tr w:rsidR="00453F54" w:rsidRPr="001A5405" w14:paraId="015A61A1" w14:textId="77777777" w:rsidTr="00A64B72">
        <w:trPr>
          <w:trHeight w:val="126"/>
          <w:tblHeader/>
        </w:trPr>
        <w:tc>
          <w:tcPr>
            <w:tcW w:w="6156" w:type="dxa"/>
            <w:tcBorders>
              <w:top w:val="single" w:sz="4" w:space="0" w:color="auto"/>
              <w:left w:val="single" w:sz="4" w:space="0" w:color="auto"/>
              <w:bottom w:val="single" w:sz="4" w:space="0" w:color="auto"/>
              <w:right w:val="single" w:sz="4" w:space="0" w:color="auto"/>
            </w:tcBorders>
            <w:shd w:val="clear" w:color="auto" w:fill="F7F7F7"/>
            <w:vAlign w:val="center"/>
          </w:tcPr>
          <w:p w14:paraId="21E8AF66" w14:textId="77777777" w:rsidR="00453F54" w:rsidRPr="00FF41AC" w:rsidRDefault="00453F54" w:rsidP="00A64B72">
            <w:pPr>
              <w:spacing w:after="60"/>
              <w:ind w:left="130" w:right="90"/>
              <w:rPr>
                <w:rFonts w:asciiTheme="minorHAnsi" w:eastAsia="Times New Roman" w:hAnsiTheme="minorHAnsi" w:cstheme="minorHAnsi"/>
                <w:color w:val="auto"/>
                <w:sz w:val="20"/>
                <w:szCs w:val="22"/>
              </w:rPr>
            </w:pPr>
            <w:r w:rsidRPr="00FF41AC">
              <w:rPr>
                <w:rFonts w:asciiTheme="minorHAnsi" w:hAnsiTheme="minorHAnsi" w:cstheme="minorHAnsi"/>
                <w:sz w:val="20"/>
                <w:szCs w:val="22"/>
              </w:rPr>
              <w:t xml:space="preserve">Adequate electricity supply received by BT from Sangtuda-1 </w:t>
            </w:r>
            <w:r>
              <w:rPr>
                <w:rFonts w:asciiTheme="minorHAnsi" w:hAnsiTheme="minorHAnsi" w:cstheme="minorHAnsi"/>
                <w:sz w:val="20"/>
                <w:szCs w:val="22"/>
              </w:rPr>
              <w:t>power plant</w:t>
            </w:r>
          </w:p>
        </w:tc>
        <w:tc>
          <w:tcPr>
            <w:tcW w:w="630" w:type="dxa"/>
            <w:tcBorders>
              <w:top w:val="single" w:sz="4" w:space="0" w:color="auto"/>
              <w:left w:val="single" w:sz="4" w:space="0" w:color="auto"/>
              <w:bottom w:val="single" w:sz="4" w:space="0" w:color="auto"/>
              <w:right w:val="single" w:sz="4" w:space="0" w:color="auto"/>
            </w:tcBorders>
            <w:shd w:val="clear" w:color="auto" w:fill="F7F7F7"/>
            <w:vAlign w:val="center"/>
          </w:tcPr>
          <w:p w14:paraId="769DA45C" w14:textId="77777777" w:rsidR="00453F54" w:rsidRPr="001A5405" w:rsidRDefault="00453F54" w:rsidP="00A64B72">
            <w:pPr>
              <w:spacing w:after="60"/>
              <w:ind w:left="115"/>
              <w:rPr>
                <w:rFonts w:asciiTheme="minorHAnsi" w:hAnsiTheme="minorHAnsi" w:cstheme="minorHAnsi"/>
                <w:color w:val="auto"/>
                <w:sz w:val="20"/>
                <w:szCs w:val="22"/>
              </w:rPr>
            </w:pPr>
            <w:r>
              <w:rPr>
                <w:rFonts w:asciiTheme="minorHAnsi" w:hAnsiTheme="minorHAnsi" w:cstheme="minorHAnsi"/>
                <w:color w:val="auto"/>
                <w:sz w:val="20"/>
                <w:szCs w:val="22"/>
              </w:rPr>
              <w:t>5</w:t>
            </w:r>
          </w:p>
        </w:tc>
        <w:tc>
          <w:tcPr>
            <w:tcW w:w="3690" w:type="dxa"/>
            <w:tcBorders>
              <w:top w:val="single" w:sz="4" w:space="0" w:color="auto"/>
              <w:left w:val="single" w:sz="4" w:space="0" w:color="auto"/>
              <w:bottom w:val="single" w:sz="4" w:space="0" w:color="auto"/>
              <w:right w:val="single" w:sz="4" w:space="0" w:color="auto"/>
            </w:tcBorders>
            <w:shd w:val="clear" w:color="auto" w:fill="F7F7F7"/>
            <w:vAlign w:val="center"/>
          </w:tcPr>
          <w:p w14:paraId="18B74221" w14:textId="77777777" w:rsidR="00453F54" w:rsidRDefault="00453F54" w:rsidP="00A64B72">
            <w:pPr>
              <w:keepNext/>
              <w:keepLines/>
              <w:spacing w:after="60"/>
              <w:ind w:left="115"/>
              <w:rPr>
                <w:rFonts w:asciiTheme="minorHAnsi" w:hAnsiTheme="minorHAnsi" w:cstheme="minorHAnsi"/>
                <w:color w:val="auto"/>
                <w:sz w:val="20"/>
                <w:szCs w:val="22"/>
              </w:rPr>
            </w:pPr>
            <w:r>
              <w:rPr>
                <w:rFonts w:asciiTheme="minorHAnsi" w:hAnsiTheme="minorHAnsi" w:cstheme="minorHAnsi"/>
                <w:color w:val="auto"/>
                <w:sz w:val="20"/>
                <w:szCs w:val="22"/>
              </w:rPr>
              <w:t>At least 1,800 GWh/year</w:t>
            </w:r>
          </w:p>
        </w:tc>
        <w:tc>
          <w:tcPr>
            <w:tcW w:w="3654" w:type="dxa"/>
            <w:tcBorders>
              <w:top w:val="single" w:sz="4" w:space="0" w:color="auto"/>
              <w:left w:val="single" w:sz="4" w:space="0" w:color="auto"/>
              <w:bottom w:val="single" w:sz="4" w:space="0" w:color="auto"/>
              <w:right w:val="single" w:sz="4" w:space="0" w:color="auto"/>
            </w:tcBorders>
            <w:shd w:val="clear" w:color="auto" w:fill="F7F7F7"/>
            <w:vAlign w:val="center"/>
          </w:tcPr>
          <w:p w14:paraId="4970A442" w14:textId="77777777" w:rsidR="00453F54" w:rsidRDefault="00453F54" w:rsidP="00A64B72">
            <w:pPr>
              <w:spacing w:after="60"/>
              <w:ind w:left="115"/>
              <w:rPr>
                <w:rFonts w:asciiTheme="minorHAnsi" w:hAnsiTheme="minorHAnsi" w:cstheme="minorHAnsi"/>
                <w:color w:val="auto"/>
                <w:sz w:val="20"/>
                <w:szCs w:val="22"/>
              </w:rPr>
            </w:pPr>
            <w:r>
              <w:rPr>
                <w:rFonts w:asciiTheme="minorHAnsi" w:hAnsiTheme="minorHAnsi" w:cstheme="minorHAnsi"/>
                <w:color w:val="auto"/>
                <w:sz w:val="20"/>
                <w:szCs w:val="22"/>
              </w:rPr>
              <w:t>At least 1,800 GWh/year</w:t>
            </w:r>
          </w:p>
        </w:tc>
      </w:tr>
      <w:tr w:rsidR="00453F54" w:rsidRPr="001A5405" w14:paraId="63BA9A5C" w14:textId="77777777" w:rsidTr="00A64B72">
        <w:trPr>
          <w:trHeight w:val="126"/>
          <w:tblHeader/>
        </w:trPr>
        <w:tc>
          <w:tcPr>
            <w:tcW w:w="6156" w:type="dxa"/>
            <w:tcBorders>
              <w:top w:val="single" w:sz="4" w:space="0" w:color="auto"/>
              <w:left w:val="single" w:sz="4" w:space="0" w:color="auto"/>
              <w:bottom w:val="single" w:sz="4" w:space="0" w:color="auto"/>
              <w:right w:val="single" w:sz="4" w:space="0" w:color="auto"/>
            </w:tcBorders>
            <w:shd w:val="clear" w:color="auto" w:fill="F7F7F7"/>
            <w:vAlign w:val="center"/>
          </w:tcPr>
          <w:p w14:paraId="03601550" w14:textId="77777777" w:rsidR="00453F54" w:rsidRPr="001A5405" w:rsidRDefault="00453F54" w:rsidP="00A64B72">
            <w:pPr>
              <w:spacing w:after="60"/>
              <w:ind w:left="130" w:right="90"/>
              <w:rPr>
                <w:rFonts w:asciiTheme="minorHAnsi" w:hAnsiTheme="minorHAnsi" w:cstheme="minorHAnsi"/>
                <w:color w:val="auto"/>
                <w:sz w:val="20"/>
                <w:szCs w:val="22"/>
              </w:rPr>
            </w:pPr>
            <w:bookmarkStart w:id="46" w:name="_Hlk8644912"/>
            <w:r w:rsidRPr="001A5405">
              <w:rPr>
                <w:rFonts w:asciiTheme="minorHAnsi" w:eastAsia="Times New Roman" w:hAnsiTheme="minorHAnsi" w:cstheme="minorHAnsi"/>
                <w:color w:val="auto"/>
                <w:sz w:val="20"/>
                <w:szCs w:val="22"/>
              </w:rPr>
              <w:t xml:space="preserve">Reduction of equipment failures in </w:t>
            </w:r>
            <w:r>
              <w:rPr>
                <w:rFonts w:asciiTheme="minorHAnsi" w:eastAsia="Times New Roman" w:hAnsiTheme="minorHAnsi" w:cstheme="minorHAnsi"/>
                <w:color w:val="auto"/>
                <w:sz w:val="20"/>
                <w:szCs w:val="22"/>
              </w:rPr>
              <w:t>electricity T</w:t>
            </w:r>
            <w:bookmarkEnd w:id="46"/>
            <w:r>
              <w:rPr>
                <w:rFonts w:asciiTheme="minorHAnsi" w:eastAsia="Times New Roman" w:hAnsiTheme="minorHAnsi" w:cstheme="minorHAnsi"/>
                <w:color w:val="auto"/>
                <w:sz w:val="20"/>
                <w:szCs w:val="22"/>
              </w:rPr>
              <w:t>&amp;D networks of BT</w:t>
            </w:r>
          </w:p>
        </w:tc>
        <w:tc>
          <w:tcPr>
            <w:tcW w:w="630" w:type="dxa"/>
            <w:tcBorders>
              <w:top w:val="single" w:sz="4" w:space="0" w:color="auto"/>
              <w:left w:val="single" w:sz="4" w:space="0" w:color="auto"/>
              <w:bottom w:val="single" w:sz="4" w:space="0" w:color="auto"/>
              <w:right w:val="single" w:sz="4" w:space="0" w:color="auto"/>
            </w:tcBorders>
            <w:shd w:val="clear" w:color="auto" w:fill="F7F7F7"/>
            <w:vAlign w:val="center"/>
          </w:tcPr>
          <w:p w14:paraId="181E5DE8" w14:textId="2817826B" w:rsidR="00453F54" w:rsidRPr="001A5405" w:rsidRDefault="00453F54" w:rsidP="00A64B72">
            <w:pPr>
              <w:spacing w:after="60"/>
              <w:ind w:left="115"/>
              <w:rPr>
                <w:rFonts w:asciiTheme="minorHAnsi" w:hAnsiTheme="minorHAnsi" w:cstheme="minorHAnsi"/>
                <w:color w:val="auto"/>
                <w:sz w:val="20"/>
                <w:szCs w:val="22"/>
              </w:rPr>
            </w:pPr>
          </w:p>
        </w:tc>
        <w:tc>
          <w:tcPr>
            <w:tcW w:w="3690" w:type="dxa"/>
            <w:tcBorders>
              <w:top w:val="single" w:sz="4" w:space="0" w:color="auto"/>
              <w:left w:val="single" w:sz="4" w:space="0" w:color="auto"/>
              <w:bottom w:val="single" w:sz="4" w:space="0" w:color="auto"/>
              <w:right w:val="single" w:sz="4" w:space="0" w:color="auto"/>
            </w:tcBorders>
            <w:shd w:val="clear" w:color="auto" w:fill="F7F7F7"/>
            <w:vAlign w:val="center"/>
          </w:tcPr>
          <w:p w14:paraId="600542F6" w14:textId="77777777" w:rsidR="00453F54" w:rsidRPr="001A5405" w:rsidRDefault="00453F54" w:rsidP="00A64B72">
            <w:pPr>
              <w:keepNext/>
              <w:keepLines/>
              <w:spacing w:after="60"/>
              <w:ind w:left="115"/>
              <w:rPr>
                <w:rFonts w:asciiTheme="minorHAnsi" w:hAnsiTheme="minorHAnsi" w:cstheme="minorHAnsi"/>
                <w:color w:val="auto"/>
                <w:sz w:val="20"/>
                <w:szCs w:val="22"/>
              </w:rPr>
            </w:pPr>
            <w:r>
              <w:rPr>
                <w:rFonts w:asciiTheme="minorHAnsi" w:hAnsiTheme="minorHAnsi" w:cstheme="minorHAnsi"/>
                <w:color w:val="auto"/>
                <w:sz w:val="20"/>
                <w:szCs w:val="22"/>
              </w:rPr>
              <w:t>2,417</w:t>
            </w:r>
            <w:r>
              <w:rPr>
                <w:rStyle w:val="FootnoteReference"/>
                <w:rFonts w:asciiTheme="minorHAnsi" w:hAnsiTheme="minorHAnsi" w:cstheme="minorHAnsi"/>
                <w:color w:val="auto"/>
                <w:sz w:val="20"/>
                <w:szCs w:val="22"/>
              </w:rPr>
              <w:footnoteReference w:id="13"/>
            </w:r>
          </w:p>
        </w:tc>
        <w:tc>
          <w:tcPr>
            <w:tcW w:w="3654" w:type="dxa"/>
            <w:tcBorders>
              <w:top w:val="single" w:sz="4" w:space="0" w:color="auto"/>
              <w:left w:val="single" w:sz="4" w:space="0" w:color="auto"/>
              <w:bottom w:val="single" w:sz="4" w:space="0" w:color="auto"/>
              <w:right w:val="single" w:sz="4" w:space="0" w:color="auto"/>
            </w:tcBorders>
            <w:shd w:val="clear" w:color="auto" w:fill="F7F7F7"/>
            <w:vAlign w:val="center"/>
          </w:tcPr>
          <w:p w14:paraId="44E6C259" w14:textId="77777777" w:rsidR="00453F54" w:rsidRPr="001A5405" w:rsidRDefault="00453F54" w:rsidP="00A64B72">
            <w:pPr>
              <w:spacing w:after="60"/>
              <w:ind w:left="115"/>
              <w:rPr>
                <w:rFonts w:asciiTheme="minorHAnsi" w:hAnsiTheme="minorHAnsi" w:cstheme="minorHAnsi"/>
                <w:color w:val="auto"/>
                <w:sz w:val="20"/>
                <w:szCs w:val="22"/>
              </w:rPr>
            </w:pPr>
            <w:r>
              <w:rPr>
                <w:rFonts w:asciiTheme="minorHAnsi" w:hAnsiTheme="minorHAnsi" w:cstheme="minorHAnsi"/>
                <w:color w:val="auto"/>
                <w:sz w:val="20"/>
                <w:szCs w:val="22"/>
              </w:rPr>
              <w:t>1,400</w:t>
            </w:r>
          </w:p>
        </w:tc>
      </w:tr>
      <w:tr w:rsidR="00453F54" w:rsidRPr="001A5405" w14:paraId="6FC2AA7A" w14:textId="77777777" w:rsidTr="00A64B72">
        <w:trPr>
          <w:trHeight w:val="126"/>
          <w:tblHeader/>
        </w:trPr>
        <w:tc>
          <w:tcPr>
            <w:tcW w:w="6156" w:type="dxa"/>
            <w:tcBorders>
              <w:top w:val="single" w:sz="4" w:space="0" w:color="auto"/>
              <w:left w:val="single" w:sz="4" w:space="0" w:color="auto"/>
              <w:bottom w:val="single" w:sz="4" w:space="0" w:color="auto"/>
              <w:right w:val="single" w:sz="4" w:space="0" w:color="auto"/>
            </w:tcBorders>
            <w:shd w:val="clear" w:color="auto" w:fill="F7F7F7"/>
            <w:vAlign w:val="center"/>
          </w:tcPr>
          <w:p w14:paraId="08C0A6F3" w14:textId="77777777" w:rsidR="00453F54" w:rsidRPr="001A5405" w:rsidRDefault="00453F54" w:rsidP="00A64B72">
            <w:pPr>
              <w:spacing w:after="60"/>
              <w:ind w:left="130" w:right="90"/>
              <w:rPr>
                <w:rFonts w:asciiTheme="minorHAnsi" w:hAnsiTheme="minorHAnsi" w:cstheme="minorHAnsi"/>
                <w:b/>
                <w:color w:val="auto"/>
                <w:sz w:val="20"/>
                <w:szCs w:val="22"/>
              </w:rPr>
            </w:pPr>
            <w:r w:rsidRPr="001A5405">
              <w:rPr>
                <w:rFonts w:asciiTheme="minorHAnsi" w:hAnsiTheme="minorHAnsi" w:cstheme="minorHAnsi"/>
                <w:b/>
                <w:color w:val="auto"/>
                <w:sz w:val="20"/>
                <w:szCs w:val="22"/>
              </w:rPr>
              <w:t xml:space="preserve">Results Area 3: </w:t>
            </w:r>
            <w:r w:rsidRPr="001B35A1">
              <w:rPr>
                <w:rFonts w:asciiTheme="minorHAnsi" w:eastAsia="Times New Roman" w:hAnsiTheme="minorHAnsi" w:cstheme="minorHAnsi"/>
                <w:b/>
                <w:sz w:val="20"/>
                <w:szCs w:val="22"/>
              </w:rPr>
              <w:t xml:space="preserve">Strengthening of </w:t>
            </w:r>
            <w:r>
              <w:rPr>
                <w:rFonts w:asciiTheme="minorHAnsi" w:eastAsia="Times New Roman" w:hAnsiTheme="minorHAnsi" w:cstheme="minorHAnsi"/>
                <w:b/>
                <w:sz w:val="20"/>
                <w:szCs w:val="22"/>
              </w:rPr>
              <w:t xml:space="preserve">BT </w:t>
            </w:r>
            <w:r w:rsidRPr="001B35A1">
              <w:rPr>
                <w:rFonts w:asciiTheme="minorHAnsi" w:eastAsia="Times New Roman" w:hAnsiTheme="minorHAnsi" w:cstheme="minorHAnsi"/>
                <w:b/>
                <w:sz w:val="20"/>
                <w:szCs w:val="22"/>
              </w:rPr>
              <w:t>Governance</w:t>
            </w:r>
            <w:r>
              <w:rPr>
                <w:rFonts w:asciiTheme="minorHAnsi" w:eastAsia="Times New Roman" w:hAnsiTheme="minorHAnsi" w:cstheme="minorHAnsi"/>
                <w:b/>
                <w:sz w:val="20"/>
                <w:szCs w:val="22"/>
              </w:rPr>
              <w:t xml:space="preserve"> </w:t>
            </w:r>
            <w:r w:rsidRPr="001B35A1">
              <w:rPr>
                <w:rFonts w:asciiTheme="minorHAnsi" w:eastAsia="Times New Roman" w:hAnsiTheme="minorHAnsi" w:cstheme="minorHAnsi"/>
                <w:b/>
                <w:sz w:val="20"/>
                <w:szCs w:val="22"/>
              </w:rPr>
              <w:t xml:space="preserve">and </w:t>
            </w:r>
            <w:r>
              <w:rPr>
                <w:rFonts w:asciiTheme="minorHAnsi" w:eastAsia="Times New Roman" w:hAnsiTheme="minorHAnsi" w:cstheme="minorHAnsi"/>
                <w:b/>
                <w:sz w:val="20"/>
                <w:szCs w:val="22"/>
              </w:rPr>
              <w:t xml:space="preserve">Improvement of </w:t>
            </w:r>
            <w:r w:rsidRPr="001B35A1">
              <w:rPr>
                <w:rFonts w:asciiTheme="minorHAnsi" w:eastAsia="Times New Roman" w:hAnsiTheme="minorHAnsi" w:cstheme="minorHAnsi"/>
                <w:b/>
                <w:sz w:val="20"/>
                <w:szCs w:val="22"/>
              </w:rPr>
              <w:t>Transparency</w:t>
            </w:r>
            <w:r>
              <w:rPr>
                <w:rFonts w:asciiTheme="minorHAnsi" w:eastAsia="Times New Roman" w:hAnsiTheme="minorHAnsi" w:cstheme="minorHAnsi"/>
                <w:b/>
                <w:sz w:val="20"/>
                <w:szCs w:val="22"/>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F7F7F7"/>
            <w:vAlign w:val="center"/>
          </w:tcPr>
          <w:p w14:paraId="61D15E7D" w14:textId="77777777" w:rsidR="00453F54" w:rsidRPr="001A5405" w:rsidRDefault="00453F54" w:rsidP="00A64B72">
            <w:pPr>
              <w:spacing w:after="60"/>
              <w:ind w:left="115"/>
              <w:rPr>
                <w:rFonts w:asciiTheme="minorHAnsi" w:hAnsiTheme="minorHAnsi" w:cstheme="minorHAnsi"/>
                <w:b/>
                <w:color w:val="auto"/>
                <w:sz w:val="20"/>
                <w:szCs w:val="22"/>
              </w:rPr>
            </w:pPr>
          </w:p>
        </w:tc>
        <w:tc>
          <w:tcPr>
            <w:tcW w:w="3690" w:type="dxa"/>
            <w:tcBorders>
              <w:top w:val="single" w:sz="4" w:space="0" w:color="auto"/>
              <w:left w:val="single" w:sz="4" w:space="0" w:color="auto"/>
              <w:bottom w:val="single" w:sz="4" w:space="0" w:color="auto"/>
              <w:right w:val="single" w:sz="4" w:space="0" w:color="auto"/>
            </w:tcBorders>
            <w:shd w:val="clear" w:color="auto" w:fill="F7F7F7"/>
            <w:vAlign w:val="center"/>
          </w:tcPr>
          <w:p w14:paraId="3822D3AD" w14:textId="77777777" w:rsidR="00453F54" w:rsidRPr="001A5405" w:rsidRDefault="00453F54" w:rsidP="00A64B72">
            <w:pPr>
              <w:keepNext/>
              <w:keepLines/>
              <w:spacing w:after="60"/>
              <w:ind w:left="115"/>
              <w:rPr>
                <w:rFonts w:asciiTheme="minorHAnsi" w:hAnsiTheme="minorHAnsi" w:cstheme="minorHAnsi"/>
                <w:b/>
                <w:color w:val="auto"/>
                <w:sz w:val="20"/>
                <w:szCs w:val="22"/>
              </w:rPr>
            </w:pPr>
          </w:p>
        </w:tc>
        <w:tc>
          <w:tcPr>
            <w:tcW w:w="3654" w:type="dxa"/>
            <w:tcBorders>
              <w:top w:val="single" w:sz="4" w:space="0" w:color="auto"/>
              <w:left w:val="single" w:sz="4" w:space="0" w:color="auto"/>
              <w:bottom w:val="single" w:sz="4" w:space="0" w:color="auto"/>
              <w:right w:val="single" w:sz="4" w:space="0" w:color="auto"/>
            </w:tcBorders>
            <w:shd w:val="clear" w:color="auto" w:fill="F7F7F7"/>
            <w:vAlign w:val="center"/>
          </w:tcPr>
          <w:p w14:paraId="2B1F6DC3" w14:textId="77777777" w:rsidR="00453F54" w:rsidRPr="001A5405" w:rsidRDefault="00453F54" w:rsidP="00A64B72">
            <w:pPr>
              <w:spacing w:after="60"/>
              <w:ind w:left="115"/>
              <w:rPr>
                <w:rFonts w:asciiTheme="minorHAnsi" w:hAnsiTheme="minorHAnsi" w:cstheme="minorHAnsi"/>
                <w:b/>
                <w:color w:val="auto"/>
                <w:sz w:val="20"/>
                <w:szCs w:val="22"/>
              </w:rPr>
            </w:pPr>
          </w:p>
        </w:tc>
      </w:tr>
      <w:tr w:rsidR="00453F54" w:rsidRPr="00A40CA3" w14:paraId="29211EFF" w14:textId="77777777" w:rsidTr="00A64B72">
        <w:trPr>
          <w:trHeight w:val="126"/>
          <w:tblHeader/>
        </w:trPr>
        <w:tc>
          <w:tcPr>
            <w:tcW w:w="6156" w:type="dxa"/>
            <w:tcBorders>
              <w:top w:val="single" w:sz="4" w:space="0" w:color="auto"/>
              <w:left w:val="single" w:sz="4" w:space="0" w:color="auto"/>
              <w:bottom w:val="single" w:sz="4" w:space="0" w:color="auto"/>
              <w:right w:val="single" w:sz="4" w:space="0" w:color="auto"/>
            </w:tcBorders>
            <w:shd w:val="clear" w:color="auto" w:fill="F7F7F7"/>
            <w:vAlign w:val="center"/>
          </w:tcPr>
          <w:p w14:paraId="1A1305F4" w14:textId="77777777" w:rsidR="00453F54" w:rsidRPr="00A40CA3" w:rsidRDefault="00453F54" w:rsidP="00A64B72">
            <w:pPr>
              <w:spacing w:after="60"/>
              <w:ind w:left="130" w:right="90"/>
              <w:rPr>
                <w:rFonts w:asciiTheme="minorHAnsi" w:hAnsiTheme="minorHAnsi" w:cstheme="minorHAnsi"/>
                <w:color w:val="auto"/>
                <w:sz w:val="20"/>
                <w:szCs w:val="22"/>
              </w:rPr>
            </w:pPr>
            <w:r w:rsidRPr="005C65E5">
              <w:rPr>
                <w:rFonts w:asciiTheme="minorHAnsi" w:hAnsiTheme="minorHAnsi" w:cstheme="minorHAnsi"/>
                <w:sz w:val="20"/>
                <w:szCs w:val="18"/>
              </w:rPr>
              <w:t>Use of technically, economically, and financially sound principles for the Recipient’s investment decision-making in electricity generation, transmission, and distribution</w:t>
            </w:r>
          </w:p>
        </w:tc>
        <w:tc>
          <w:tcPr>
            <w:tcW w:w="630" w:type="dxa"/>
            <w:tcBorders>
              <w:top w:val="single" w:sz="4" w:space="0" w:color="auto"/>
              <w:left w:val="single" w:sz="4" w:space="0" w:color="auto"/>
              <w:bottom w:val="single" w:sz="4" w:space="0" w:color="auto"/>
              <w:right w:val="single" w:sz="4" w:space="0" w:color="auto"/>
            </w:tcBorders>
            <w:shd w:val="clear" w:color="auto" w:fill="F7F7F7"/>
            <w:vAlign w:val="center"/>
          </w:tcPr>
          <w:p w14:paraId="66D83063" w14:textId="77777777" w:rsidR="00453F54" w:rsidRPr="00A40CA3" w:rsidRDefault="00453F54" w:rsidP="00A64B72">
            <w:pPr>
              <w:spacing w:after="60"/>
              <w:ind w:left="115"/>
              <w:rPr>
                <w:rFonts w:asciiTheme="minorHAnsi" w:hAnsiTheme="minorHAnsi" w:cstheme="minorHAnsi"/>
                <w:color w:val="auto"/>
                <w:sz w:val="20"/>
                <w:szCs w:val="22"/>
              </w:rPr>
            </w:pPr>
            <w:r>
              <w:rPr>
                <w:rFonts w:asciiTheme="minorHAnsi" w:hAnsiTheme="minorHAnsi" w:cstheme="minorHAnsi"/>
                <w:color w:val="auto"/>
                <w:sz w:val="20"/>
                <w:szCs w:val="22"/>
              </w:rPr>
              <w:t>7</w:t>
            </w:r>
          </w:p>
        </w:tc>
        <w:tc>
          <w:tcPr>
            <w:tcW w:w="3690" w:type="dxa"/>
            <w:tcBorders>
              <w:top w:val="single" w:sz="4" w:space="0" w:color="auto"/>
              <w:left w:val="single" w:sz="4" w:space="0" w:color="auto"/>
              <w:bottom w:val="single" w:sz="4" w:space="0" w:color="auto"/>
              <w:right w:val="single" w:sz="4" w:space="0" w:color="auto"/>
            </w:tcBorders>
            <w:shd w:val="clear" w:color="auto" w:fill="F7F7F7"/>
            <w:vAlign w:val="center"/>
          </w:tcPr>
          <w:p w14:paraId="0EC54280" w14:textId="77777777" w:rsidR="00453F54" w:rsidRPr="00A40CA3" w:rsidRDefault="00453F54" w:rsidP="00A64B72">
            <w:pPr>
              <w:keepNext/>
              <w:keepLines/>
              <w:spacing w:after="60"/>
              <w:ind w:left="115"/>
              <w:rPr>
                <w:rFonts w:asciiTheme="minorHAnsi" w:hAnsiTheme="minorHAnsi" w:cstheme="minorHAnsi"/>
                <w:color w:val="auto"/>
                <w:sz w:val="20"/>
                <w:szCs w:val="22"/>
              </w:rPr>
            </w:pPr>
            <w:r>
              <w:rPr>
                <w:rFonts w:asciiTheme="minorHAnsi" w:hAnsiTheme="minorHAnsi" w:cstheme="minorHAnsi"/>
                <w:color w:val="auto"/>
                <w:sz w:val="20"/>
                <w:szCs w:val="22"/>
              </w:rPr>
              <w:t>No</w:t>
            </w:r>
          </w:p>
        </w:tc>
        <w:tc>
          <w:tcPr>
            <w:tcW w:w="3654" w:type="dxa"/>
            <w:tcBorders>
              <w:top w:val="single" w:sz="4" w:space="0" w:color="auto"/>
              <w:left w:val="single" w:sz="4" w:space="0" w:color="auto"/>
              <w:bottom w:val="single" w:sz="4" w:space="0" w:color="auto"/>
              <w:right w:val="single" w:sz="4" w:space="0" w:color="auto"/>
            </w:tcBorders>
            <w:shd w:val="clear" w:color="auto" w:fill="F7F7F7"/>
            <w:vAlign w:val="center"/>
          </w:tcPr>
          <w:p w14:paraId="4094D7A1" w14:textId="77777777" w:rsidR="00453F54" w:rsidRPr="00A40CA3" w:rsidRDefault="00453F54" w:rsidP="00A64B72">
            <w:pPr>
              <w:spacing w:after="60"/>
              <w:ind w:left="115"/>
              <w:rPr>
                <w:rFonts w:asciiTheme="minorHAnsi" w:hAnsiTheme="minorHAnsi" w:cstheme="minorHAnsi"/>
                <w:color w:val="auto"/>
                <w:sz w:val="20"/>
                <w:szCs w:val="22"/>
              </w:rPr>
            </w:pPr>
            <w:r>
              <w:rPr>
                <w:rFonts w:asciiTheme="minorHAnsi" w:hAnsiTheme="minorHAnsi" w:cstheme="minorHAnsi"/>
                <w:color w:val="auto"/>
                <w:sz w:val="20"/>
                <w:szCs w:val="22"/>
              </w:rPr>
              <w:t>Yes</w:t>
            </w:r>
          </w:p>
        </w:tc>
      </w:tr>
    </w:tbl>
    <w:sdt>
      <w:sdtPr>
        <w:rPr>
          <w:rFonts w:asciiTheme="minorHAnsi" w:hAnsiTheme="minorHAnsi"/>
          <w:b/>
          <w:bCs/>
          <w:color w:val="auto"/>
          <w:sz w:val="22"/>
          <w:szCs w:val="22"/>
        </w:rPr>
        <w:tag w:val="OPS_CORE_SECTION_END_13"/>
        <w:id w:val="865250763"/>
        <w:lock w:val="contentLocked"/>
        <w:placeholder>
          <w:docPart w:val="7FFFD6F1E4EB4DFF9E913327345ACACC"/>
        </w:placeholder>
        <w:showingPlcHdr/>
      </w:sdtPr>
      <w:sdtContent>
        <w:p w14:paraId="76AED880" w14:textId="77777777" w:rsidR="00453F54" w:rsidRDefault="00453F54" w:rsidP="00A64B72">
          <w:pPr>
            <w:shd w:val="clear" w:color="auto" w:fill="F7F7F7"/>
            <w:spacing w:line="14" w:lineRule="exact"/>
            <w:ind w:left="-547" w:right="-562"/>
            <w:rPr>
              <w:rFonts w:asciiTheme="minorHAnsi" w:hAnsiTheme="minorHAnsi"/>
              <w:b/>
              <w:bCs/>
              <w:color w:val="auto"/>
              <w:sz w:val="22"/>
              <w:szCs w:val="22"/>
            </w:rPr>
          </w:pPr>
          <w:r w:rsidRPr="00764859">
            <w:rPr>
              <w:rStyle w:val="PlaceholderText"/>
            </w:rPr>
            <w:t>.</w:t>
          </w:r>
        </w:p>
      </w:sdtContent>
    </w:sdt>
    <w:p w14:paraId="2CB4ABB9" w14:textId="77777777" w:rsidR="00453F54" w:rsidRDefault="00453F54" w:rsidP="00A64B72">
      <w:pPr>
        <w:shd w:val="clear" w:color="auto" w:fill="F7F7F7"/>
        <w:spacing w:line="14" w:lineRule="exact"/>
        <w:ind w:left="-540" w:right="-418"/>
        <w:rPr>
          <w:rFonts w:asciiTheme="minorHAnsi" w:hAnsiTheme="minorHAnsi"/>
          <w:b/>
          <w:bCs/>
          <w:color w:val="auto"/>
          <w:sz w:val="22"/>
          <w:szCs w:val="22"/>
        </w:rPr>
        <w:sectPr w:rsidR="00453F54" w:rsidSect="00843C51">
          <w:type w:val="continuous"/>
          <w:pgSz w:w="15840" w:h="12240" w:orient="landscape"/>
          <w:pgMar w:top="1440" w:right="1440" w:bottom="1440" w:left="1440" w:header="720" w:footer="720" w:gutter="0"/>
          <w:cols w:space="720"/>
          <w:docGrid w:linePitch="360"/>
        </w:sectPr>
      </w:pPr>
    </w:p>
    <w:sdt>
      <w:sdtPr>
        <w:rPr>
          <w:rFonts w:asciiTheme="minorHAnsi" w:hAnsiTheme="minorHAnsi"/>
          <w:b/>
          <w:bCs/>
          <w:color w:val="auto"/>
          <w:sz w:val="22"/>
          <w:szCs w:val="22"/>
        </w:rPr>
        <w:tag w:val="OPS_CORE_SECTION_START_14"/>
        <w:id w:val="1800421104"/>
        <w:lock w:val="contentLocked"/>
        <w:placeholder>
          <w:docPart w:val="6B63B257244B4251953FC1110589B8CA"/>
        </w:placeholder>
        <w:showingPlcHdr/>
      </w:sdtPr>
      <w:sdtContent>
        <w:p w14:paraId="2A2CB08D" w14:textId="77777777" w:rsidR="00453F54" w:rsidRDefault="00453F54" w:rsidP="00A64B72">
          <w:pPr>
            <w:shd w:val="clear" w:color="auto" w:fill="F7F7F7"/>
            <w:spacing w:line="14" w:lineRule="exact"/>
            <w:ind w:left="-547" w:right="-418"/>
            <w:rPr>
              <w:rFonts w:asciiTheme="minorHAnsi" w:hAnsiTheme="minorHAnsi"/>
              <w:b/>
              <w:bCs/>
              <w:color w:val="auto"/>
              <w:sz w:val="22"/>
              <w:szCs w:val="22"/>
            </w:rPr>
          </w:pPr>
          <w:r w:rsidRPr="00764859">
            <w:rPr>
              <w:rStyle w:val="PlaceholderText"/>
            </w:rPr>
            <w:t>.</w:t>
          </w:r>
        </w:p>
      </w:sdtContent>
    </w:sdt>
    <w:tbl>
      <w:tblPr>
        <w:tblStyle w:val="TableGrid"/>
        <w:tblW w:w="14126"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6"/>
      </w:tblGrid>
      <w:tr w:rsidR="00453F54" w14:paraId="67D2EE7B" w14:textId="77777777" w:rsidTr="00A64B72">
        <w:trPr>
          <w:trHeight w:val="432"/>
        </w:trPr>
        <w:tc>
          <w:tcPr>
            <w:tcW w:w="14126" w:type="dxa"/>
            <w:shd w:val="clear" w:color="auto" w:fill="F7F7F7"/>
            <w:vAlign w:val="center"/>
            <w:hideMark/>
          </w:tcPr>
          <w:p w14:paraId="0F7DCA9F" w14:textId="77777777" w:rsidR="00453F54" w:rsidRDefault="00453F54" w:rsidP="00A64B72">
            <w:pPr>
              <w:rPr>
                <w:rFonts w:ascii="Calibri" w:eastAsia="Times New Roman" w:hAnsi="Calibri" w:cs="Times New Roman"/>
                <w:b/>
                <w:color w:val="172D5F"/>
                <w:sz w:val="22"/>
                <w:szCs w:val="22"/>
              </w:rPr>
            </w:pPr>
            <w:r w:rsidRPr="00565C6B">
              <w:rPr>
                <w:rFonts w:asciiTheme="minorHAnsi" w:hAnsiTheme="minorHAnsi" w:cstheme="minorHAnsi"/>
                <w:b/>
                <w:color w:val="002060"/>
                <w:sz w:val="22"/>
                <w:szCs w:val="22"/>
              </w:rPr>
              <w:t>Intermediate Results Indicator by Results Area</w:t>
            </w:r>
            <w:r>
              <w:rPr>
                <w:rFonts w:asciiTheme="minorHAnsi" w:hAnsiTheme="minorHAnsi" w:cstheme="minorHAnsi"/>
                <w:b/>
                <w:color w:val="002060"/>
                <w:sz w:val="22"/>
                <w:szCs w:val="22"/>
              </w:rPr>
              <w:t>s</w:t>
            </w:r>
          </w:p>
        </w:tc>
      </w:tr>
    </w:tbl>
    <w:tbl>
      <w:tblPr>
        <w:tblW w:w="14130"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F7"/>
        <w:tblLayout w:type="fixed"/>
        <w:tblCellMar>
          <w:left w:w="0" w:type="dxa"/>
          <w:right w:w="0" w:type="dxa"/>
        </w:tblCellMar>
        <w:tblLook w:val="04A0" w:firstRow="1" w:lastRow="0" w:firstColumn="1" w:lastColumn="0" w:noHBand="0" w:noVBand="1"/>
      </w:tblPr>
      <w:tblGrid>
        <w:gridCol w:w="6151"/>
        <w:gridCol w:w="630"/>
        <w:gridCol w:w="3690"/>
        <w:gridCol w:w="3659"/>
      </w:tblGrid>
      <w:tr w:rsidR="00453F54" w:rsidRPr="00A12083" w14:paraId="2F58B9AC" w14:textId="77777777" w:rsidTr="00A64B72">
        <w:trPr>
          <w:trHeight w:val="20"/>
          <w:tblHeader/>
        </w:trPr>
        <w:tc>
          <w:tcPr>
            <w:tcW w:w="6151" w:type="dxa"/>
            <w:shd w:val="clear" w:color="auto" w:fill="F7F7F7"/>
            <w:vAlign w:val="center"/>
            <w:hideMark/>
          </w:tcPr>
          <w:p w14:paraId="2213D1C8" w14:textId="77777777" w:rsidR="00453F54" w:rsidRPr="00A12083" w:rsidRDefault="00453F54" w:rsidP="00A64B72">
            <w:pPr>
              <w:keepNext/>
              <w:keepLines/>
              <w:spacing w:after="60"/>
              <w:ind w:left="115"/>
              <w:rPr>
                <w:rFonts w:asciiTheme="minorHAnsi" w:hAnsiTheme="minorHAnsi" w:cstheme="minorHAnsi"/>
                <w:b/>
                <w:color w:val="auto"/>
                <w:sz w:val="22"/>
                <w:szCs w:val="22"/>
              </w:rPr>
            </w:pPr>
            <w:r w:rsidRPr="00A12083">
              <w:rPr>
                <w:rFonts w:asciiTheme="minorHAnsi" w:hAnsiTheme="minorHAnsi" w:cstheme="minorHAnsi"/>
                <w:b/>
                <w:color w:val="auto"/>
                <w:sz w:val="22"/>
                <w:szCs w:val="22"/>
              </w:rPr>
              <w:t>Indicator Name</w:t>
            </w:r>
          </w:p>
        </w:tc>
        <w:tc>
          <w:tcPr>
            <w:tcW w:w="630" w:type="dxa"/>
            <w:shd w:val="clear" w:color="auto" w:fill="F7F7F7"/>
            <w:vAlign w:val="center"/>
            <w:hideMark/>
          </w:tcPr>
          <w:p w14:paraId="6D63AB1D" w14:textId="77777777" w:rsidR="00453F54" w:rsidRPr="00A12083" w:rsidRDefault="00453F54" w:rsidP="00A64B72">
            <w:pPr>
              <w:keepNext/>
              <w:keepLines/>
              <w:spacing w:after="60"/>
              <w:ind w:left="115"/>
              <w:rPr>
                <w:rFonts w:asciiTheme="minorHAnsi" w:hAnsiTheme="minorHAnsi" w:cstheme="minorHAnsi"/>
                <w:b/>
                <w:color w:val="auto"/>
                <w:sz w:val="22"/>
                <w:szCs w:val="22"/>
              </w:rPr>
            </w:pPr>
            <w:r w:rsidRPr="00A12083">
              <w:rPr>
                <w:rFonts w:asciiTheme="minorHAnsi" w:hAnsiTheme="minorHAnsi" w:cstheme="minorHAnsi"/>
                <w:b/>
                <w:color w:val="auto"/>
                <w:sz w:val="22"/>
                <w:szCs w:val="22"/>
              </w:rPr>
              <w:t>DLI</w:t>
            </w:r>
          </w:p>
        </w:tc>
        <w:tc>
          <w:tcPr>
            <w:tcW w:w="3690" w:type="dxa"/>
            <w:shd w:val="clear" w:color="auto" w:fill="F7F7F7"/>
            <w:vAlign w:val="center"/>
            <w:hideMark/>
          </w:tcPr>
          <w:p w14:paraId="23A85FFD" w14:textId="77777777" w:rsidR="00453F54" w:rsidRPr="00A12083" w:rsidRDefault="00453F54" w:rsidP="00A64B72">
            <w:pPr>
              <w:keepNext/>
              <w:keepLines/>
              <w:spacing w:after="60"/>
              <w:ind w:left="115"/>
              <w:rPr>
                <w:rFonts w:asciiTheme="minorHAnsi" w:hAnsiTheme="minorHAnsi" w:cstheme="minorHAnsi"/>
                <w:b/>
                <w:color w:val="auto"/>
                <w:sz w:val="22"/>
                <w:szCs w:val="22"/>
              </w:rPr>
            </w:pPr>
            <w:r w:rsidRPr="00A12083">
              <w:rPr>
                <w:rFonts w:asciiTheme="minorHAnsi" w:hAnsiTheme="minorHAnsi" w:cstheme="minorHAnsi"/>
                <w:b/>
                <w:color w:val="auto"/>
                <w:sz w:val="22"/>
                <w:szCs w:val="22"/>
              </w:rPr>
              <w:t>Baseline</w:t>
            </w:r>
          </w:p>
        </w:tc>
        <w:tc>
          <w:tcPr>
            <w:tcW w:w="3659" w:type="dxa"/>
            <w:shd w:val="clear" w:color="auto" w:fill="F7F7F7"/>
            <w:vAlign w:val="center"/>
            <w:hideMark/>
          </w:tcPr>
          <w:p w14:paraId="0D77287B" w14:textId="77777777" w:rsidR="00453F54" w:rsidRPr="00A12083" w:rsidRDefault="00453F54" w:rsidP="00A64B72">
            <w:pPr>
              <w:keepNext/>
              <w:keepLines/>
              <w:spacing w:after="60"/>
              <w:ind w:left="115"/>
              <w:rPr>
                <w:rFonts w:asciiTheme="minorHAnsi" w:hAnsiTheme="minorHAnsi" w:cstheme="minorHAnsi"/>
                <w:b/>
                <w:color w:val="auto"/>
                <w:sz w:val="22"/>
                <w:szCs w:val="22"/>
              </w:rPr>
            </w:pPr>
            <w:r w:rsidRPr="00A12083">
              <w:rPr>
                <w:rFonts w:asciiTheme="minorHAnsi" w:hAnsiTheme="minorHAnsi" w:cstheme="minorHAnsi"/>
                <w:b/>
                <w:color w:val="auto"/>
                <w:sz w:val="22"/>
                <w:szCs w:val="22"/>
              </w:rPr>
              <w:t>End Target</w:t>
            </w:r>
          </w:p>
        </w:tc>
      </w:tr>
      <w:tr w:rsidR="00453F54" w:rsidRPr="0065725B" w14:paraId="6AF5B298" w14:textId="77777777" w:rsidTr="00A64B72">
        <w:trPr>
          <w:trHeight w:val="20"/>
          <w:tblHeader/>
        </w:trPr>
        <w:tc>
          <w:tcPr>
            <w:tcW w:w="6151" w:type="dxa"/>
            <w:shd w:val="clear" w:color="auto" w:fill="F7F7F7"/>
            <w:vAlign w:val="center"/>
          </w:tcPr>
          <w:p w14:paraId="79D7BDCB" w14:textId="77777777" w:rsidR="00453F54" w:rsidRPr="0065725B" w:rsidRDefault="00453F54" w:rsidP="00A64B72">
            <w:pPr>
              <w:spacing w:after="60"/>
              <w:ind w:left="115"/>
              <w:rPr>
                <w:rFonts w:asciiTheme="minorHAnsi" w:hAnsiTheme="minorHAnsi" w:cstheme="minorHAnsi"/>
                <w:color w:val="auto"/>
                <w:sz w:val="20"/>
                <w:szCs w:val="22"/>
              </w:rPr>
            </w:pPr>
            <w:r w:rsidRPr="001A5405">
              <w:rPr>
                <w:rFonts w:asciiTheme="minorHAnsi" w:hAnsiTheme="minorHAnsi" w:cstheme="minorHAnsi"/>
                <w:b/>
                <w:color w:val="auto"/>
                <w:sz w:val="20"/>
                <w:szCs w:val="22"/>
              </w:rPr>
              <w:t xml:space="preserve">Results Area 1: </w:t>
            </w:r>
            <w:r w:rsidRPr="001A5405">
              <w:rPr>
                <w:rFonts w:asciiTheme="minorHAnsi" w:eastAsia="Times New Roman" w:hAnsiTheme="minorHAnsi" w:cstheme="minorHAnsi"/>
                <w:b/>
                <w:bCs/>
                <w:iCs/>
                <w:sz w:val="20"/>
                <w:szCs w:val="22"/>
              </w:rPr>
              <w:t>Achiev</w:t>
            </w:r>
            <w:r>
              <w:rPr>
                <w:rFonts w:asciiTheme="minorHAnsi" w:eastAsia="Times New Roman" w:hAnsiTheme="minorHAnsi" w:cstheme="minorHAnsi"/>
                <w:b/>
                <w:bCs/>
                <w:iCs/>
                <w:sz w:val="20"/>
                <w:szCs w:val="22"/>
              </w:rPr>
              <w:t>ement of</w:t>
            </w:r>
            <w:r w:rsidRPr="001A5405">
              <w:rPr>
                <w:rFonts w:asciiTheme="minorHAnsi" w:eastAsia="Times New Roman" w:hAnsiTheme="minorHAnsi" w:cstheme="minorHAnsi"/>
                <w:b/>
                <w:bCs/>
                <w:iCs/>
                <w:sz w:val="20"/>
                <w:szCs w:val="22"/>
              </w:rPr>
              <w:t xml:space="preserve"> Financial </w:t>
            </w:r>
            <w:r>
              <w:rPr>
                <w:rFonts w:asciiTheme="minorHAnsi" w:eastAsia="Times New Roman" w:hAnsiTheme="minorHAnsi" w:cstheme="minorHAnsi"/>
                <w:b/>
                <w:bCs/>
                <w:iCs/>
                <w:sz w:val="20"/>
                <w:szCs w:val="22"/>
              </w:rPr>
              <w:t>Viability</w:t>
            </w:r>
            <w:r w:rsidRPr="001A5405">
              <w:rPr>
                <w:rFonts w:asciiTheme="minorHAnsi" w:eastAsia="Times New Roman" w:hAnsiTheme="minorHAnsi" w:cstheme="minorHAnsi"/>
                <w:b/>
                <w:bCs/>
                <w:iCs/>
                <w:sz w:val="20"/>
                <w:szCs w:val="22"/>
              </w:rPr>
              <w:t xml:space="preserve"> </w:t>
            </w:r>
            <w:r>
              <w:rPr>
                <w:rFonts w:asciiTheme="minorHAnsi" w:eastAsia="Times New Roman" w:hAnsiTheme="minorHAnsi" w:cstheme="minorHAnsi"/>
                <w:b/>
                <w:sz w:val="20"/>
                <w:szCs w:val="22"/>
              </w:rPr>
              <w:t>of BT</w:t>
            </w:r>
          </w:p>
        </w:tc>
        <w:tc>
          <w:tcPr>
            <w:tcW w:w="630" w:type="dxa"/>
            <w:shd w:val="clear" w:color="auto" w:fill="F7F7F7"/>
            <w:vAlign w:val="center"/>
          </w:tcPr>
          <w:p w14:paraId="64990B6E" w14:textId="77777777" w:rsidR="00453F54" w:rsidRPr="0065725B" w:rsidRDefault="00453F54" w:rsidP="00A64B72">
            <w:pPr>
              <w:spacing w:after="60"/>
              <w:ind w:left="115"/>
              <w:rPr>
                <w:rFonts w:asciiTheme="minorHAnsi" w:hAnsiTheme="minorHAnsi" w:cstheme="minorHAnsi"/>
                <w:color w:val="auto"/>
                <w:sz w:val="20"/>
                <w:szCs w:val="22"/>
              </w:rPr>
            </w:pPr>
          </w:p>
        </w:tc>
        <w:tc>
          <w:tcPr>
            <w:tcW w:w="3690" w:type="dxa"/>
            <w:shd w:val="clear" w:color="auto" w:fill="F7F7F7"/>
            <w:vAlign w:val="center"/>
          </w:tcPr>
          <w:p w14:paraId="5E58705F" w14:textId="77777777" w:rsidR="00453F54" w:rsidRPr="0065725B" w:rsidRDefault="00453F54" w:rsidP="00A64B72">
            <w:pPr>
              <w:keepNext/>
              <w:keepLines/>
              <w:spacing w:after="60"/>
              <w:ind w:left="115"/>
              <w:rPr>
                <w:rFonts w:asciiTheme="minorHAnsi" w:hAnsiTheme="minorHAnsi" w:cstheme="minorHAnsi"/>
                <w:color w:val="auto"/>
                <w:sz w:val="20"/>
                <w:szCs w:val="22"/>
              </w:rPr>
            </w:pPr>
          </w:p>
        </w:tc>
        <w:tc>
          <w:tcPr>
            <w:tcW w:w="3659" w:type="dxa"/>
            <w:shd w:val="clear" w:color="auto" w:fill="F7F7F7"/>
            <w:vAlign w:val="center"/>
          </w:tcPr>
          <w:p w14:paraId="01DBDE8F" w14:textId="77777777" w:rsidR="00453F54" w:rsidRPr="0065725B" w:rsidRDefault="00453F54" w:rsidP="00A64B72">
            <w:pPr>
              <w:spacing w:after="60"/>
              <w:ind w:left="115"/>
              <w:rPr>
                <w:rFonts w:asciiTheme="minorHAnsi" w:hAnsiTheme="minorHAnsi" w:cstheme="minorHAnsi"/>
                <w:color w:val="auto"/>
                <w:sz w:val="20"/>
                <w:szCs w:val="22"/>
              </w:rPr>
            </w:pPr>
          </w:p>
        </w:tc>
      </w:tr>
      <w:tr w:rsidR="00453F54" w:rsidRPr="0065725B" w14:paraId="617CC123" w14:textId="77777777" w:rsidTr="00A64B72">
        <w:trPr>
          <w:trHeight w:val="20"/>
          <w:tblHeader/>
        </w:trPr>
        <w:tc>
          <w:tcPr>
            <w:tcW w:w="6151" w:type="dxa"/>
            <w:shd w:val="clear" w:color="auto" w:fill="F7F7F7"/>
            <w:vAlign w:val="center"/>
          </w:tcPr>
          <w:p w14:paraId="6ED15639" w14:textId="77777777" w:rsidR="00453F54" w:rsidRPr="0065725B" w:rsidRDefault="00453F54" w:rsidP="00A64B72">
            <w:pPr>
              <w:spacing w:after="60"/>
              <w:ind w:left="115"/>
              <w:rPr>
                <w:rFonts w:asciiTheme="minorHAnsi" w:hAnsiTheme="minorHAnsi" w:cstheme="minorHAnsi"/>
                <w:color w:val="auto"/>
                <w:sz w:val="20"/>
                <w:szCs w:val="22"/>
              </w:rPr>
            </w:pPr>
            <w:bookmarkStart w:id="47" w:name="_Hlk8644529"/>
            <w:r w:rsidRPr="0065725B">
              <w:rPr>
                <w:rFonts w:asciiTheme="minorHAnsi" w:hAnsiTheme="minorHAnsi" w:cstheme="minorHAnsi"/>
                <w:color w:val="auto"/>
                <w:sz w:val="20"/>
                <w:szCs w:val="22"/>
              </w:rPr>
              <w:t xml:space="preserve">Extent to which end-user tariffs </w:t>
            </w:r>
            <w:r>
              <w:rPr>
                <w:rFonts w:asciiTheme="minorHAnsi" w:hAnsiTheme="minorHAnsi" w:cstheme="minorHAnsi"/>
                <w:color w:val="auto"/>
                <w:sz w:val="20"/>
                <w:szCs w:val="22"/>
              </w:rPr>
              <w:t>reflect</w:t>
            </w:r>
            <w:r w:rsidRPr="0065725B">
              <w:rPr>
                <w:rFonts w:asciiTheme="minorHAnsi" w:hAnsiTheme="minorHAnsi" w:cstheme="minorHAnsi"/>
                <w:color w:val="auto"/>
                <w:sz w:val="20"/>
                <w:szCs w:val="22"/>
              </w:rPr>
              <w:t xml:space="preserve"> the revenue requirement of </w:t>
            </w:r>
            <w:bookmarkEnd w:id="47"/>
            <w:r>
              <w:rPr>
                <w:rFonts w:asciiTheme="minorHAnsi" w:hAnsiTheme="minorHAnsi" w:cstheme="minorHAnsi"/>
                <w:color w:val="auto"/>
                <w:sz w:val="20"/>
                <w:szCs w:val="22"/>
              </w:rPr>
              <w:t>BT</w:t>
            </w:r>
            <w:r>
              <w:rPr>
                <w:rStyle w:val="FootnoteReference"/>
                <w:rFonts w:asciiTheme="minorHAnsi" w:hAnsiTheme="minorHAnsi" w:cstheme="minorHAnsi"/>
                <w:color w:val="auto"/>
                <w:sz w:val="20"/>
                <w:szCs w:val="22"/>
              </w:rPr>
              <w:footnoteReference w:id="14"/>
            </w:r>
          </w:p>
        </w:tc>
        <w:tc>
          <w:tcPr>
            <w:tcW w:w="630" w:type="dxa"/>
            <w:shd w:val="clear" w:color="auto" w:fill="F7F7F7"/>
            <w:vAlign w:val="center"/>
          </w:tcPr>
          <w:p w14:paraId="6FE5B3ED" w14:textId="77777777" w:rsidR="00453F54" w:rsidRPr="0065725B" w:rsidRDefault="00453F54" w:rsidP="00A64B72">
            <w:pPr>
              <w:spacing w:after="60"/>
              <w:ind w:left="115"/>
              <w:rPr>
                <w:rFonts w:asciiTheme="minorHAnsi" w:hAnsiTheme="minorHAnsi" w:cstheme="minorHAnsi"/>
                <w:color w:val="auto"/>
                <w:sz w:val="20"/>
                <w:szCs w:val="22"/>
              </w:rPr>
            </w:pPr>
            <w:r>
              <w:rPr>
                <w:rFonts w:asciiTheme="minorHAnsi" w:hAnsiTheme="minorHAnsi" w:cstheme="minorHAnsi"/>
                <w:color w:val="auto"/>
                <w:sz w:val="20"/>
                <w:szCs w:val="22"/>
              </w:rPr>
              <w:t>1</w:t>
            </w:r>
          </w:p>
        </w:tc>
        <w:tc>
          <w:tcPr>
            <w:tcW w:w="3690" w:type="dxa"/>
            <w:shd w:val="clear" w:color="auto" w:fill="F7F7F7"/>
            <w:vAlign w:val="center"/>
          </w:tcPr>
          <w:p w14:paraId="5A34889A" w14:textId="77777777" w:rsidR="00453F54" w:rsidRPr="0065725B" w:rsidRDefault="00453F54" w:rsidP="00A64B72">
            <w:pPr>
              <w:keepNext/>
              <w:keepLines/>
              <w:spacing w:after="60"/>
              <w:ind w:left="115"/>
              <w:rPr>
                <w:rFonts w:asciiTheme="minorHAnsi" w:hAnsiTheme="minorHAnsi" w:cstheme="minorHAnsi"/>
                <w:color w:val="auto"/>
                <w:sz w:val="20"/>
                <w:szCs w:val="22"/>
              </w:rPr>
            </w:pPr>
            <w:r>
              <w:rPr>
                <w:rFonts w:asciiTheme="minorHAnsi" w:hAnsiTheme="minorHAnsi" w:cstheme="minorHAnsi"/>
                <w:color w:val="auto"/>
                <w:sz w:val="20"/>
                <w:szCs w:val="22"/>
              </w:rPr>
              <w:t>20</w:t>
            </w:r>
            <w:r w:rsidRPr="0065725B">
              <w:rPr>
                <w:rFonts w:asciiTheme="minorHAnsi" w:hAnsiTheme="minorHAnsi" w:cstheme="minorHAnsi"/>
                <w:color w:val="auto"/>
                <w:sz w:val="20"/>
                <w:szCs w:val="22"/>
              </w:rPr>
              <w:t>%</w:t>
            </w:r>
            <w:r>
              <w:rPr>
                <w:rStyle w:val="FootnoteReference"/>
                <w:rFonts w:asciiTheme="minorHAnsi" w:hAnsiTheme="minorHAnsi" w:cstheme="minorHAnsi"/>
                <w:color w:val="auto"/>
                <w:sz w:val="20"/>
                <w:szCs w:val="22"/>
              </w:rPr>
              <w:footnoteReference w:id="15"/>
            </w:r>
            <w:r w:rsidRPr="0065725B">
              <w:rPr>
                <w:rFonts w:asciiTheme="minorHAnsi" w:hAnsiTheme="minorHAnsi" w:cstheme="minorHAnsi"/>
                <w:color w:val="auto"/>
                <w:sz w:val="20"/>
                <w:szCs w:val="22"/>
              </w:rPr>
              <w:t xml:space="preserve"> </w:t>
            </w:r>
          </w:p>
        </w:tc>
        <w:tc>
          <w:tcPr>
            <w:tcW w:w="3659" w:type="dxa"/>
            <w:shd w:val="clear" w:color="auto" w:fill="F7F7F7"/>
            <w:vAlign w:val="center"/>
          </w:tcPr>
          <w:p w14:paraId="2C695F60" w14:textId="77777777" w:rsidR="00453F54" w:rsidRPr="0065725B" w:rsidRDefault="00453F54" w:rsidP="00A64B72">
            <w:pPr>
              <w:spacing w:after="60"/>
              <w:ind w:left="115"/>
              <w:rPr>
                <w:rFonts w:asciiTheme="minorHAnsi" w:hAnsiTheme="minorHAnsi" w:cstheme="minorHAnsi"/>
                <w:color w:val="auto"/>
                <w:sz w:val="20"/>
                <w:szCs w:val="22"/>
              </w:rPr>
            </w:pPr>
            <w:r w:rsidRPr="0065725B">
              <w:rPr>
                <w:rFonts w:asciiTheme="minorHAnsi" w:hAnsiTheme="minorHAnsi" w:cstheme="minorHAnsi"/>
                <w:color w:val="auto"/>
                <w:sz w:val="20"/>
                <w:szCs w:val="22"/>
              </w:rPr>
              <w:t>100%</w:t>
            </w:r>
          </w:p>
        </w:tc>
      </w:tr>
      <w:tr w:rsidR="00453F54" w:rsidRPr="00CF19DE" w14:paraId="5F9CCCA5" w14:textId="77777777" w:rsidTr="00A64B72">
        <w:trPr>
          <w:trHeight w:val="20"/>
          <w:tblHeader/>
        </w:trPr>
        <w:tc>
          <w:tcPr>
            <w:tcW w:w="6151" w:type="dxa"/>
            <w:shd w:val="clear" w:color="auto" w:fill="F7F7F7"/>
            <w:vAlign w:val="center"/>
          </w:tcPr>
          <w:p w14:paraId="0A0A3EB3" w14:textId="77777777" w:rsidR="00453F54" w:rsidRPr="00425FC8" w:rsidRDefault="00453F54" w:rsidP="00A64B72">
            <w:pPr>
              <w:spacing w:after="60"/>
              <w:ind w:left="115"/>
              <w:rPr>
                <w:rFonts w:asciiTheme="minorHAnsi" w:hAnsiTheme="minorHAnsi" w:cstheme="minorHAnsi"/>
                <w:color w:val="auto"/>
                <w:sz w:val="20"/>
                <w:szCs w:val="20"/>
              </w:rPr>
            </w:pPr>
            <w:bookmarkStart w:id="48" w:name="_Hlk8644754"/>
            <w:r>
              <w:rPr>
                <w:rFonts w:asciiTheme="minorHAnsi" w:hAnsiTheme="minorHAnsi" w:cstheme="minorHAnsi"/>
                <w:color w:val="auto"/>
                <w:sz w:val="20"/>
                <w:szCs w:val="20"/>
              </w:rPr>
              <w:t xml:space="preserve">Days of payables outstanding to </w:t>
            </w:r>
            <w:bookmarkEnd w:id="48"/>
            <w:r>
              <w:rPr>
                <w:rFonts w:asciiTheme="minorHAnsi" w:hAnsiTheme="minorHAnsi" w:cstheme="minorHAnsi"/>
                <w:color w:val="auto"/>
                <w:sz w:val="20"/>
                <w:szCs w:val="20"/>
              </w:rPr>
              <w:t>Sangtuda-1 power plant</w:t>
            </w:r>
          </w:p>
        </w:tc>
        <w:tc>
          <w:tcPr>
            <w:tcW w:w="630" w:type="dxa"/>
            <w:shd w:val="clear" w:color="auto" w:fill="F7F7F7"/>
            <w:vAlign w:val="center"/>
          </w:tcPr>
          <w:p w14:paraId="46140A7B" w14:textId="77777777" w:rsidR="00453F54" w:rsidRPr="00CF19DE" w:rsidRDefault="00453F54" w:rsidP="00A64B72">
            <w:pPr>
              <w:spacing w:after="60"/>
              <w:ind w:left="115"/>
              <w:rPr>
                <w:rFonts w:asciiTheme="minorHAnsi" w:hAnsiTheme="minorHAnsi" w:cstheme="minorHAnsi"/>
                <w:color w:val="auto"/>
                <w:sz w:val="20"/>
                <w:szCs w:val="22"/>
              </w:rPr>
            </w:pPr>
            <w:r>
              <w:rPr>
                <w:rFonts w:asciiTheme="minorHAnsi" w:hAnsiTheme="minorHAnsi" w:cstheme="minorHAnsi"/>
                <w:color w:val="auto"/>
                <w:sz w:val="20"/>
                <w:szCs w:val="22"/>
              </w:rPr>
              <w:t>-</w:t>
            </w:r>
          </w:p>
        </w:tc>
        <w:tc>
          <w:tcPr>
            <w:tcW w:w="3690" w:type="dxa"/>
            <w:shd w:val="clear" w:color="auto" w:fill="F7F7F7"/>
            <w:vAlign w:val="center"/>
          </w:tcPr>
          <w:p w14:paraId="09E2E608" w14:textId="77777777" w:rsidR="00453F54" w:rsidRPr="00CF19DE" w:rsidRDefault="00453F54" w:rsidP="00A64B72">
            <w:pPr>
              <w:keepNext/>
              <w:keepLines/>
              <w:spacing w:after="60"/>
              <w:ind w:left="115"/>
              <w:rPr>
                <w:rFonts w:asciiTheme="minorHAnsi" w:hAnsiTheme="minorHAnsi" w:cstheme="minorHAnsi"/>
                <w:color w:val="auto"/>
                <w:sz w:val="20"/>
                <w:szCs w:val="22"/>
              </w:rPr>
            </w:pPr>
            <w:r>
              <w:rPr>
                <w:rFonts w:asciiTheme="minorHAnsi" w:hAnsiTheme="minorHAnsi" w:cstheme="minorHAnsi"/>
                <w:color w:val="auto"/>
                <w:sz w:val="20"/>
                <w:szCs w:val="22"/>
              </w:rPr>
              <w:t>593</w:t>
            </w:r>
            <w:r>
              <w:rPr>
                <w:rStyle w:val="FootnoteReference"/>
                <w:rFonts w:asciiTheme="minorHAnsi" w:hAnsiTheme="minorHAnsi" w:cstheme="minorHAnsi"/>
                <w:color w:val="auto"/>
                <w:sz w:val="20"/>
                <w:szCs w:val="22"/>
              </w:rPr>
              <w:footnoteReference w:id="16"/>
            </w:r>
          </w:p>
        </w:tc>
        <w:tc>
          <w:tcPr>
            <w:tcW w:w="3659" w:type="dxa"/>
            <w:shd w:val="clear" w:color="auto" w:fill="F7F7F7"/>
            <w:vAlign w:val="center"/>
          </w:tcPr>
          <w:p w14:paraId="609F701C" w14:textId="77777777" w:rsidR="00453F54" w:rsidRPr="00CF19DE" w:rsidRDefault="00453F54" w:rsidP="00A64B72">
            <w:pPr>
              <w:spacing w:after="60"/>
              <w:ind w:left="115"/>
              <w:rPr>
                <w:rFonts w:asciiTheme="minorHAnsi" w:hAnsiTheme="minorHAnsi" w:cstheme="minorHAnsi"/>
                <w:color w:val="auto"/>
                <w:sz w:val="20"/>
                <w:szCs w:val="22"/>
              </w:rPr>
            </w:pPr>
            <w:r>
              <w:rPr>
                <w:rFonts w:asciiTheme="minorHAnsi" w:hAnsiTheme="minorHAnsi" w:cstheme="minorHAnsi"/>
                <w:color w:val="auto"/>
                <w:sz w:val="20"/>
                <w:szCs w:val="22"/>
              </w:rPr>
              <w:t>45</w:t>
            </w:r>
          </w:p>
        </w:tc>
      </w:tr>
      <w:tr w:rsidR="00453F54" w:rsidRPr="00CF19DE" w14:paraId="51403D03" w14:textId="77777777" w:rsidTr="00A64B72">
        <w:trPr>
          <w:trHeight w:val="20"/>
          <w:tblHeader/>
        </w:trPr>
        <w:tc>
          <w:tcPr>
            <w:tcW w:w="6151" w:type="dxa"/>
            <w:shd w:val="clear" w:color="auto" w:fill="F7F7F7"/>
            <w:vAlign w:val="center"/>
          </w:tcPr>
          <w:p w14:paraId="1D63B40E" w14:textId="77777777" w:rsidR="00453F54" w:rsidRPr="00425FC8" w:rsidRDefault="00453F54" w:rsidP="00A64B72">
            <w:pPr>
              <w:spacing w:after="60"/>
              <w:ind w:left="30"/>
              <w:rPr>
                <w:rFonts w:asciiTheme="minorHAnsi" w:hAnsiTheme="minorHAnsi" w:cstheme="minorHAnsi"/>
                <w:color w:val="auto"/>
                <w:sz w:val="20"/>
                <w:szCs w:val="20"/>
              </w:rPr>
            </w:pPr>
            <w:r w:rsidRPr="00425FC8">
              <w:rPr>
                <w:rFonts w:asciiTheme="minorHAnsi" w:hAnsiTheme="minorHAnsi" w:cstheme="minorHAnsi"/>
                <w:color w:val="auto"/>
                <w:sz w:val="20"/>
                <w:szCs w:val="20"/>
              </w:rPr>
              <w:t xml:space="preserve">  </w:t>
            </w:r>
            <w:bookmarkStart w:id="49" w:name="_Hlk8644801"/>
            <w:r w:rsidRPr="00425FC8">
              <w:rPr>
                <w:rFonts w:asciiTheme="minorHAnsi" w:hAnsiTheme="minorHAnsi" w:cstheme="minorHAnsi"/>
                <w:color w:val="auto"/>
                <w:sz w:val="20"/>
                <w:szCs w:val="20"/>
              </w:rPr>
              <w:t>Debt service coverage ratio</w:t>
            </w:r>
            <w:bookmarkEnd w:id="49"/>
          </w:p>
        </w:tc>
        <w:tc>
          <w:tcPr>
            <w:tcW w:w="630" w:type="dxa"/>
            <w:shd w:val="clear" w:color="auto" w:fill="F7F7F7"/>
            <w:vAlign w:val="center"/>
          </w:tcPr>
          <w:p w14:paraId="14FF35F6" w14:textId="77777777" w:rsidR="00453F54" w:rsidRPr="00CF19DE" w:rsidRDefault="00453F54" w:rsidP="00A64B72">
            <w:pPr>
              <w:spacing w:after="60"/>
              <w:ind w:left="115"/>
              <w:rPr>
                <w:rFonts w:asciiTheme="minorHAnsi" w:hAnsiTheme="minorHAnsi" w:cstheme="minorHAnsi"/>
                <w:color w:val="auto"/>
                <w:sz w:val="20"/>
                <w:szCs w:val="22"/>
              </w:rPr>
            </w:pPr>
            <w:r>
              <w:rPr>
                <w:rFonts w:asciiTheme="minorHAnsi" w:hAnsiTheme="minorHAnsi" w:cstheme="minorHAnsi"/>
                <w:color w:val="auto"/>
                <w:sz w:val="20"/>
                <w:szCs w:val="22"/>
              </w:rPr>
              <w:t>-</w:t>
            </w:r>
          </w:p>
        </w:tc>
        <w:tc>
          <w:tcPr>
            <w:tcW w:w="3690" w:type="dxa"/>
            <w:shd w:val="clear" w:color="auto" w:fill="F7F7F7"/>
            <w:vAlign w:val="center"/>
          </w:tcPr>
          <w:p w14:paraId="1DC5CCAD" w14:textId="77777777" w:rsidR="00453F54" w:rsidRPr="00CF19DE" w:rsidRDefault="00453F54" w:rsidP="00A64B72">
            <w:pPr>
              <w:keepNext/>
              <w:keepLines/>
              <w:spacing w:after="60"/>
              <w:ind w:left="115"/>
              <w:rPr>
                <w:rFonts w:asciiTheme="minorHAnsi" w:hAnsiTheme="minorHAnsi" w:cstheme="minorHAnsi"/>
                <w:color w:val="auto"/>
                <w:sz w:val="20"/>
                <w:szCs w:val="22"/>
              </w:rPr>
            </w:pPr>
            <w:r>
              <w:rPr>
                <w:rFonts w:asciiTheme="minorHAnsi" w:hAnsiTheme="minorHAnsi" w:cstheme="minorHAnsi"/>
                <w:color w:val="auto"/>
                <w:sz w:val="20"/>
                <w:szCs w:val="22"/>
              </w:rPr>
              <w:t>0.04</w:t>
            </w:r>
            <w:r>
              <w:rPr>
                <w:rStyle w:val="FootnoteReference"/>
                <w:rFonts w:asciiTheme="minorHAnsi" w:hAnsiTheme="minorHAnsi" w:cstheme="minorHAnsi"/>
                <w:color w:val="auto"/>
                <w:sz w:val="20"/>
                <w:szCs w:val="22"/>
              </w:rPr>
              <w:footnoteReference w:id="17"/>
            </w:r>
          </w:p>
        </w:tc>
        <w:tc>
          <w:tcPr>
            <w:tcW w:w="3659" w:type="dxa"/>
            <w:shd w:val="clear" w:color="auto" w:fill="F7F7F7"/>
            <w:vAlign w:val="center"/>
          </w:tcPr>
          <w:p w14:paraId="4849C610" w14:textId="51690A4D" w:rsidR="00453F54" w:rsidRPr="00CF19DE" w:rsidRDefault="00427858" w:rsidP="00427858">
            <w:pPr>
              <w:spacing w:after="60"/>
              <w:rPr>
                <w:rFonts w:asciiTheme="minorHAnsi" w:hAnsiTheme="minorHAnsi" w:cstheme="minorHAnsi"/>
                <w:color w:val="auto"/>
                <w:sz w:val="20"/>
                <w:szCs w:val="22"/>
              </w:rPr>
            </w:pPr>
            <w:r>
              <w:rPr>
                <w:rFonts w:asciiTheme="minorHAnsi" w:hAnsiTheme="minorHAnsi" w:cstheme="minorHAnsi"/>
                <w:color w:val="auto"/>
                <w:sz w:val="20"/>
                <w:szCs w:val="22"/>
              </w:rPr>
              <w:t xml:space="preserve">  </w:t>
            </w:r>
            <w:r w:rsidR="00453F54">
              <w:rPr>
                <w:rFonts w:asciiTheme="minorHAnsi" w:hAnsiTheme="minorHAnsi" w:cstheme="minorHAnsi"/>
                <w:color w:val="auto"/>
                <w:sz w:val="20"/>
                <w:szCs w:val="22"/>
              </w:rPr>
              <w:t>1.1</w:t>
            </w:r>
          </w:p>
        </w:tc>
      </w:tr>
      <w:tr w:rsidR="00453F54" w:rsidRPr="00CF19DE" w14:paraId="1FB2706F" w14:textId="77777777" w:rsidTr="00A64B72">
        <w:trPr>
          <w:trHeight w:val="20"/>
          <w:tblHeader/>
        </w:trPr>
        <w:tc>
          <w:tcPr>
            <w:tcW w:w="6151" w:type="dxa"/>
            <w:shd w:val="clear" w:color="auto" w:fill="F7F7F7"/>
            <w:vAlign w:val="center"/>
          </w:tcPr>
          <w:p w14:paraId="287176D4" w14:textId="77777777" w:rsidR="00453F54" w:rsidRPr="00425FC8" w:rsidRDefault="00453F54" w:rsidP="00A64B72">
            <w:pPr>
              <w:spacing w:after="60"/>
              <w:ind w:left="30"/>
              <w:rPr>
                <w:rFonts w:asciiTheme="minorHAnsi" w:hAnsiTheme="minorHAnsi" w:cstheme="minorHAnsi"/>
                <w:color w:val="auto"/>
                <w:sz w:val="20"/>
                <w:szCs w:val="20"/>
              </w:rPr>
            </w:pPr>
            <w:r>
              <w:rPr>
                <w:rFonts w:asciiTheme="minorHAnsi" w:hAnsiTheme="minorHAnsi" w:cstheme="minorHAnsi"/>
                <w:color w:val="auto"/>
                <w:sz w:val="20"/>
                <w:szCs w:val="20"/>
              </w:rPr>
              <w:t xml:space="preserve">  Timely debt service payments by BT to MOF</w:t>
            </w:r>
          </w:p>
        </w:tc>
        <w:tc>
          <w:tcPr>
            <w:tcW w:w="630" w:type="dxa"/>
            <w:shd w:val="clear" w:color="auto" w:fill="F7F7F7"/>
            <w:vAlign w:val="center"/>
          </w:tcPr>
          <w:p w14:paraId="23E87B95" w14:textId="77777777" w:rsidR="00453F54" w:rsidRDefault="00453F54" w:rsidP="00A64B72">
            <w:pPr>
              <w:spacing w:after="60"/>
              <w:ind w:left="115"/>
              <w:rPr>
                <w:rFonts w:asciiTheme="minorHAnsi" w:hAnsiTheme="minorHAnsi" w:cstheme="minorHAnsi"/>
                <w:color w:val="auto"/>
                <w:sz w:val="20"/>
                <w:szCs w:val="22"/>
              </w:rPr>
            </w:pPr>
            <w:r>
              <w:rPr>
                <w:rFonts w:asciiTheme="minorHAnsi" w:hAnsiTheme="minorHAnsi" w:cstheme="minorHAnsi"/>
                <w:color w:val="auto"/>
                <w:sz w:val="20"/>
                <w:szCs w:val="22"/>
              </w:rPr>
              <w:t>-</w:t>
            </w:r>
          </w:p>
        </w:tc>
        <w:tc>
          <w:tcPr>
            <w:tcW w:w="3690" w:type="dxa"/>
            <w:shd w:val="clear" w:color="auto" w:fill="F7F7F7"/>
            <w:vAlign w:val="center"/>
          </w:tcPr>
          <w:p w14:paraId="28D9D16E" w14:textId="77777777" w:rsidR="00453F54" w:rsidRDefault="00453F54" w:rsidP="00A64B72">
            <w:pPr>
              <w:keepNext/>
              <w:keepLines/>
              <w:spacing w:after="60"/>
              <w:ind w:left="115"/>
              <w:rPr>
                <w:rFonts w:asciiTheme="minorHAnsi" w:hAnsiTheme="minorHAnsi" w:cstheme="minorHAnsi"/>
                <w:color w:val="auto"/>
                <w:sz w:val="20"/>
                <w:szCs w:val="22"/>
              </w:rPr>
            </w:pPr>
            <w:r>
              <w:rPr>
                <w:rFonts w:asciiTheme="minorHAnsi" w:hAnsiTheme="minorHAnsi" w:cstheme="minorHAnsi"/>
                <w:color w:val="auto"/>
                <w:sz w:val="20"/>
                <w:szCs w:val="22"/>
              </w:rPr>
              <w:t>No</w:t>
            </w:r>
          </w:p>
        </w:tc>
        <w:tc>
          <w:tcPr>
            <w:tcW w:w="3659" w:type="dxa"/>
            <w:shd w:val="clear" w:color="auto" w:fill="F7F7F7"/>
            <w:vAlign w:val="center"/>
          </w:tcPr>
          <w:p w14:paraId="47443BAF" w14:textId="77777777" w:rsidR="00453F54" w:rsidRDefault="00453F54" w:rsidP="00A64B72">
            <w:pPr>
              <w:spacing w:after="60"/>
              <w:ind w:left="115"/>
              <w:rPr>
                <w:rFonts w:asciiTheme="minorHAnsi" w:hAnsiTheme="minorHAnsi" w:cstheme="minorHAnsi"/>
                <w:color w:val="auto"/>
                <w:sz w:val="20"/>
                <w:szCs w:val="22"/>
              </w:rPr>
            </w:pPr>
            <w:r>
              <w:rPr>
                <w:rFonts w:asciiTheme="minorHAnsi" w:hAnsiTheme="minorHAnsi" w:cstheme="minorHAnsi"/>
                <w:color w:val="auto"/>
                <w:sz w:val="20"/>
                <w:szCs w:val="22"/>
              </w:rPr>
              <w:t>Yes</w:t>
            </w:r>
          </w:p>
        </w:tc>
      </w:tr>
      <w:tr w:rsidR="00453F54" w:rsidRPr="00CF19DE" w14:paraId="13707315" w14:textId="77777777" w:rsidTr="00A64B72">
        <w:trPr>
          <w:trHeight w:val="20"/>
          <w:tblHeader/>
        </w:trPr>
        <w:tc>
          <w:tcPr>
            <w:tcW w:w="6151" w:type="dxa"/>
            <w:shd w:val="clear" w:color="auto" w:fill="F7F7F7"/>
            <w:vAlign w:val="center"/>
          </w:tcPr>
          <w:p w14:paraId="25FDA6B3" w14:textId="77777777" w:rsidR="00453F54" w:rsidRPr="00CF19DE" w:rsidRDefault="00453F54" w:rsidP="00A64B72">
            <w:pPr>
              <w:spacing w:after="60"/>
              <w:ind w:left="115"/>
              <w:rPr>
                <w:rFonts w:asciiTheme="minorHAnsi" w:hAnsiTheme="minorHAnsi" w:cstheme="minorHAnsi"/>
                <w:color w:val="auto"/>
                <w:sz w:val="22"/>
                <w:szCs w:val="22"/>
              </w:rPr>
            </w:pPr>
            <w:r w:rsidRPr="001A5405">
              <w:rPr>
                <w:rFonts w:asciiTheme="minorHAnsi" w:eastAsia="Times New Roman" w:hAnsiTheme="minorHAnsi" w:cstheme="minorHAnsi"/>
                <w:b/>
                <w:color w:val="auto"/>
                <w:sz w:val="20"/>
                <w:szCs w:val="22"/>
              </w:rPr>
              <w:t xml:space="preserve">Results Area 2: </w:t>
            </w:r>
            <w:r>
              <w:rPr>
                <w:rFonts w:asciiTheme="minorHAnsi" w:eastAsia="Times New Roman" w:hAnsiTheme="minorHAnsi" w:cstheme="minorHAnsi"/>
                <w:b/>
                <w:color w:val="auto"/>
                <w:sz w:val="20"/>
                <w:szCs w:val="22"/>
              </w:rPr>
              <w:t>Ensuring</w:t>
            </w:r>
            <w:r w:rsidRPr="001A5405">
              <w:rPr>
                <w:rFonts w:asciiTheme="minorHAnsi" w:eastAsia="Times New Roman" w:hAnsiTheme="minorHAnsi" w:cstheme="minorHAnsi"/>
                <w:b/>
                <w:color w:val="auto"/>
                <w:sz w:val="20"/>
                <w:szCs w:val="22"/>
              </w:rPr>
              <w:t xml:space="preserve"> Electricity Supply Reliability</w:t>
            </w:r>
          </w:p>
        </w:tc>
        <w:tc>
          <w:tcPr>
            <w:tcW w:w="630" w:type="dxa"/>
            <w:shd w:val="clear" w:color="auto" w:fill="F7F7F7"/>
            <w:vAlign w:val="center"/>
          </w:tcPr>
          <w:p w14:paraId="0EF0E3A4" w14:textId="77777777" w:rsidR="00453F54" w:rsidRPr="00CF19DE" w:rsidRDefault="00453F54" w:rsidP="00A64B72">
            <w:pPr>
              <w:spacing w:after="60"/>
              <w:ind w:left="115"/>
              <w:rPr>
                <w:rFonts w:asciiTheme="minorHAnsi" w:hAnsiTheme="minorHAnsi" w:cstheme="minorHAnsi"/>
                <w:color w:val="auto"/>
                <w:sz w:val="22"/>
                <w:szCs w:val="22"/>
              </w:rPr>
            </w:pPr>
          </w:p>
        </w:tc>
        <w:tc>
          <w:tcPr>
            <w:tcW w:w="3690" w:type="dxa"/>
            <w:shd w:val="clear" w:color="auto" w:fill="F7F7F7"/>
            <w:vAlign w:val="center"/>
          </w:tcPr>
          <w:p w14:paraId="4A59D069" w14:textId="77777777" w:rsidR="00453F54" w:rsidRPr="00CF19DE" w:rsidRDefault="00453F54" w:rsidP="00A64B72">
            <w:pPr>
              <w:keepNext/>
              <w:keepLines/>
              <w:spacing w:after="60"/>
              <w:ind w:left="115"/>
              <w:rPr>
                <w:rFonts w:asciiTheme="minorHAnsi" w:hAnsiTheme="minorHAnsi" w:cstheme="minorHAnsi"/>
                <w:color w:val="auto"/>
                <w:sz w:val="22"/>
                <w:szCs w:val="22"/>
              </w:rPr>
            </w:pPr>
          </w:p>
        </w:tc>
        <w:tc>
          <w:tcPr>
            <w:tcW w:w="3659" w:type="dxa"/>
            <w:shd w:val="clear" w:color="auto" w:fill="F7F7F7"/>
            <w:vAlign w:val="center"/>
          </w:tcPr>
          <w:p w14:paraId="729D3112" w14:textId="77777777" w:rsidR="00453F54" w:rsidRPr="00CF19DE" w:rsidRDefault="00453F54" w:rsidP="00A64B72">
            <w:pPr>
              <w:spacing w:after="60"/>
              <w:ind w:left="115"/>
              <w:rPr>
                <w:rFonts w:asciiTheme="minorHAnsi" w:hAnsiTheme="minorHAnsi" w:cstheme="minorHAnsi"/>
                <w:color w:val="auto"/>
                <w:sz w:val="22"/>
                <w:szCs w:val="22"/>
              </w:rPr>
            </w:pPr>
          </w:p>
        </w:tc>
      </w:tr>
      <w:tr w:rsidR="00453F54" w:rsidRPr="00617B92" w14:paraId="4D354374" w14:textId="77777777" w:rsidTr="00A64B72">
        <w:trPr>
          <w:trHeight w:val="20"/>
          <w:tblHeader/>
        </w:trPr>
        <w:tc>
          <w:tcPr>
            <w:tcW w:w="6151" w:type="dxa"/>
            <w:shd w:val="clear" w:color="auto" w:fill="F7F7F7"/>
            <w:vAlign w:val="center"/>
          </w:tcPr>
          <w:p w14:paraId="5BFBA3B3" w14:textId="1C10F179" w:rsidR="00453F54" w:rsidRPr="00617B92" w:rsidRDefault="00453F54" w:rsidP="00A64B72">
            <w:pPr>
              <w:spacing w:after="60"/>
              <w:ind w:left="115"/>
              <w:rPr>
                <w:rFonts w:asciiTheme="minorHAnsi" w:hAnsiTheme="minorHAnsi" w:cstheme="minorHAnsi"/>
                <w:color w:val="auto"/>
                <w:sz w:val="20"/>
                <w:szCs w:val="22"/>
              </w:rPr>
            </w:pPr>
            <w:r w:rsidRPr="00617B92">
              <w:rPr>
                <w:rFonts w:asciiTheme="minorHAnsi" w:hAnsiTheme="minorHAnsi" w:cstheme="minorHAnsi"/>
                <w:color w:val="auto"/>
                <w:sz w:val="20"/>
                <w:szCs w:val="22"/>
              </w:rPr>
              <w:t xml:space="preserve">Actual expenditures on repair and upgrade of electricity T&amp;D assets compared to </w:t>
            </w:r>
            <w:r>
              <w:rPr>
                <w:rFonts w:asciiTheme="minorHAnsi" w:hAnsiTheme="minorHAnsi" w:cstheme="minorHAnsi"/>
                <w:color w:val="auto"/>
                <w:sz w:val="20"/>
                <w:szCs w:val="22"/>
              </w:rPr>
              <w:t xml:space="preserve">the </w:t>
            </w:r>
            <w:r w:rsidRPr="00617B92">
              <w:rPr>
                <w:rFonts w:asciiTheme="minorHAnsi" w:hAnsiTheme="minorHAnsi" w:cstheme="minorHAnsi"/>
                <w:color w:val="auto"/>
                <w:sz w:val="20"/>
                <w:szCs w:val="22"/>
              </w:rPr>
              <w:t>plan</w:t>
            </w:r>
            <w:r>
              <w:rPr>
                <w:rFonts w:asciiTheme="minorHAnsi" w:hAnsiTheme="minorHAnsi" w:cstheme="minorHAnsi"/>
                <w:color w:val="auto"/>
                <w:sz w:val="20"/>
                <w:szCs w:val="22"/>
              </w:rPr>
              <w:t xml:space="preserve"> for 2020-20</w:t>
            </w:r>
            <w:r w:rsidR="00427858">
              <w:rPr>
                <w:rFonts w:asciiTheme="minorHAnsi" w:hAnsiTheme="minorHAnsi" w:cstheme="minorHAnsi"/>
                <w:color w:val="auto"/>
                <w:sz w:val="20"/>
                <w:szCs w:val="22"/>
              </w:rPr>
              <w:t>31</w:t>
            </w:r>
          </w:p>
        </w:tc>
        <w:tc>
          <w:tcPr>
            <w:tcW w:w="630" w:type="dxa"/>
            <w:shd w:val="clear" w:color="auto" w:fill="F7F7F7"/>
            <w:vAlign w:val="center"/>
          </w:tcPr>
          <w:p w14:paraId="5FC3F745" w14:textId="77777777" w:rsidR="00453F54" w:rsidRPr="00617B92" w:rsidRDefault="00453F54" w:rsidP="00A64B72">
            <w:pPr>
              <w:spacing w:after="60"/>
              <w:ind w:left="115"/>
              <w:rPr>
                <w:rFonts w:asciiTheme="minorHAnsi" w:hAnsiTheme="minorHAnsi" w:cstheme="minorHAnsi"/>
                <w:color w:val="auto"/>
                <w:sz w:val="20"/>
                <w:szCs w:val="22"/>
              </w:rPr>
            </w:pPr>
            <w:r>
              <w:rPr>
                <w:rFonts w:asciiTheme="minorHAnsi" w:hAnsiTheme="minorHAnsi" w:cstheme="minorHAnsi"/>
                <w:color w:val="auto"/>
                <w:sz w:val="20"/>
                <w:szCs w:val="22"/>
              </w:rPr>
              <w:t>-</w:t>
            </w:r>
          </w:p>
        </w:tc>
        <w:tc>
          <w:tcPr>
            <w:tcW w:w="3690" w:type="dxa"/>
            <w:shd w:val="clear" w:color="auto" w:fill="F7F7F7"/>
            <w:vAlign w:val="center"/>
          </w:tcPr>
          <w:p w14:paraId="7BF20BD2" w14:textId="77777777" w:rsidR="00453F54" w:rsidRPr="00617B92" w:rsidRDefault="00453F54" w:rsidP="00A64B72">
            <w:pPr>
              <w:keepNext/>
              <w:keepLines/>
              <w:spacing w:after="60"/>
              <w:ind w:left="115"/>
              <w:rPr>
                <w:rFonts w:asciiTheme="minorHAnsi" w:hAnsiTheme="minorHAnsi" w:cstheme="minorHAnsi"/>
                <w:color w:val="auto"/>
                <w:sz w:val="20"/>
                <w:szCs w:val="22"/>
              </w:rPr>
            </w:pPr>
            <w:r>
              <w:rPr>
                <w:rFonts w:asciiTheme="minorHAnsi" w:hAnsiTheme="minorHAnsi" w:cstheme="minorHAnsi"/>
                <w:color w:val="auto"/>
                <w:sz w:val="20"/>
                <w:szCs w:val="22"/>
              </w:rPr>
              <w:t>No</w:t>
            </w:r>
          </w:p>
        </w:tc>
        <w:tc>
          <w:tcPr>
            <w:tcW w:w="3659" w:type="dxa"/>
            <w:shd w:val="clear" w:color="auto" w:fill="F7F7F7"/>
            <w:vAlign w:val="center"/>
          </w:tcPr>
          <w:p w14:paraId="0FBC7DDD" w14:textId="77777777" w:rsidR="00453F54" w:rsidRPr="00617B92" w:rsidRDefault="00453F54" w:rsidP="00A64B72">
            <w:pPr>
              <w:spacing w:after="60"/>
              <w:ind w:left="115"/>
              <w:rPr>
                <w:rFonts w:asciiTheme="minorHAnsi" w:hAnsiTheme="minorHAnsi" w:cstheme="minorHAnsi"/>
                <w:color w:val="auto"/>
                <w:sz w:val="20"/>
                <w:szCs w:val="22"/>
              </w:rPr>
            </w:pPr>
            <w:r>
              <w:rPr>
                <w:rFonts w:asciiTheme="minorHAnsi" w:hAnsiTheme="minorHAnsi" w:cstheme="minorHAnsi"/>
                <w:color w:val="auto"/>
                <w:sz w:val="20"/>
                <w:szCs w:val="22"/>
              </w:rPr>
              <w:t>Yes</w:t>
            </w:r>
          </w:p>
        </w:tc>
      </w:tr>
      <w:tr w:rsidR="00453F54" w:rsidRPr="00CF19DE" w14:paraId="30AAE0C1" w14:textId="77777777" w:rsidTr="00A64B72">
        <w:trPr>
          <w:trHeight w:val="20"/>
          <w:tblHeader/>
        </w:trPr>
        <w:tc>
          <w:tcPr>
            <w:tcW w:w="6151" w:type="dxa"/>
            <w:shd w:val="clear" w:color="auto" w:fill="F7F7F7"/>
            <w:vAlign w:val="center"/>
          </w:tcPr>
          <w:p w14:paraId="0F698D83" w14:textId="77777777" w:rsidR="00453F54" w:rsidRPr="00CF19DE" w:rsidRDefault="00453F54" w:rsidP="00A64B72">
            <w:pPr>
              <w:spacing w:after="60"/>
              <w:ind w:left="115"/>
              <w:rPr>
                <w:rFonts w:asciiTheme="minorHAnsi" w:hAnsiTheme="minorHAnsi" w:cstheme="minorHAnsi"/>
                <w:color w:val="auto"/>
                <w:sz w:val="22"/>
                <w:szCs w:val="22"/>
              </w:rPr>
            </w:pPr>
            <w:r w:rsidRPr="001A5405">
              <w:rPr>
                <w:rFonts w:asciiTheme="minorHAnsi" w:hAnsiTheme="minorHAnsi" w:cstheme="minorHAnsi"/>
                <w:b/>
                <w:color w:val="auto"/>
                <w:sz w:val="20"/>
                <w:szCs w:val="22"/>
              </w:rPr>
              <w:t xml:space="preserve">Results Area 3: </w:t>
            </w:r>
            <w:r w:rsidRPr="001B35A1">
              <w:rPr>
                <w:rFonts w:asciiTheme="minorHAnsi" w:eastAsia="Times New Roman" w:hAnsiTheme="minorHAnsi" w:cstheme="minorHAnsi"/>
                <w:b/>
                <w:sz w:val="20"/>
                <w:szCs w:val="22"/>
              </w:rPr>
              <w:t xml:space="preserve">Strengthening of </w:t>
            </w:r>
            <w:r>
              <w:rPr>
                <w:rFonts w:asciiTheme="minorHAnsi" w:eastAsia="Times New Roman" w:hAnsiTheme="minorHAnsi" w:cstheme="minorHAnsi"/>
                <w:b/>
                <w:sz w:val="20"/>
                <w:szCs w:val="22"/>
              </w:rPr>
              <w:t xml:space="preserve">BT </w:t>
            </w:r>
            <w:r w:rsidRPr="001B35A1">
              <w:rPr>
                <w:rFonts w:asciiTheme="minorHAnsi" w:eastAsia="Times New Roman" w:hAnsiTheme="minorHAnsi" w:cstheme="minorHAnsi"/>
                <w:b/>
                <w:sz w:val="20"/>
                <w:szCs w:val="22"/>
              </w:rPr>
              <w:t>Governance</w:t>
            </w:r>
            <w:r>
              <w:rPr>
                <w:rFonts w:asciiTheme="minorHAnsi" w:eastAsia="Times New Roman" w:hAnsiTheme="minorHAnsi" w:cstheme="minorHAnsi"/>
                <w:b/>
                <w:sz w:val="20"/>
                <w:szCs w:val="22"/>
              </w:rPr>
              <w:t xml:space="preserve"> and Improvement of Transparency</w:t>
            </w:r>
          </w:p>
        </w:tc>
        <w:tc>
          <w:tcPr>
            <w:tcW w:w="630" w:type="dxa"/>
            <w:shd w:val="clear" w:color="auto" w:fill="F7F7F7"/>
            <w:vAlign w:val="center"/>
          </w:tcPr>
          <w:p w14:paraId="5F66A24B" w14:textId="77777777" w:rsidR="00453F54" w:rsidRPr="00CF19DE" w:rsidRDefault="00453F54" w:rsidP="00A64B72">
            <w:pPr>
              <w:spacing w:after="60"/>
              <w:ind w:left="115"/>
              <w:rPr>
                <w:rFonts w:asciiTheme="minorHAnsi" w:hAnsiTheme="minorHAnsi" w:cstheme="minorHAnsi"/>
                <w:color w:val="auto"/>
                <w:sz w:val="22"/>
                <w:szCs w:val="22"/>
              </w:rPr>
            </w:pPr>
          </w:p>
        </w:tc>
        <w:tc>
          <w:tcPr>
            <w:tcW w:w="3690" w:type="dxa"/>
            <w:shd w:val="clear" w:color="auto" w:fill="F7F7F7"/>
            <w:vAlign w:val="center"/>
          </w:tcPr>
          <w:p w14:paraId="7F6D10ED" w14:textId="77777777" w:rsidR="00453F54" w:rsidRPr="00CF19DE" w:rsidRDefault="00453F54" w:rsidP="00A64B72">
            <w:pPr>
              <w:keepNext/>
              <w:keepLines/>
              <w:spacing w:after="60"/>
              <w:ind w:left="115"/>
              <w:rPr>
                <w:rFonts w:asciiTheme="minorHAnsi" w:hAnsiTheme="minorHAnsi" w:cstheme="minorHAnsi"/>
                <w:color w:val="auto"/>
                <w:sz w:val="22"/>
                <w:szCs w:val="22"/>
              </w:rPr>
            </w:pPr>
          </w:p>
        </w:tc>
        <w:tc>
          <w:tcPr>
            <w:tcW w:w="3659" w:type="dxa"/>
            <w:shd w:val="clear" w:color="auto" w:fill="F7F7F7"/>
            <w:vAlign w:val="center"/>
          </w:tcPr>
          <w:p w14:paraId="162F53B4" w14:textId="77777777" w:rsidR="00453F54" w:rsidRPr="00CF19DE" w:rsidRDefault="00453F54" w:rsidP="00A64B72">
            <w:pPr>
              <w:spacing w:after="60"/>
              <w:ind w:left="115"/>
              <w:rPr>
                <w:rFonts w:asciiTheme="minorHAnsi" w:hAnsiTheme="minorHAnsi" w:cstheme="minorHAnsi"/>
                <w:color w:val="auto"/>
                <w:sz w:val="22"/>
                <w:szCs w:val="22"/>
              </w:rPr>
            </w:pPr>
          </w:p>
        </w:tc>
      </w:tr>
      <w:tr w:rsidR="00453F54" w:rsidRPr="00F82726" w14:paraId="62B21582" w14:textId="77777777" w:rsidTr="00A64B72">
        <w:trPr>
          <w:trHeight w:val="20"/>
          <w:tblHeader/>
        </w:trPr>
        <w:tc>
          <w:tcPr>
            <w:tcW w:w="6151" w:type="dxa"/>
            <w:shd w:val="clear" w:color="auto" w:fill="F7F7F7"/>
            <w:vAlign w:val="center"/>
          </w:tcPr>
          <w:p w14:paraId="267D2714" w14:textId="77777777" w:rsidR="00453F54" w:rsidRPr="00AA6DF1" w:rsidRDefault="00453F54" w:rsidP="00A64B72">
            <w:pPr>
              <w:spacing w:after="60"/>
              <w:ind w:left="115"/>
              <w:rPr>
                <w:rFonts w:asciiTheme="minorHAnsi" w:eastAsia="Times New Roman" w:hAnsiTheme="minorHAnsi" w:cstheme="minorHAnsi"/>
                <w:sz w:val="20"/>
                <w:szCs w:val="18"/>
              </w:rPr>
            </w:pPr>
            <w:bookmarkStart w:id="50" w:name="_Hlk8644351"/>
            <w:r>
              <w:rPr>
                <w:rFonts w:asciiTheme="minorHAnsi" w:eastAsia="Times New Roman" w:hAnsiTheme="minorHAnsi" w:cstheme="minorHAnsi"/>
                <w:sz w:val="20"/>
                <w:szCs w:val="18"/>
              </w:rPr>
              <w:t>Update and adoption of GEP and preparation and update of T&amp;D network development plans</w:t>
            </w:r>
            <w:bookmarkEnd w:id="50"/>
          </w:p>
        </w:tc>
        <w:tc>
          <w:tcPr>
            <w:tcW w:w="630" w:type="dxa"/>
            <w:shd w:val="clear" w:color="auto" w:fill="F7F7F7"/>
            <w:vAlign w:val="center"/>
          </w:tcPr>
          <w:p w14:paraId="2A50F160" w14:textId="77777777" w:rsidR="00453F54" w:rsidRDefault="00453F54" w:rsidP="00A64B72">
            <w:pPr>
              <w:spacing w:after="60"/>
              <w:ind w:left="115"/>
              <w:rPr>
                <w:rFonts w:asciiTheme="minorHAnsi" w:hAnsiTheme="minorHAnsi" w:cstheme="minorHAnsi"/>
                <w:color w:val="auto"/>
                <w:sz w:val="20"/>
                <w:szCs w:val="22"/>
              </w:rPr>
            </w:pPr>
          </w:p>
        </w:tc>
        <w:tc>
          <w:tcPr>
            <w:tcW w:w="3690" w:type="dxa"/>
            <w:shd w:val="clear" w:color="auto" w:fill="F7F7F7"/>
            <w:vAlign w:val="center"/>
          </w:tcPr>
          <w:p w14:paraId="7E48B1CF" w14:textId="77777777" w:rsidR="00453F54" w:rsidRDefault="00453F54" w:rsidP="00A64B72">
            <w:pPr>
              <w:keepNext/>
              <w:keepLines/>
              <w:spacing w:after="60"/>
              <w:ind w:left="115"/>
              <w:rPr>
                <w:rFonts w:asciiTheme="minorHAnsi" w:eastAsia="Times New Roman" w:hAnsiTheme="minorHAnsi" w:cstheme="minorHAnsi"/>
                <w:sz w:val="20"/>
                <w:szCs w:val="18"/>
              </w:rPr>
            </w:pPr>
            <w:r>
              <w:rPr>
                <w:rFonts w:asciiTheme="minorHAnsi" w:eastAsia="Times New Roman" w:hAnsiTheme="minorHAnsi" w:cstheme="minorHAnsi"/>
                <w:sz w:val="20"/>
                <w:szCs w:val="18"/>
              </w:rPr>
              <w:t>No</w:t>
            </w:r>
          </w:p>
        </w:tc>
        <w:tc>
          <w:tcPr>
            <w:tcW w:w="3659" w:type="dxa"/>
            <w:shd w:val="clear" w:color="auto" w:fill="F7F7F7"/>
            <w:vAlign w:val="center"/>
          </w:tcPr>
          <w:p w14:paraId="45DA4C68" w14:textId="77777777" w:rsidR="00453F54" w:rsidRDefault="00453F54" w:rsidP="00A64B72">
            <w:pPr>
              <w:spacing w:after="60"/>
              <w:ind w:left="115"/>
              <w:rPr>
                <w:rFonts w:asciiTheme="minorHAnsi" w:hAnsiTheme="minorHAnsi" w:cstheme="minorHAnsi"/>
                <w:color w:val="auto"/>
                <w:sz w:val="20"/>
                <w:szCs w:val="22"/>
              </w:rPr>
            </w:pPr>
            <w:r>
              <w:rPr>
                <w:rFonts w:asciiTheme="minorHAnsi" w:hAnsiTheme="minorHAnsi" w:cstheme="minorHAnsi"/>
                <w:color w:val="auto"/>
                <w:sz w:val="20"/>
                <w:szCs w:val="22"/>
              </w:rPr>
              <w:t>Yes</w:t>
            </w:r>
          </w:p>
        </w:tc>
      </w:tr>
      <w:tr w:rsidR="00453F54" w:rsidRPr="00F82726" w14:paraId="1685FADB" w14:textId="77777777" w:rsidTr="00A64B72">
        <w:trPr>
          <w:trHeight w:val="20"/>
          <w:tblHeader/>
        </w:trPr>
        <w:tc>
          <w:tcPr>
            <w:tcW w:w="6151" w:type="dxa"/>
            <w:shd w:val="clear" w:color="auto" w:fill="F7F7F7"/>
            <w:vAlign w:val="center"/>
          </w:tcPr>
          <w:p w14:paraId="64F0135C" w14:textId="7A1D2DE3" w:rsidR="00453F54" w:rsidRPr="00F82726" w:rsidRDefault="00427858" w:rsidP="00A64B72">
            <w:pPr>
              <w:spacing w:after="60"/>
              <w:ind w:left="115"/>
              <w:rPr>
                <w:rFonts w:asciiTheme="minorHAnsi" w:hAnsiTheme="minorHAnsi" w:cstheme="minorHAnsi"/>
                <w:color w:val="auto"/>
                <w:sz w:val="20"/>
                <w:szCs w:val="22"/>
              </w:rPr>
            </w:pPr>
            <w:r>
              <w:rPr>
                <w:rFonts w:asciiTheme="minorHAnsi" w:eastAsia="Times New Roman" w:hAnsiTheme="minorHAnsi" w:cstheme="minorHAnsi"/>
                <w:sz w:val="20"/>
                <w:szCs w:val="18"/>
              </w:rPr>
              <w:t>BT, SIB, and STB</w:t>
            </w:r>
            <w:r w:rsidR="00453F54" w:rsidRPr="00AA6DF1">
              <w:rPr>
                <w:rFonts w:asciiTheme="minorHAnsi" w:eastAsia="Times New Roman" w:hAnsiTheme="minorHAnsi" w:cstheme="minorHAnsi"/>
                <w:sz w:val="20"/>
                <w:szCs w:val="18"/>
              </w:rPr>
              <w:t xml:space="preserve"> have functional Supervisory Boards and the specialized committees</w:t>
            </w:r>
          </w:p>
        </w:tc>
        <w:tc>
          <w:tcPr>
            <w:tcW w:w="630" w:type="dxa"/>
            <w:shd w:val="clear" w:color="auto" w:fill="F7F7F7"/>
            <w:vAlign w:val="center"/>
          </w:tcPr>
          <w:p w14:paraId="6923A947" w14:textId="77777777" w:rsidR="00453F54" w:rsidRPr="00F82726" w:rsidRDefault="00453F54" w:rsidP="00A64B72">
            <w:pPr>
              <w:spacing w:after="60"/>
              <w:ind w:left="115"/>
              <w:rPr>
                <w:rFonts w:asciiTheme="minorHAnsi" w:hAnsiTheme="minorHAnsi" w:cstheme="minorHAnsi"/>
                <w:color w:val="auto"/>
                <w:sz w:val="20"/>
                <w:szCs w:val="22"/>
              </w:rPr>
            </w:pPr>
            <w:r>
              <w:rPr>
                <w:rFonts w:asciiTheme="minorHAnsi" w:hAnsiTheme="minorHAnsi" w:cstheme="minorHAnsi"/>
                <w:color w:val="auto"/>
                <w:sz w:val="20"/>
                <w:szCs w:val="22"/>
              </w:rPr>
              <w:t>8</w:t>
            </w:r>
          </w:p>
        </w:tc>
        <w:tc>
          <w:tcPr>
            <w:tcW w:w="3690" w:type="dxa"/>
            <w:shd w:val="clear" w:color="auto" w:fill="F7F7F7"/>
            <w:vAlign w:val="center"/>
          </w:tcPr>
          <w:p w14:paraId="18220879" w14:textId="77777777" w:rsidR="00453F54" w:rsidRPr="00F82726" w:rsidRDefault="00453F54" w:rsidP="00A64B72">
            <w:pPr>
              <w:keepNext/>
              <w:keepLines/>
              <w:spacing w:after="60"/>
              <w:ind w:left="115"/>
              <w:rPr>
                <w:rFonts w:asciiTheme="minorHAnsi" w:hAnsiTheme="minorHAnsi" w:cstheme="minorHAnsi"/>
                <w:color w:val="auto"/>
                <w:sz w:val="20"/>
                <w:szCs w:val="22"/>
              </w:rPr>
            </w:pPr>
            <w:r>
              <w:rPr>
                <w:rFonts w:asciiTheme="minorHAnsi" w:eastAsia="Times New Roman" w:hAnsiTheme="minorHAnsi" w:cstheme="minorHAnsi"/>
                <w:sz w:val="20"/>
                <w:szCs w:val="18"/>
              </w:rPr>
              <w:t>No</w:t>
            </w:r>
          </w:p>
        </w:tc>
        <w:tc>
          <w:tcPr>
            <w:tcW w:w="3659" w:type="dxa"/>
            <w:shd w:val="clear" w:color="auto" w:fill="F7F7F7"/>
            <w:vAlign w:val="center"/>
          </w:tcPr>
          <w:p w14:paraId="6CABD136" w14:textId="77777777" w:rsidR="00453F54" w:rsidRPr="00F82726" w:rsidRDefault="00453F54" w:rsidP="00A64B72">
            <w:pPr>
              <w:spacing w:after="60"/>
              <w:ind w:left="115"/>
              <w:rPr>
                <w:rFonts w:asciiTheme="minorHAnsi" w:hAnsiTheme="minorHAnsi" w:cstheme="minorHAnsi"/>
                <w:color w:val="auto"/>
                <w:sz w:val="20"/>
                <w:szCs w:val="22"/>
              </w:rPr>
            </w:pPr>
            <w:r>
              <w:rPr>
                <w:rFonts w:asciiTheme="minorHAnsi" w:hAnsiTheme="minorHAnsi" w:cstheme="minorHAnsi"/>
                <w:color w:val="auto"/>
                <w:sz w:val="20"/>
                <w:szCs w:val="22"/>
              </w:rPr>
              <w:t>Yes</w:t>
            </w:r>
          </w:p>
        </w:tc>
      </w:tr>
      <w:tr w:rsidR="00453F54" w:rsidRPr="00AA6DF1" w14:paraId="2BD58F9A" w14:textId="77777777" w:rsidTr="00A64B72">
        <w:trPr>
          <w:trHeight w:val="20"/>
          <w:tblHeader/>
        </w:trPr>
        <w:tc>
          <w:tcPr>
            <w:tcW w:w="6151" w:type="dxa"/>
            <w:shd w:val="clear" w:color="auto" w:fill="F7F7F7"/>
            <w:vAlign w:val="center"/>
          </w:tcPr>
          <w:p w14:paraId="2CF56F50" w14:textId="41F06D50" w:rsidR="00453F54" w:rsidRPr="00AA6DF1" w:rsidRDefault="00427858" w:rsidP="00A64B72">
            <w:pPr>
              <w:spacing w:after="60"/>
              <w:ind w:left="115"/>
              <w:rPr>
                <w:rFonts w:asciiTheme="minorHAnsi" w:hAnsiTheme="minorHAnsi" w:cstheme="minorHAnsi"/>
                <w:color w:val="auto"/>
                <w:sz w:val="20"/>
                <w:szCs w:val="20"/>
              </w:rPr>
            </w:pPr>
            <w:r>
              <w:rPr>
                <w:rFonts w:asciiTheme="minorHAnsi" w:eastAsia="Times New Roman" w:hAnsiTheme="minorHAnsi" w:cstheme="minorHAnsi"/>
                <w:sz w:val="20"/>
                <w:szCs w:val="20"/>
              </w:rPr>
              <w:t>BT, SIB, and STB</w:t>
            </w:r>
            <w:r w:rsidR="00453F54" w:rsidRPr="00AA6DF1">
              <w:rPr>
                <w:rFonts w:asciiTheme="minorHAnsi" w:eastAsia="Times New Roman" w:hAnsiTheme="minorHAnsi" w:cstheme="minorHAnsi"/>
                <w:sz w:val="20"/>
                <w:szCs w:val="20"/>
              </w:rPr>
              <w:t xml:space="preserve"> disclose key quarterly operational and financial data</w:t>
            </w:r>
          </w:p>
        </w:tc>
        <w:tc>
          <w:tcPr>
            <w:tcW w:w="630" w:type="dxa"/>
            <w:shd w:val="clear" w:color="auto" w:fill="F7F7F7"/>
            <w:vAlign w:val="center"/>
          </w:tcPr>
          <w:p w14:paraId="5EBC1C0A" w14:textId="77777777" w:rsidR="00453F54" w:rsidRPr="00AA6DF1" w:rsidRDefault="00453F54" w:rsidP="00A64B72">
            <w:pPr>
              <w:spacing w:after="60"/>
              <w:ind w:left="115"/>
              <w:rPr>
                <w:rFonts w:asciiTheme="minorHAnsi" w:hAnsiTheme="minorHAnsi" w:cstheme="minorHAnsi"/>
                <w:color w:val="auto"/>
                <w:sz w:val="20"/>
                <w:szCs w:val="20"/>
              </w:rPr>
            </w:pPr>
            <w:r w:rsidRPr="00AA6DF1">
              <w:rPr>
                <w:rFonts w:asciiTheme="minorHAnsi" w:hAnsiTheme="minorHAnsi" w:cstheme="minorHAnsi"/>
                <w:color w:val="auto"/>
                <w:sz w:val="20"/>
                <w:szCs w:val="20"/>
              </w:rPr>
              <w:t>9</w:t>
            </w:r>
          </w:p>
        </w:tc>
        <w:tc>
          <w:tcPr>
            <w:tcW w:w="3690" w:type="dxa"/>
            <w:shd w:val="clear" w:color="auto" w:fill="F7F7F7"/>
            <w:vAlign w:val="center"/>
          </w:tcPr>
          <w:p w14:paraId="718C8C83" w14:textId="77777777" w:rsidR="00453F54" w:rsidRPr="00AA6DF1" w:rsidRDefault="00453F54" w:rsidP="00A64B72">
            <w:pPr>
              <w:keepNext/>
              <w:keepLines/>
              <w:spacing w:after="60"/>
              <w:ind w:left="115"/>
              <w:rPr>
                <w:rFonts w:asciiTheme="minorHAnsi" w:hAnsiTheme="minorHAnsi" w:cstheme="minorHAnsi"/>
                <w:color w:val="auto"/>
                <w:sz w:val="20"/>
                <w:szCs w:val="20"/>
              </w:rPr>
            </w:pPr>
            <w:r>
              <w:rPr>
                <w:rFonts w:asciiTheme="minorHAnsi" w:hAnsiTheme="minorHAnsi" w:cstheme="minorHAnsi"/>
                <w:color w:val="auto"/>
                <w:sz w:val="20"/>
                <w:szCs w:val="20"/>
              </w:rPr>
              <w:t>No</w:t>
            </w:r>
          </w:p>
        </w:tc>
        <w:tc>
          <w:tcPr>
            <w:tcW w:w="3659" w:type="dxa"/>
            <w:shd w:val="clear" w:color="auto" w:fill="F7F7F7"/>
            <w:vAlign w:val="center"/>
          </w:tcPr>
          <w:p w14:paraId="37F77879" w14:textId="77777777" w:rsidR="00453F54" w:rsidRPr="00AA6DF1" w:rsidRDefault="00453F54" w:rsidP="00A64B72">
            <w:pPr>
              <w:spacing w:after="60"/>
              <w:ind w:left="115"/>
              <w:rPr>
                <w:rFonts w:asciiTheme="minorHAnsi" w:hAnsiTheme="minorHAnsi" w:cstheme="minorHAnsi"/>
                <w:color w:val="auto"/>
                <w:sz w:val="20"/>
                <w:szCs w:val="20"/>
              </w:rPr>
            </w:pPr>
            <w:r>
              <w:rPr>
                <w:rFonts w:asciiTheme="minorHAnsi" w:eastAsia="Times New Roman" w:hAnsiTheme="minorHAnsi" w:cstheme="minorHAnsi"/>
                <w:sz w:val="20"/>
                <w:szCs w:val="20"/>
              </w:rPr>
              <w:t>Yes</w:t>
            </w:r>
          </w:p>
        </w:tc>
      </w:tr>
      <w:tr w:rsidR="00453F54" w:rsidRPr="00AA6DF1" w14:paraId="34E8F61B" w14:textId="77777777" w:rsidTr="00A64B72">
        <w:trPr>
          <w:trHeight w:val="20"/>
          <w:tblHeader/>
        </w:trPr>
        <w:tc>
          <w:tcPr>
            <w:tcW w:w="6151" w:type="dxa"/>
            <w:shd w:val="clear" w:color="auto" w:fill="F7F7F7"/>
            <w:vAlign w:val="center"/>
          </w:tcPr>
          <w:p w14:paraId="3AF2D206" w14:textId="77777777" w:rsidR="00453F54" w:rsidRPr="00BE251B" w:rsidRDefault="00453F54" w:rsidP="00A64B72">
            <w:pPr>
              <w:spacing w:after="60"/>
              <w:ind w:left="115"/>
              <w:rPr>
                <w:rFonts w:asciiTheme="minorHAnsi" w:eastAsia="Times New Roman" w:hAnsiTheme="minorHAnsi" w:cstheme="minorHAnsi"/>
                <w:sz w:val="20"/>
                <w:szCs w:val="20"/>
              </w:rPr>
            </w:pPr>
            <w:r w:rsidRPr="00BE251B">
              <w:rPr>
                <w:rFonts w:asciiTheme="minorHAnsi" w:hAnsiTheme="minorHAnsi"/>
                <w:color w:val="auto"/>
                <w:sz w:val="20"/>
                <w:szCs w:val="22"/>
              </w:rPr>
              <w:t>Percentage of citizens who believe that the Pro</w:t>
            </w:r>
            <w:r>
              <w:rPr>
                <w:rFonts w:asciiTheme="minorHAnsi" w:hAnsiTheme="minorHAnsi"/>
                <w:color w:val="auto"/>
                <w:sz w:val="20"/>
                <w:szCs w:val="22"/>
              </w:rPr>
              <w:t>gram</w:t>
            </w:r>
            <w:r w:rsidRPr="00BE251B">
              <w:rPr>
                <w:rFonts w:asciiTheme="minorHAnsi" w:hAnsiTheme="minorHAnsi"/>
                <w:color w:val="auto"/>
                <w:sz w:val="20"/>
                <w:szCs w:val="22"/>
              </w:rPr>
              <w:t xml:space="preserve"> has established effective engagement processes</w:t>
            </w:r>
          </w:p>
        </w:tc>
        <w:tc>
          <w:tcPr>
            <w:tcW w:w="630" w:type="dxa"/>
            <w:shd w:val="clear" w:color="auto" w:fill="F7F7F7"/>
            <w:vAlign w:val="center"/>
          </w:tcPr>
          <w:p w14:paraId="10700A2C" w14:textId="77777777" w:rsidR="00453F54" w:rsidRPr="00BE251B" w:rsidRDefault="00453F54" w:rsidP="00A64B72">
            <w:pPr>
              <w:spacing w:after="60"/>
              <w:ind w:left="115"/>
              <w:rPr>
                <w:rFonts w:asciiTheme="minorHAnsi" w:hAnsiTheme="minorHAnsi" w:cstheme="minorHAnsi"/>
                <w:color w:val="auto"/>
                <w:sz w:val="20"/>
                <w:szCs w:val="20"/>
              </w:rPr>
            </w:pPr>
            <w:r>
              <w:rPr>
                <w:rFonts w:asciiTheme="minorHAnsi" w:hAnsiTheme="minorHAnsi" w:cstheme="minorHAnsi"/>
                <w:color w:val="auto"/>
                <w:sz w:val="20"/>
                <w:szCs w:val="20"/>
              </w:rPr>
              <w:t>-</w:t>
            </w:r>
          </w:p>
        </w:tc>
        <w:tc>
          <w:tcPr>
            <w:tcW w:w="3690" w:type="dxa"/>
            <w:shd w:val="clear" w:color="auto" w:fill="F7F7F7"/>
            <w:vAlign w:val="center"/>
          </w:tcPr>
          <w:p w14:paraId="3542F33B" w14:textId="77777777" w:rsidR="00453F54" w:rsidRPr="00BE251B" w:rsidRDefault="00453F54" w:rsidP="00A64B72">
            <w:pPr>
              <w:keepNext/>
              <w:keepLines/>
              <w:spacing w:after="60"/>
              <w:ind w:left="115"/>
              <w:rPr>
                <w:rFonts w:asciiTheme="minorHAnsi" w:hAnsiTheme="minorHAnsi" w:cstheme="minorHAnsi"/>
                <w:color w:val="auto"/>
                <w:sz w:val="20"/>
                <w:szCs w:val="20"/>
              </w:rPr>
            </w:pPr>
            <w:r>
              <w:rPr>
                <w:rFonts w:asciiTheme="minorHAnsi" w:hAnsiTheme="minorHAnsi" w:cstheme="minorHAnsi"/>
                <w:color w:val="auto"/>
                <w:sz w:val="20"/>
                <w:szCs w:val="20"/>
              </w:rPr>
              <w:t>0%</w:t>
            </w:r>
          </w:p>
        </w:tc>
        <w:tc>
          <w:tcPr>
            <w:tcW w:w="3659" w:type="dxa"/>
            <w:shd w:val="clear" w:color="auto" w:fill="F7F7F7"/>
            <w:vAlign w:val="center"/>
          </w:tcPr>
          <w:p w14:paraId="6479EF94" w14:textId="77777777" w:rsidR="00453F54" w:rsidRPr="00BE251B" w:rsidRDefault="00453F54" w:rsidP="00A64B72">
            <w:pPr>
              <w:spacing w:after="60"/>
              <w:ind w:left="115"/>
              <w:rPr>
                <w:rFonts w:asciiTheme="minorHAnsi" w:eastAsia="Times New Roman" w:hAnsiTheme="minorHAnsi" w:cstheme="minorHAnsi"/>
                <w:sz w:val="20"/>
                <w:szCs w:val="20"/>
              </w:rPr>
            </w:pPr>
            <w:r>
              <w:rPr>
                <w:rFonts w:asciiTheme="minorHAnsi" w:eastAsia="Times New Roman" w:hAnsiTheme="minorHAnsi" w:cstheme="minorHAnsi"/>
                <w:sz w:val="20"/>
                <w:szCs w:val="20"/>
              </w:rPr>
              <w:t>60%</w:t>
            </w:r>
          </w:p>
        </w:tc>
      </w:tr>
      <w:tr w:rsidR="00056056" w:rsidRPr="00AA6DF1" w14:paraId="5907A893" w14:textId="77777777" w:rsidTr="00A64B72">
        <w:trPr>
          <w:trHeight w:val="20"/>
          <w:tblHeader/>
        </w:trPr>
        <w:tc>
          <w:tcPr>
            <w:tcW w:w="6151" w:type="dxa"/>
            <w:shd w:val="clear" w:color="auto" w:fill="F7F7F7"/>
            <w:vAlign w:val="center"/>
          </w:tcPr>
          <w:p w14:paraId="60464225" w14:textId="7019A8CF" w:rsidR="00056056" w:rsidRPr="00BE251B" w:rsidRDefault="00056056" w:rsidP="00A64B72">
            <w:pPr>
              <w:spacing w:after="60"/>
              <w:ind w:left="115"/>
              <w:rPr>
                <w:rFonts w:asciiTheme="minorHAnsi" w:hAnsiTheme="minorHAnsi"/>
                <w:color w:val="auto"/>
                <w:sz w:val="20"/>
                <w:szCs w:val="22"/>
              </w:rPr>
            </w:pPr>
            <w:r w:rsidRPr="00FD6DA6">
              <w:rPr>
                <w:rFonts w:asciiTheme="minorHAnsi" w:hAnsiTheme="minorHAnsi" w:cstheme="minorHAnsi"/>
                <w:sz w:val="20"/>
                <w:szCs w:val="20"/>
              </w:rPr>
              <w:t>Increase in the share of women taking on permanent jobs at BT at technical and managerial levels</w:t>
            </w:r>
          </w:p>
        </w:tc>
        <w:tc>
          <w:tcPr>
            <w:tcW w:w="630" w:type="dxa"/>
            <w:shd w:val="clear" w:color="auto" w:fill="F7F7F7"/>
            <w:vAlign w:val="center"/>
          </w:tcPr>
          <w:p w14:paraId="02646EA5" w14:textId="5CED818F" w:rsidR="00056056" w:rsidRDefault="00056056" w:rsidP="00A64B72">
            <w:pPr>
              <w:spacing w:after="60"/>
              <w:ind w:left="115"/>
              <w:rPr>
                <w:rFonts w:asciiTheme="minorHAnsi" w:hAnsiTheme="minorHAnsi" w:cstheme="minorHAnsi"/>
                <w:color w:val="auto"/>
                <w:sz w:val="20"/>
                <w:szCs w:val="20"/>
              </w:rPr>
            </w:pPr>
            <w:r>
              <w:rPr>
                <w:rFonts w:asciiTheme="minorHAnsi" w:hAnsiTheme="minorHAnsi" w:cstheme="minorHAnsi"/>
                <w:color w:val="auto"/>
                <w:sz w:val="20"/>
                <w:szCs w:val="20"/>
              </w:rPr>
              <w:t>-</w:t>
            </w:r>
          </w:p>
        </w:tc>
        <w:tc>
          <w:tcPr>
            <w:tcW w:w="3690" w:type="dxa"/>
            <w:shd w:val="clear" w:color="auto" w:fill="F7F7F7"/>
            <w:vAlign w:val="center"/>
          </w:tcPr>
          <w:p w14:paraId="61F56451" w14:textId="49F799FE" w:rsidR="00056056" w:rsidRDefault="00056056" w:rsidP="00A64B72">
            <w:pPr>
              <w:keepNext/>
              <w:keepLines/>
              <w:spacing w:after="60"/>
              <w:ind w:left="115"/>
              <w:rPr>
                <w:rFonts w:asciiTheme="minorHAnsi" w:hAnsiTheme="minorHAnsi" w:cstheme="minorHAnsi"/>
                <w:color w:val="auto"/>
                <w:sz w:val="20"/>
                <w:szCs w:val="20"/>
              </w:rPr>
            </w:pPr>
            <w:r>
              <w:rPr>
                <w:rFonts w:asciiTheme="minorHAnsi" w:hAnsiTheme="minorHAnsi" w:cstheme="minorHAnsi"/>
                <w:color w:val="auto"/>
                <w:sz w:val="20"/>
                <w:szCs w:val="20"/>
              </w:rPr>
              <w:t>0%</w:t>
            </w:r>
          </w:p>
        </w:tc>
        <w:tc>
          <w:tcPr>
            <w:tcW w:w="3659" w:type="dxa"/>
            <w:shd w:val="clear" w:color="auto" w:fill="F7F7F7"/>
            <w:vAlign w:val="center"/>
          </w:tcPr>
          <w:p w14:paraId="1E164FFF" w14:textId="48E58807" w:rsidR="00056056" w:rsidRDefault="00056056" w:rsidP="00A64B72">
            <w:pPr>
              <w:spacing w:after="60"/>
              <w:ind w:left="115"/>
              <w:rPr>
                <w:rFonts w:asciiTheme="minorHAnsi" w:eastAsia="Times New Roman" w:hAnsiTheme="minorHAnsi" w:cstheme="minorHAnsi"/>
                <w:sz w:val="20"/>
                <w:szCs w:val="20"/>
              </w:rPr>
            </w:pPr>
            <w:r>
              <w:rPr>
                <w:rFonts w:asciiTheme="minorHAnsi" w:eastAsia="Times New Roman" w:hAnsiTheme="minorHAnsi" w:cstheme="minorHAnsi"/>
                <w:sz w:val="20"/>
                <w:szCs w:val="20"/>
              </w:rPr>
              <w:t>10%</w:t>
            </w:r>
          </w:p>
        </w:tc>
      </w:tr>
    </w:tbl>
    <w:sdt>
      <w:sdtPr>
        <w:rPr>
          <w:rFonts w:asciiTheme="minorHAnsi" w:hAnsiTheme="minorHAnsi"/>
          <w:b/>
          <w:bCs/>
          <w:color w:val="7F7F7F" w:themeColor="text1" w:themeTint="80"/>
          <w:sz w:val="22"/>
          <w:szCs w:val="22"/>
        </w:rPr>
        <w:tag w:val="OPS_CORE_SECTION_END_14"/>
        <w:id w:val="1986807495"/>
        <w:lock w:val="contentLocked"/>
        <w:placeholder>
          <w:docPart w:val="781C54DBBD2840A88156E84755FC2A10"/>
        </w:placeholder>
        <w:showingPlcHdr/>
      </w:sdtPr>
      <w:sdtContent>
        <w:p w14:paraId="68362E84" w14:textId="77777777" w:rsidR="00453F54" w:rsidRDefault="00453F54" w:rsidP="00A64B72">
          <w:pPr>
            <w:shd w:val="clear" w:color="auto" w:fill="F7F7F7"/>
            <w:spacing w:line="14" w:lineRule="exact"/>
            <w:ind w:left="-547" w:right="-562"/>
            <w:rPr>
              <w:rFonts w:asciiTheme="minorHAnsi" w:hAnsiTheme="minorHAnsi"/>
              <w:b/>
              <w:bCs/>
              <w:color w:val="7F7F7F" w:themeColor="text1" w:themeTint="80"/>
              <w:sz w:val="22"/>
              <w:szCs w:val="22"/>
            </w:rPr>
            <w:sectPr w:rsidR="00453F54" w:rsidSect="00FE71B9">
              <w:pgSz w:w="15840" w:h="12240" w:orient="landscape"/>
              <w:pgMar w:top="1440" w:right="1440" w:bottom="1440" w:left="1440" w:header="720" w:footer="720" w:gutter="0"/>
              <w:cols w:space="720"/>
              <w:docGrid w:linePitch="360"/>
            </w:sectPr>
          </w:pPr>
          <w:r w:rsidRPr="00764859">
            <w:rPr>
              <w:rStyle w:val="PlaceholderText"/>
            </w:rPr>
            <w:t>.</w:t>
          </w:r>
        </w:p>
      </w:sdtContent>
    </w:sdt>
    <w:sdt>
      <w:sdtPr>
        <w:rPr>
          <w:rFonts w:asciiTheme="minorHAnsi" w:hAnsiTheme="minorHAnsi"/>
          <w:b/>
          <w:bCs/>
          <w:color w:val="auto"/>
          <w:sz w:val="22"/>
          <w:szCs w:val="22"/>
        </w:rPr>
        <w:tag w:val="OPS_CORE_SECTION_START_15"/>
        <w:id w:val="506717556"/>
        <w:lock w:val="contentLocked"/>
        <w:placeholder>
          <w:docPart w:val="7CCCC5D8C5434622B5F800E2067F6329"/>
        </w:placeholder>
        <w:showingPlcHdr/>
      </w:sdtPr>
      <w:sdtContent>
        <w:p w14:paraId="01A36D73" w14:textId="77777777" w:rsidR="00453F54" w:rsidRDefault="00453F54" w:rsidP="00A64B72">
          <w:pPr>
            <w:shd w:val="clear" w:color="auto" w:fill="F7F7F7"/>
            <w:spacing w:line="14" w:lineRule="exact"/>
            <w:ind w:left="-547" w:right="-562"/>
            <w:rPr>
              <w:rFonts w:asciiTheme="minorHAnsi" w:hAnsiTheme="minorHAnsi"/>
              <w:b/>
              <w:bCs/>
              <w:color w:val="auto"/>
              <w:sz w:val="22"/>
              <w:szCs w:val="22"/>
            </w:rPr>
          </w:pPr>
          <w:r w:rsidRPr="00E20ACD">
            <w:rPr>
              <w:rStyle w:val="PlaceholderText"/>
              <w:color w:val="FFFFFF" w:themeColor="background1"/>
            </w:rPr>
            <w:t>.</w:t>
          </w:r>
        </w:p>
      </w:sdtContent>
    </w:sdt>
    <w:tbl>
      <w:tblPr>
        <w:tblStyle w:val="TableGrid"/>
        <w:tblW w:w="14940" w:type="dxa"/>
        <w:tblInd w:w="-995" w:type="dxa"/>
        <w:tblLayout w:type="fixed"/>
        <w:tblLook w:val="04A0" w:firstRow="1" w:lastRow="0" w:firstColumn="1" w:lastColumn="0" w:noHBand="0" w:noVBand="1"/>
      </w:tblPr>
      <w:tblGrid>
        <w:gridCol w:w="4050"/>
        <w:gridCol w:w="3690"/>
        <w:gridCol w:w="1260"/>
        <w:gridCol w:w="1620"/>
        <w:gridCol w:w="2340"/>
        <w:gridCol w:w="1980"/>
      </w:tblGrid>
      <w:tr w:rsidR="00453F54" w14:paraId="2BD7E4AA" w14:textId="77777777" w:rsidTr="00A64B72">
        <w:trPr>
          <w:trHeight w:val="432"/>
        </w:trPr>
        <w:tc>
          <w:tcPr>
            <w:tcW w:w="14940" w:type="dxa"/>
            <w:gridSpan w:val="6"/>
            <w:shd w:val="clear" w:color="auto" w:fill="DEEBF7"/>
            <w:vAlign w:val="center"/>
            <w:hideMark/>
          </w:tcPr>
          <w:p w14:paraId="75AA930A" w14:textId="77777777" w:rsidR="00453F54" w:rsidRDefault="00453F54" w:rsidP="00A64B72">
            <w:pPr>
              <w:keepNext/>
              <w:ind w:right="-418"/>
              <w:jc w:val="center"/>
              <w:rPr>
                <w:rFonts w:asciiTheme="minorHAnsi" w:hAnsiTheme="minorHAnsi"/>
                <w:b/>
                <w:bCs/>
                <w:color w:val="7F7F7F" w:themeColor="text1" w:themeTint="80"/>
                <w:sz w:val="22"/>
                <w:szCs w:val="22"/>
              </w:rPr>
            </w:pPr>
            <w:r>
              <w:rPr>
                <w:rFonts w:ascii="Calibri" w:hAnsi="Calibri"/>
                <w:b/>
                <w:color w:val="002060"/>
                <w:sz w:val="22"/>
                <w:szCs w:val="22"/>
              </w:rPr>
              <w:lastRenderedPageBreak/>
              <w:t xml:space="preserve">Monitoring &amp; Evaluation Plan: </w:t>
            </w:r>
            <w:r>
              <w:rPr>
                <w:rFonts w:ascii="Calibri" w:hAnsi="Calibri"/>
                <w:b/>
                <w:bCs/>
                <w:color w:val="172D5F"/>
                <w:sz w:val="22"/>
                <w:szCs w:val="22"/>
              </w:rPr>
              <w:t>PDO Indicators</w:t>
            </w:r>
          </w:p>
        </w:tc>
      </w:tr>
      <w:tr w:rsidR="00453F54" w:rsidRPr="00A12083" w14:paraId="4D9727FA" w14:textId="77777777" w:rsidTr="005A2521">
        <w:trPr>
          <w:trHeight w:val="432"/>
        </w:trPr>
        <w:tc>
          <w:tcPr>
            <w:tcW w:w="4050" w:type="dxa"/>
            <w:shd w:val="clear" w:color="auto" w:fill="F7F7F7"/>
            <w:vAlign w:val="center"/>
            <w:hideMark/>
          </w:tcPr>
          <w:p w14:paraId="146C20B5" w14:textId="77777777" w:rsidR="00453F54" w:rsidRPr="00A12083" w:rsidRDefault="00453F54" w:rsidP="00A64B72">
            <w:pPr>
              <w:keepNext/>
              <w:ind w:right="-418"/>
              <w:rPr>
                <w:rFonts w:ascii="Calibri" w:hAnsi="Calibri"/>
                <w:b/>
                <w:color w:val="auto"/>
                <w:sz w:val="22"/>
                <w:szCs w:val="22"/>
              </w:rPr>
            </w:pPr>
            <w:r w:rsidRPr="00A12083">
              <w:rPr>
                <w:rFonts w:ascii="Calibri" w:hAnsi="Calibri"/>
                <w:b/>
                <w:noProof/>
                <w:color w:val="auto"/>
                <w:sz w:val="22"/>
                <w:szCs w:val="22"/>
              </w:rPr>
              <w:t>Indicator Name</w:t>
            </w:r>
          </w:p>
        </w:tc>
        <w:tc>
          <w:tcPr>
            <w:tcW w:w="3690" w:type="dxa"/>
            <w:shd w:val="clear" w:color="auto" w:fill="F7F7F7"/>
            <w:vAlign w:val="center"/>
            <w:hideMark/>
          </w:tcPr>
          <w:p w14:paraId="132F7628" w14:textId="77777777" w:rsidR="00453F54" w:rsidRPr="00A12083" w:rsidRDefault="00453F54" w:rsidP="00A64B72">
            <w:pPr>
              <w:keepNext/>
              <w:ind w:right="-418"/>
              <w:rPr>
                <w:rFonts w:ascii="Calibri" w:hAnsi="Calibri"/>
                <w:b/>
                <w:color w:val="auto"/>
                <w:sz w:val="22"/>
                <w:szCs w:val="22"/>
              </w:rPr>
            </w:pPr>
            <w:r w:rsidRPr="00A12083">
              <w:rPr>
                <w:rFonts w:ascii="Calibri" w:hAnsi="Calibri"/>
                <w:b/>
                <w:noProof/>
                <w:color w:val="auto"/>
                <w:sz w:val="22"/>
                <w:szCs w:val="22"/>
              </w:rPr>
              <w:t>Definition/Description</w:t>
            </w:r>
          </w:p>
        </w:tc>
        <w:tc>
          <w:tcPr>
            <w:tcW w:w="1260" w:type="dxa"/>
            <w:shd w:val="clear" w:color="auto" w:fill="F7F7F7"/>
            <w:vAlign w:val="center"/>
            <w:hideMark/>
          </w:tcPr>
          <w:p w14:paraId="1ED48B10" w14:textId="77777777" w:rsidR="00453F54" w:rsidRPr="00A12083" w:rsidRDefault="00453F54" w:rsidP="00A64B72">
            <w:pPr>
              <w:keepNext/>
              <w:rPr>
                <w:rFonts w:ascii="Calibri" w:hAnsi="Calibri"/>
                <w:b/>
                <w:color w:val="auto"/>
                <w:sz w:val="22"/>
                <w:szCs w:val="22"/>
              </w:rPr>
            </w:pPr>
            <w:r w:rsidRPr="00A12083">
              <w:rPr>
                <w:rFonts w:ascii="Calibri" w:hAnsi="Calibri"/>
                <w:b/>
                <w:noProof/>
                <w:color w:val="auto"/>
                <w:sz w:val="22"/>
                <w:szCs w:val="22"/>
              </w:rPr>
              <w:t>Frequency</w:t>
            </w:r>
          </w:p>
        </w:tc>
        <w:tc>
          <w:tcPr>
            <w:tcW w:w="1620" w:type="dxa"/>
            <w:shd w:val="clear" w:color="auto" w:fill="F7F7F7"/>
            <w:vAlign w:val="center"/>
            <w:hideMark/>
          </w:tcPr>
          <w:p w14:paraId="5AE7B6EF" w14:textId="77777777" w:rsidR="00453F54" w:rsidRPr="00A12083" w:rsidRDefault="00453F54" w:rsidP="00A64B72">
            <w:pPr>
              <w:keepNext/>
              <w:ind w:right="-418"/>
              <w:rPr>
                <w:rFonts w:ascii="Calibri" w:hAnsi="Calibri"/>
                <w:b/>
                <w:color w:val="auto"/>
                <w:sz w:val="22"/>
                <w:szCs w:val="22"/>
              </w:rPr>
            </w:pPr>
            <w:r w:rsidRPr="00A12083">
              <w:rPr>
                <w:rFonts w:ascii="Calibri" w:hAnsi="Calibri"/>
                <w:b/>
                <w:noProof/>
                <w:color w:val="auto"/>
                <w:sz w:val="22"/>
                <w:szCs w:val="22"/>
              </w:rPr>
              <w:t>Data Source</w:t>
            </w:r>
          </w:p>
        </w:tc>
        <w:tc>
          <w:tcPr>
            <w:tcW w:w="2340" w:type="dxa"/>
            <w:shd w:val="clear" w:color="auto" w:fill="F7F7F7"/>
            <w:vAlign w:val="center"/>
            <w:hideMark/>
          </w:tcPr>
          <w:p w14:paraId="0661CBAA" w14:textId="77777777" w:rsidR="00453F54" w:rsidRPr="00A12083" w:rsidRDefault="00453F54" w:rsidP="00A64B72">
            <w:pPr>
              <w:keepNext/>
              <w:ind w:right="-418"/>
              <w:rPr>
                <w:rFonts w:ascii="Calibri" w:hAnsi="Calibri"/>
                <w:b/>
                <w:color w:val="auto"/>
                <w:sz w:val="22"/>
                <w:szCs w:val="22"/>
              </w:rPr>
            </w:pPr>
            <w:r w:rsidRPr="00A12083">
              <w:rPr>
                <w:rFonts w:ascii="Calibri" w:hAnsi="Calibri"/>
                <w:b/>
                <w:noProof/>
                <w:color w:val="auto"/>
                <w:sz w:val="22"/>
                <w:szCs w:val="22"/>
              </w:rPr>
              <w:t>Methodology for Data Collection</w:t>
            </w:r>
          </w:p>
        </w:tc>
        <w:tc>
          <w:tcPr>
            <w:tcW w:w="1980" w:type="dxa"/>
            <w:shd w:val="clear" w:color="auto" w:fill="F7F7F7"/>
            <w:vAlign w:val="center"/>
            <w:hideMark/>
          </w:tcPr>
          <w:p w14:paraId="70CEEE41" w14:textId="77777777" w:rsidR="00453F54" w:rsidRPr="00A12083" w:rsidRDefault="00453F54" w:rsidP="00A64B72">
            <w:pPr>
              <w:keepNext/>
              <w:ind w:right="-20"/>
              <w:rPr>
                <w:rFonts w:ascii="Calibri" w:hAnsi="Calibri"/>
                <w:b/>
                <w:color w:val="auto"/>
                <w:sz w:val="22"/>
                <w:szCs w:val="22"/>
              </w:rPr>
            </w:pPr>
            <w:r w:rsidRPr="00A12083">
              <w:rPr>
                <w:rFonts w:ascii="Calibri" w:hAnsi="Calibri"/>
                <w:b/>
                <w:noProof/>
                <w:color w:val="auto"/>
                <w:sz w:val="22"/>
                <w:szCs w:val="22"/>
              </w:rPr>
              <w:t>Responsibility for Data Collection</w:t>
            </w:r>
          </w:p>
        </w:tc>
      </w:tr>
      <w:tr w:rsidR="00453F54" w:rsidRPr="00C33D02" w14:paraId="693CF2DA" w14:textId="77777777" w:rsidTr="00F65FDF">
        <w:trPr>
          <w:trHeight w:val="432"/>
        </w:trPr>
        <w:tc>
          <w:tcPr>
            <w:tcW w:w="4050" w:type="dxa"/>
            <w:shd w:val="clear" w:color="auto" w:fill="F7F7F7"/>
          </w:tcPr>
          <w:p w14:paraId="3AE57F1B" w14:textId="1474C3E9" w:rsidR="00453F54" w:rsidRPr="00C33D02" w:rsidRDefault="00056056" w:rsidP="00F65FDF">
            <w:pPr>
              <w:keepNext/>
              <w:rPr>
                <w:rFonts w:ascii="Calibri" w:hAnsi="Calibri"/>
                <w:noProof/>
                <w:color w:val="auto"/>
                <w:sz w:val="20"/>
                <w:szCs w:val="20"/>
              </w:rPr>
            </w:pPr>
            <w:r>
              <w:rPr>
                <w:rFonts w:asciiTheme="minorHAnsi" w:hAnsiTheme="minorHAnsi" w:cstheme="minorHAnsi"/>
                <w:color w:val="auto"/>
                <w:sz w:val="20"/>
                <w:szCs w:val="20"/>
              </w:rPr>
              <w:t>Electricity sector’s cash deficit</w:t>
            </w:r>
          </w:p>
        </w:tc>
        <w:tc>
          <w:tcPr>
            <w:tcW w:w="3690" w:type="dxa"/>
            <w:shd w:val="clear" w:color="auto" w:fill="F7F7F7"/>
          </w:tcPr>
          <w:p w14:paraId="114A0E1F" w14:textId="49607D0C" w:rsidR="00453F54" w:rsidRPr="00C33D02" w:rsidRDefault="00453F54" w:rsidP="00F65FDF">
            <w:pPr>
              <w:keepNext/>
              <w:rPr>
                <w:rFonts w:ascii="Calibri" w:hAnsi="Calibri"/>
                <w:noProof/>
                <w:color w:val="auto"/>
                <w:sz w:val="20"/>
                <w:szCs w:val="20"/>
              </w:rPr>
            </w:pPr>
            <w:r>
              <w:rPr>
                <w:rFonts w:ascii="Calibri" w:hAnsi="Calibri"/>
                <w:noProof/>
                <w:color w:val="auto"/>
                <w:sz w:val="20"/>
                <w:szCs w:val="20"/>
              </w:rPr>
              <w:t xml:space="preserve">This indicator will measure the progress with ability of </w:t>
            </w:r>
            <w:r w:rsidR="005A2521">
              <w:rPr>
                <w:rFonts w:ascii="Calibri" w:hAnsi="Calibri"/>
                <w:noProof/>
                <w:color w:val="auto"/>
                <w:sz w:val="20"/>
                <w:szCs w:val="20"/>
              </w:rPr>
              <w:t>BT, SIB, and STB</w:t>
            </w:r>
            <w:r>
              <w:rPr>
                <w:rFonts w:ascii="Calibri" w:hAnsi="Calibri"/>
                <w:noProof/>
                <w:color w:val="auto"/>
                <w:sz w:val="20"/>
                <w:szCs w:val="20"/>
              </w:rPr>
              <w:t xml:space="preserve"> to generate sufficient cash revenues to cover the direct production costs; selling costs; general and administrative costs; and costs associated with liabilites</w:t>
            </w:r>
          </w:p>
        </w:tc>
        <w:tc>
          <w:tcPr>
            <w:tcW w:w="1260" w:type="dxa"/>
            <w:shd w:val="clear" w:color="auto" w:fill="F7F7F7"/>
          </w:tcPr>
          <w:p w14:paraId="610C7089" w14:textId="77777777" w:rsidR="00453F54" w:rsidRPr="00C33D02" w:rsidRDefault="00453F54" w:rsidP="00F65FDF">
            <w:pPr>
              <w:keepNext/>
              <w:rPr>
                <w:rFonts w:ascii="Calibri" w:hAnsi="Calibri"/>
                <w:noProof/>
                <w:color w:val="auto"/>
                <w:sz w:val="20"/>
                <w:szCs w:val="20"/>
              </w:rPr>
            </w:pPr>
            <w:r w:rsidRPr="00C33D02">
              <w:rPr>
                <w:rFonts w:ascii="Calibri" w:hAnsi="Calibri"/>
                <w:noProof/>
                <w:color w:val="auto"/>
                <w:sz w:val="20"/>
                <w:szCs w:val="20"/>
              </w:rPr>
              <w:t>Annual</w:t>
            </w:r>
          </w:p>
        </w:tc>
        <w:tc>
          <w:tcPr>
            <w:tcW w:w="1620" w:type="dxa"/>
            <w:shd w:val="clear" w:color="auto" w:fill="F7F7F7"/>
          </w:tcPr>
          <w:p w14:paraId="3546173B" w14:textId="1BCF51BB" w:rsidR="00453F54" w:rsidRPr="00C33D02" w:rsidRDefault="00453F54" w:rsidP="00F65FDF">
            <w:pPr>
              <w:keepNext/>
              <w:rPr>
                <w:rFonts w:ascii="Calibri" w:hAnsi="Calibri"/>
                <w:noProof/>
                <w:color w:val="auto"/>
                <w:sz w:val="20"/>
                <w:szCs w:val="20"/>
              </w:rPr>
            </w:pPr>
            <w:r>
              <w:rPr>
                <w:rFonts w:ascii="Calibri" w:hAnsi="Calibri"/>
                <w:noProof/>
                <w:color w:val="auto"/>
                <w:sz w:val="20"/>
                <w:szCs w:val="20"/>
              </w:rPr>
              <w:t>IVA report to be prepared by the auditor</w:t>
            </w:r>
            <w:r w:rsidR="005A2521">
              <w:rPr>
                <w:rFonts w:ascii="Calibri" w:hAnsi="Calibri"/>
                <w:noProof/>
                <w:color w:val="auto"/>
                <w:sz w:val="20"/>
                <w:szCs w:val="20"/>
              </w:rPr>
              <w:t>(s)</w:t>
            </w:r>
            <w:r>
              <w:rPr>
                <w:rFonts w:ascii="Calibri" w:hAnsi="Calibri"/>
                <w:noProof/>
                <w:color w:val="auto"/>
                <w:sz w:val="20"/>
                <w:szCs w:val="20"/>
              </w:rPr>
              <w:t xml:space="preserve"> of annual financial statements of BT</w:t>
            </w:r>
            <w:r w:rsidR="005A2521">
              <w:rPr>
                <w:rFonts w:ascii="Calibri" w:hAnsi="Calibri"/>
                <w:noProof/>
                <w:color w:val="auto"/>
                <w:sz w:val="20"/>
                <w:szCs w:val="20"/>
              </w:rPr>
              <w:t>,</w:t>
            </w:r>
            <w:r>
              <w:rPr>
                <w:rFonts w:ascii="Calibri" w:hAnsi="Calibri"/>
                <w:noProof/>
                <w:color w:val="auto"/>
                <w:sz w:val="20"/>
                <w:szCs w:val="20"/>
              </w:rPr>
              <w:t xml:space="preserve"> </w:t>
            </w:r>
            <w:r w:rsidR="005A2521">
              <w:rPr>
                <w:rFonts w:ascii="Calibri" w:hAnsi="Calibri"/>
                <w:noProof/>
                <w:color w:val="auto"/>
                <w:sz w:val="20"/>
                <w:szCs w:val="20"/>
              </w:rPr>
              <w:t>SIB, and STB</w:t>
            </w:r>
          </w:p>
        </w:tc>
        <w:tc>
          <w:tcPr>
            <w:tcW w:w="2340" w:type="dxa"/>
            <w:shd w:val="clear" w:color="auto" w:fill="F7F7F7"/>
          </w:tcPr>
          <w:p w14:paraId="5CF5F5A5" w14:textId="77777777" w:rsidR="00453F54" w:rsidRPr="00C33D02" w:rsidRDefault="00453F54" w:rsidP="00F65FDF">
            <w:pPr>
              <w:keepNext/>
              <w:ind w:right="-20"/>
              <w:rPr>
                <w:rFonts w:ascii="Calibri" w:hAnsi="Calibri"/>
                <w:noProof/>
                <w:color w:val="auto"/>
                <w:sz w:val="20"/>
                <w:szCs w:val="20"/>
              </w:rPr>
            </w:pPr>
            <w:r>
              <w:rPr>
                <w:rFonts w:ascii="Calibri" w:hAnsi="Calibri"/>
                <w:noProof/>
                <w:color w:val="auto"/>
                <w:sz w:val="20"/>
                <w:szCs w:val="20"/>
              </w:rPr>
              <w:t>IVA report</w:t>
            </w:r>
          </w:p>
        </w:tc>
        <w:tc>
          <w:tcPr>
            <w:tcW w:w="1980" w:type="dxa"/>
            <w:shd w:val="clear" w:color="auto" w:fill="F7F7F7"/>
          </w:tcPr>
          <w:p w14:paraId="62DD9228" w14:textId="2A65B22A" w:rsidR="00453F54" w:rsidRPr="00C33D02" w:rsidRDefault="00453F54" w:rsidP="00F65FDF">
            <w:pPr>
              <w:keepNext/>
              <w:ind w:right="-20"/>
              <w:rPr>
                <w:rFonts w:ascii="Calibri" w:hAnsi="Calibri"/>
                <w:noProof/>
                <w:color w:val="auto"/>
                <w:sz w:val="20"/>
                <w:szCs w:val="20"/>
              </w:rPr>
            </w:pPr>
            <w:r>
              <w:rPr>
                <w:rFonts w:ascii="Calibri" w:hAnsi="Calibri"/>
                <w:noProof/>
                <w:color w:val="auto"/>
                <w:sz w:val="20"/>
                <w:szCs w:val="20"/>
              </w:rPr>
              <w:t>IVA with inputs from BT</w:t>
            </w:r>
            <w:r w:rsidR="005A2521">
              <w:rPr>
                <w:rFonts w:ascii="Calibri" w:hAnsi="Calibri"/>
                <w:noProof/>
                <w:color w:val="auto"/>
                <w:sz w:val="20"/>
                <w:szCs w:val="20"/>
              </w:rPr>
              <w:t>, SIB, and STB</w:t>
            </w:r>
          </w:p>
        </w:tc>
      </w:tr>
      <w:tr w:rsidR="00453F54" w:rsidRPr="00C33D02" w14:paraId="2DC2AB48" w14:textId="77777777" w:rsidTr="00F65FDF">
        <w:trPr>
          <w:trHeight w:val="432"/>
        </w:trPr>
        <w:tc>
          <w:tcPr>
            <w:tcW w:w="4050" w:type="dxa"/>
            <w:shd w:val="clear" w:color="auto" w:fill="F7F7F7"/>
          </w:tcPr>
          <w:p w14:paraId="623D8BBB" w14:textId="77777777" w:rsidR="00453F54" w:rsidRPr="007753F9" w:rsidRDefault="00453F54" w:rsidP="00F65FDF">
            <w:pPr>
              <w:keepNext/>
              <w:rPr>
                <w:rFonts w:ascii="Calibri" w:eastAsia="Times New Roman" w:hAnsi="Calibri" w:cs="Calibri"/>
                <w:color w:val="auto"/>
                <w:sz w:val="20"/>
                <w:szCs w:val="20"/>
              </w:rPr>
            </w:pPr>
            <w:r w:rsidRPr="00FF41AC">
              <w:rPr>
                <w:rFonts w:asciiTheme="minorHAnsi" w:hAnsiTheme="minorHAnsi" w:cstheme="minorHAnsi"/>
                <w:sz w:val="20"/>
                <w:szCs w:val="22"/>
              </w:rPr>
              <w:t>Adequate electricity supply received by BT from Sangtuda-1</w:t>
            </w:r>
            <w:r>
              <w:rPr>
                <w:rFonts w:asciiTheme="minorHAnsi" w:hAnsiTheme="minorHAnsi" w:cstheme="minorHAnsi"/>
                <w:sz w:val="20"/>
                <w:szCs w:val="22"/>
              </w:rPr>
              <w:t xml:space="preserve"> power plant</w:t>
            </w:r>
          </w:p>
        </w:tc>
        <w:tc>
          <w:tcPr>
            <w:tcW w:w="3690" w:type="dxa"/>
            <w:shd w:val="clear" w:color="auto" w:fill="F7F7F7"/>
          </w:tcPr>
          <w:p w14:paraId="6E266C68" w14:textId="77777777" w:rsidR="00453F54" w:rsidRDefault="00453F54" w:rsidP="00F65FDF">
            <w:pPr>
              <w:keepNext/>
              <w:rPr>
                <w:rFonts w:ascii="Calibri" w:hAnsi="Calibri"/>
                <w:noProof/>
                <w:color w:val="auto"/>
                <w:sz w:val="20"/>
                <w:szCs w:val="20"/>
              </w:rPr>
            </w:pPr>
            <w:r>
              <w:rPr>
                <w:rFonts w:ascii="Calibri" w:hAnsi="Calibri"/>
                <w:noProof/>
                <w:color w:val="auto"/>
                <w:sz w:val="20"/>
                <w:szCs w:val="20"/>
              </w:rPr>
              <w:t>This indicator will measure the progres with reliability of electricity supply given that supply from Sangtuda-1 HPP is essential for ensuring enough electricity supply to consumers</w:t>
            </w:r>
          </w:p>
        </w:tc>
        <w:tc>
          <w:tcPr>
            <w:tcW w:w="1260" w:type="dxa"/>
            <w:shd w:val="clear" w:color="auto" w:fill="F7F7F7"/>
          </w:tcPr>
          <w:p w14:paraId="5319CC10" w14:textId="77777777" w:rsidR="00453F54" w:rsidRPr="00C33D02" w:rsidDel="00791727" w:rsidRDefault="00453F54" w:rsidP="00F65FDF">
            <w:pPr>
              <w:keepNext/>
              <w:rPr>
                <w:rFonts w:ascii="Calibri" w:hAnsi="Calibri"/>
                <w:noProof/>
                <w:color w:val="auto"/>
                <w:sz w:val="20"/>
                <w:szCs w:val="20"/>
              </w:rPr>
            </w:pPr>
            <w:r>
              <w:rPr>
                <w:rFonts w:ascii="Calibri" w:hAnsi="Calibri"/>
                <w:noProof/>
                <w:color w:val="auto"/>
                <w:sz w:val="20"/>
                <w:szCs w:val="20"/>
              </w:rPr>
              <w:t>Semi-annual</w:t>
            </w:r>
          </w:p>
        </w:tc>
        <w:tc>
          <w:tcPr>
            <w:tcW w:w="1620" w:type="dxa"/>
            <w:shd w:val="clear" w:color="auto" w:fill="F7F7F7"/>
          </w:tcPr>
          <w:p w14:paraId="1FB66C70" w14:textId="77777777" w:rsidR="00453F54" w:rsidRDefault="00453F54" w:rsidP="00F65FDF">
            <w:pPr>
              <w:keepNext/>
              <w:rPr>
                <w:rFonts w:ascii="Calibri" w:hAnsi="Calibri"/>
                <w:noProof/>
                <w:color w:val="auto"/>
                <w:sz w:val="20"/>
                <w:szCs w:val="20"/>
              </w:rPr>
            </w:pPr>
            <w:r>
              <w:rPr>
                <w:rFonts w:ascii="Calibri" w:hAnsi="Calibri"/>
                <w:noProof/>
                <w:color w:val="auto"/>
                <w:sz w:val="20"/>
                <w:szCs w:val="20"/>
              </w:rPr>
              <w:t>Monthly bills submitted by Sangtuda-1 and meter readings of BT at receiving points</w:t>
            </w:r>
          </w:p>
        </w:tc>
        <w:tc>
          <w:tcPr>
            <w:tcW w:w="2340" w:type="dxa"/>
            <w:shd w:val="clear" w:color="auto" w:fill="F7F7F7"/>
          </w:tcPr>
          <w:p w14:paraId="346ACA5F" w14:textId="77777777" w:rsidR="00453F54" w:rsidRDefault="00453F54" w:rsidP="00F65FDF">
            <w:pPr>
              <w:keepNext/>
              <w:ind w:right="-20"/>
              <w:rPr>
                <w:rFonts w:ascii="Calibri" w:hAnsi="Calibri"/>
                <w:noProof/>
                <w:color w:val="auto"/>
                <w:sz w:val="20"/>
                <w:szCs w:val="20"/>
              </w:rPr>
            </w:pPr>
            <w:r>
              <w:rPr>
                <w:rFonts w:ascii="Calibri" w:hAnsi="Calibri"/>
                <w:noProof/>
                <w:color w:val="auto"/>
                <w:sz w:val="20"/>
                <w:szCs w:val="20"/>
              </w:rPr>
              <w:t>BT to provide copies of bills submitted by Sangtuda-1 and meter readings</w:t>
            </w:r>
          </w:p>
        </w:tc>
        <w:tc>
          <w:tcPr>
            <w:tcW w:w="1980" w:type="dxa"/>
            <w:shd w:val="clear" w:color="auto" w:fill="F7F7F7"/>
          </w:tcPr>
          <w:p w14:paraId="7FE27580" w14:textId="77777777" w:rsidR="00453F54" w:rsidRDefault="00453F54" w:rsidP="00F65FDF">
            <w:pPr>
              <w:keepNext/>
              <w:rPr>
                <w:rFonts w:ascii="Calibri" w:hAnsi="Calibri"/>
                <w:noProof/>
                <w:color w:val="auto"/>
                <w:sz w:val="20"/>
                <w:szCs w:val="20"/>
              </w:rPr>
            </w:pPr>
            <w:r>
              <w:rPr>
                <w:rFonts w:ascii="Calibri" w:hAnsi="Calibri"/>
                <w:noProof/>
                <w:color w:val="auto"/>
                <w:sz w:val="20"/>
                <w:szCs w:val="20"/>
              </w:rPr>
              <w:t>BT</w:t>
            </w:r>
          </w:p>
        </w:tc>
      </w:tr>
      <w:tr w:rsidR="00453F54" w:rsidRPr="00C33D02" w14:paraId="10872895" w14:textId="77777777" w:rsidTr="00F65FDF">
        <w:trPr>
          <w:trHeight w:val="432"/>
        </w:trPr>
        <w:tc>
          <w:tcPr>
            <w:tcW w:w="4050" w:type="dxa"/>
            <w:shd w:val="clear" w:color="auto" w:fill="F7F7F7"/>
          </w:tcPr>
          <w:p w14:paraId="2031C5B2" w14:textId="7FB7174D" w:rsidR="00453F54" w:rsidRPr="007753F9" w:rsidRDefault="00453F54" w:rsidP="00F65FDF">
            <w:pPr>
              <w:keepNext/>
              <w:rPr>
                <w:rFonts w:asciiTheme="minorHAnsi" w:hAnsiTheme="minorHAnsi" w:cstheme="minorHAnsi"/>
                <w:noProof/>
                <w:color w:val="auto"/>
                <w:sz w:val="20"/>
                <w:szCs w:val="20"/>
              </w:rPr>
            </w:pPr>
            <w:r w:rsidRPr="007753F9">
              <w:rPr>
                <w:rFonts w:asciiTheme="minorHAnsi" w:eastAsia="Times New Roman" w:hAnsiTheme="minorHAnsi" w:cstheme="minorHAnsi"/>
                <w:color w:val="auto"/>
                <w:sz w:val="20"/>
                <w:szCs w:val="22"/>
              </w:rPr>
              <w:t xml:space="preserve">Reduction of equipment failures in electricity transmission and distribution networks of </w:t>
            </w:r>
            <w:r w:rsidR="005A2521">
              <w:rPr>
                <w:rFonts w:asciiTheme="minorHAnsi" w:eastAsia="Times New Roman" w:hAnsiTheme="minorHAnsi" w:cstheme="minorHAnsi"/>
                <w:color w:val="auto"/>
                <w:sz w:val="20"/>
                <w:szCs w:val="22"/>
              </w:rPr>
              <w:t>SIB and STB</w:t>
            </w:r>
          </w:p>
        </w:tc>
        <w:tc>
          <w:tcPr>
            <w:tcW w:w="3690" w:type="dxa"/>
            <w:shd w:val="clear" w:color="auto" w:fill="F7F7F7"/>
          </w:tcPr>
          <w:p w14:paraId="3079FDA7" w14:textId="77777777" w:rsidR="00453F54" w:rsidRPr="00C33D02" w:rsidRDefault="00453F54" w:rsidP="00F65FDF">
            <w:pPr>
              <w:keepNext/>
              <w:rPr>
                <w:rFonts w:ascii="Calibri" w:hAnsi="Calibri"/>
                <w:noProof/>
                <w:color w:val="auto"/>
                <w:sz w:val="20"/>
                <w:szCs w:val="20"/>
              </w:rPr>
            </w:pPr>
            <w:r>
              <w:rPr>
                <w:rFonts w:ascii="Calibri" w:hAnsi="Calibri"/>
                <w:noProof/>
                <w:color w:val="auto"/>
                <w:sz w:val="20"/>
                <w:szCs w:val="20"/>
              </w:rPr>
              <w:t>This indicator will measure the progress with improvement of electricity supply reliability due to timely implementation of timely repair and and upgrade program. This indicator will include outages caused by emergencies; equipment failures of the first type; and equipment failures of the second type</w:t>
            </w:r>
            <w:r>
              <w:rPr>
                <w:rStyle w:val="FootnoteReference"/>
                <w:rFonts w:ascii="Calibri" w:hAnsi="Calibri"/>
                <w:noProof/>
                <w:color w:val="auto"/>
                <w:sz w:val="20"/>
                <w:szCs w:val="20"/>
              </w:rPr>
              <w:footnoteReference w:id="18"/>
            </w:r>
          </w:p>
        </w:tc>
        <w:tc>
          <w:tcPr>
            <w:tcW w:w="1260" w:type="dxa"/>
            <w:shd w:val="clear" w:color="auto" w:fill="F7F7F7"/>
          </w:tcPr>
          <w:p w14:paraId="5304CE27" w14:textId="77777777" w:rsidR="00453F54" w:rsidRPr="00C33D02" w:rsidRDefault="00453F54" w:rsidP="00F65FDF">
            <w:pPr>
              <w:keepNext/>
              <w:rPr>
                <w:rFonts w:ascii="Calibri" w:hAnsi="Calibri"/>
                <w:noProof/>
                <w:color w:val="auto"/>
                <w:sz w:val="20"/>
                <w:szCs w:val="20"/>
              </w:rPr>
            </w:pPr>
            <w:r>
              <w:rPr>
                <w:rFonts w:ascii="Calibri" w:hAnsi="Calibri"/>
                <w:noProof/>
                <w:color w:val="auto"/>
                <w:sz w:val="20"/>
                <w:szCs w:val="20"/>
              </w:rPr>
              <w:t>Annual</w:t>
            </w:r>
          </w:p>
        </w:tc>
        <w:tc>
          <w:tcPr>
            <w:tcW w:w="1620" w:type="dxa"/>
            <w:shd w:val="clear" w:color="auto" w:fill="F7F7F7"/>
          </w:tcPr>
          <w:p w14:paraId="7A6589E1" w14:textId="77777777" w:rsidR="00453F54" w:rsidRPr="00C33D02" w:rsidRDefault="00453F54" w:rsidP="00F65FDF">
            <w:pPr>
              <w:keepNext/>
              <w:rPr>
                <w:rFonts w:ascii="Calibri" w:hAnsi="Calibri"/>
                <w:noProof/>
                <w:color w:val="auto"/>
                <w:sz w:val="20"/>
                <w:szCs w:val="20"/>
              </w:rPr>
            </w:pPr>
            <w:r>
              <w:rPr>
                <w:rFonts w:ascii="Calibri" w:hAnsi="Calibri"/>
                <w:noProof/>
                <w:color w:val="auto"/>
                <w:sz w:val="20"/>
                <w:szCs w:val="20"/>
              </w:rPr>
              <w:t>IVA report to be prepared by engineering consultant</w:t>
            </w:r>
          </w:p>
        </w:tc>
        <w:tc>
          <w:tcPr>
            <w:tcW w:w="2340" w:type="dxa"/>
            <w:shd w:val="clear" w:color="auto" w:fill="F7F7F7"/>
          </w:tcPr>
          <w:p w14:paraId="2467632B" w14:textId="77777777" w:rsidR="00453F54" w:rsidRPr="00C33D02" w:rsidRDefault="00453F54" w:rsidP="00F65FDF">
            <w:pPr>
              <w:keepNext/>
              <w:ind w:right="-20"/>
              <w:rPr>
                <w:rFonts w:ascii="Calibri" w:hAnsi="Calibri"/>
                <w:noProof/>
                <w:color w:val="auto"/>
                <w:sz w:val="20"/>
                <w:szCs w:val="20"/>
              </w:rPr>
            </w:pPr>
            <w:r>
              <w:rPr>
                <w:rFonts w:ascii="Calibri" w:hAnsi="Calibri"/>
                <w:noProof/>
                <w:color w:val="auto"/>
                <w:sz w:val="20"/>
                <w:szCs w:val="20"/>
              </w:rPr>
              <w:t>IVA report</w:t>
            </w:r>
          </w:p>
        </w:tc>
        <w:tc>
          <w:tcPr>
            <w:tcW w:w="1980" w:type="dxa"/>
            <w:shd w:val="clear" w:color="auto" w:fill="F7F7F7"/>
          </w:tcPr>
          <w:p w14:paraId="2D5427CA" w14:textId="5C9E26F2" w:rsidR="00453F54" w:rsidRPr="00C33D02" w:rsidRDefault="00453F54" w:rsidP="00F65FDF">
            <w:pPr>
              <w:keepNext/>
              <w:rPr>
                <w:rFonts w:ascii="Calibri" w:hAnsi="Calibri"/>
                <w:noProof/>
                <w:color w:val="auto"/>
                <w:sz w:val="20"/>
                <w:szCs w:val="20"/>
              </w:rPr>
            </w:pPr>
            <w:r>
              <w:rPr>
                <w:rFonts w:ascii="Calibri" w:hAnsi="Calibri"/>
                <w:noProof/>
                <w:color w:val="auto"/>
                <w:sz w:val="20"/>
                <w:szCs w:val="20"/>
              </w:rPr>
              <w:t>IVA with inputs from BT</w:t>
            </w:r>
            <w:r w:rsidR="005A2521">
              <w:rPr>
                <w:rFonts w:ascii="Calibri" w:hAnsi="Calibri"/>
                <w:noProof/>
                <w:color w:val="auto"/>
                <w:sz w:val="20"/>
                <w:szCs w:val="20"/>
              </w:rPr>
              <w:t>, SIB, and STB</w:t>
            </w:r>
          </w:p>
        </w:tc>
      </w:tr>
      <w:tr w:rsidR="00453F54" w:rsidRPr="00C33D02" w14:paraId="687F648A" w14:textId="77777777" w:rsidTr="00F65FDF">
        <w:trPr>
          <w:trHeight w:val="432"/>
        </w:trPr>
        <w:tc>
          <w:tcPr>
            <w:tcW w:w="4050" w:type="dxa"/>
            <w:shd w:val="clear" w:color="auto" w:fill="F7F7F7"/>
          </w:tcPr>
          <w:p w14:paraId="2C2C9873" w14:textId="77777777" w:rsidR="00453F54" w:rsidRPr="007753F9" w:rsidRDefault="00453F54" w:rsidP="00F65FDF">
            <w:pPr>
              <w:keepNext/>
              <w:rPr>
                <w:rFonts w:asciiTheme="minorHAnsi" w:hAnsiTheme="minorHAnsi" w:cstheme="minorHAnsi"/>
                <w:noProof/>
                <w:color w:val="auto"/>
                <w:sz w:val="20"/>
                <w:szCs w:val="20"/>
              </w:rPr>
            </w:pPr>
            <w:r w:rsidRPr="005C65E5">
              <w:rPr>
                <w:rFonts w:asciiTheme="minorHAnsi" w:hAnsiTheme="minorHAnsi" w:cstheme="minorHAnsi"/>
                <w:sz w:val="20"/>
                <w:szCs w:val="18"/>
              </w:rPr>
              <w:t>Use of technically, economically, and financially sound principles for the Recipient’s investment decision-making in electricity generation, transmission, and distribution</w:t>
            </w:r>
          </w:p>
        </w:tc>
        <w:tc>
          <w:tcPr>
            <w:tcW w:w="3690" w:type="dxa"/>
            <w:shd w:val="clear" w:color="auto" w:fill="F7F7F7"/>
          </w:tcPr>
          <w:p w14:paraId="45E12FB8" w14:textId="77777777" w:rsidR="00453F54" w:rsidRPr="00C33D02" w:rsidRDefault="00453F54" w:rsidP="00F65FDF">
            <w:pPr>
              <w:keepNext/>
              <w:rPr>
                <w:rFonts w:ascii="Calibri" w:hAnsi="Calibri"/>
                <w:noProof/>
                <w:color w:val="auto"/>
                <w:sz w:val="20"/>
                <w:szCs w:val="20"/>
              </w:rPr>
            </w:pPr>
            <w:r>
              <w:rPr>
                <w:rFonts w:ascii="Calibri" w:hAnsi="Calibri"/>
                <w:noProof/>
                <w:color w:val="auto"/>
                <w:sz w:val="20"/>
                <w:szCs w:val="20"/>
              </w:rPr>
              <w:t>This indicator will measure the progress with implementation of good corporate management practices related to planning of new capital expenditures</w:t>
            </w:r>
          </w:p>
        </w:tc>
        <w:tc>
          <w:tcPr>
            <w:tcW w:w="1260" w:type="dxa"/>
            <w:shd w:val="clear" w:color="auto" w:fill="F7F7F7"/>
          </w:tcPr>
          <w:p w14:paraId="6AF08BAB" w14:textId="77777777" w:rsidR="00453F54" w:rsidRPr="00C33D02" w:rsidRDefault="00453F54" w:rsidP="00F65FDF">
            <w:pPr>
              <w:keepNext/>
              <w:rPr>
                <w:rFonts w:ascii="Calibri" w:hAnsi="Calibri"/>
                <w:noProof/>
                <w:color w:val="auto"/>
                <w:sz w:val="20"/>
                <w:szCs w:val="20"/>
              </w:rPr>
            </w:pPr>
            <w:r>
              <w:rPr>
                <w:rFonts w:ascii="Calibri" w:hAnsi="Calibri"/>
                <w:noProof/>
                <w:color w:val="auto"/>
                <w:sz w:val="20"/>
                <w:szCs w:val="20"/>
              </w:rPr>
              <w:t>Annual</w:t>
            </w:r>
          </w:p>
        </w:tc>
        <w:tc>
          <w:tcPr>
            <w:tcW w:w="1620" w:type="dxa"/>
            <w:shd w:val="clear" w:color="auto" w:fill="F7F7F7"/>
          </w:tcPr>
          <w:p w14:paraId="292B198E" w14:textId="7EC4AC59" w:rsidR="00453F54" w:rsidRPr="00C33D02" w:rsidRDefault="00453F54" w:rsidP="00F65FDF">
            <w:pPr>
              <w:keepNext/>
              <w:rPr>
                <w:rFonts w:ascii="Calibri" w:hAnsi="Calibri"/>
                <w:noProof/>
                <w:color w:val="auto"/>
                <w:sz w:val="20"/>
                <w:szCs w:val="20"/>
              </w:rPr>
            </w:pPr>
            <w:r>
              <w:rPr>
                <w:rFonts w:ascii="Calibri" w:hAnsi="Calibri"/>
                <w:noProof/>
                <w:color w:val="auto"/>
                <w:sz w:val="20"/>
                <w:szCs w:val="20"/>
              </w:rPr>
              <w:t>IVA report to be prepared by enginerring consultant</w:t>
            </w:r>
          </w:p>
        </w:tc>
        <w:tc>
          <w:tcPr>
            <w:tcW w:w="2340" w:type="dxa"/>
            <w:shd w:val="clear" w:color="auto" w:fill="F7F7F7"/>
          </w:tcPr>
          <w:p w14:paraId="75802EEE" w14:textId="098053DE" w:rsidR="00453F54" w:rsidRPr="00C33D02" w:rsidRDefault="00453F54" w:rsidP="00F65FDF">
            <w:pPr>
              <w:keepNext/>
              <w:ind w:right="-20"/>
              <w:rPr>
                <w:rFonts w:ascii="Calibri" w:hAnsi="Calibri"/>
                <w:noProof/>
                <w:color w:val="auto"/>
                <w:sz w:val="20"/>
                <w:szCs w:val="20"/>
              </w:rPr>
            </w:pPr>
            <w:r>
              <w:rPr>
                <w:rFonts w:ascii="Calibri" w:hAnsi="Calibri"/>
                <w:noProof/>
                <w:color w:val="auto"/>
                <w:sz w:val="20"/>
                <w:szCs w:val="20"/>
              </w:rPr>
              <w:t>IVA report</w:t>
            </w:r>
          </w:p>
        </w:tc>
        <w:tc>
          <w:tcPr>
            <w:tcW w:w="1980" w:type="dxa"/>
            <w:shd w:val="clear" w:color="auto" w:fill="F7F7F7"/>
          </w:tcPr>
          <w:p w14:paraId="51955234" w14:textId="0E6F25E9" w:rsidR="00453F54" w:rsidRPr="00C33D02" w:rsidRDefault="00453F54" w:rsidP="00F65FDF">
            <w:pPr>
              <w:keepNext/>
              <w:ind w:hanging="20"/>
              <w:rPr>
                <w:rFonts w:ascii="Calibri" w:hAnsi="Calibri"/>
                <w:noProof/>
                <w:color w:val="auto"/>
                <w:sz w:val="20"/>
                <w:szCs w:val="20"/>
              </w:rPr>
            </w:pPr>
            <w:r>
              <w:rPr>
                <w:rFonts w:ascii="Calibri" w:hAnsi="Calibri"/>
                <w:noProof/>
                <w:color w:val="auto"/>
                <w:sz w:val="20"/>
                <w:szCs w:val="20"/>
              </w:rPr>
              <w:t>IVA with inputs from BT</w:t>
            </w:r>
            <w:r w:rsidR="005A2521">
              <w:rPr>
                <w:rFonts w:ascii="Calibri" w:hAnsi="Calibri"/>
                <w:noProof/>
                <w:color w:val="auto"/>
                <w:sz w:val="20"/>
                <w:szCs w:val="20"/>
              </w:rPr>
              <w:t>, SIB, and STB</w:t>
            </w:r>
          </w:p>
        </w:tc>
      </w:tr>
    </w:tbl>
    <w:sdt>
      <w:sdtPr>
        <w:rPr>
          <w:rFonts w:asciiTheme="minorHAnsi" w:hAnsiTheme="minorHAnsi"/>
          <w:b/>
          <w:bCs/>
          <w:color w:val="auto"/>
          <w:sz w:val="22"/>
          <w:szCs w:val="22"/>
        </w:rPr>
        <w:tag w:val="OPS_CORE_SECTION_END_15"/>
        <w:id w:val="1718637933"/>
        <w:lock w:val="contentLocked"/>
        <w:placeholder>
          <w:docPart w:val="7F5A83D64C2144B2B45311A54A9561A6"/>
        </w:placeholder>
        <w:showingPlcHdr/>
      </w:sdtPr>
      <w:sdtContent>
        <w:p w14:paraId="7A40DF31" w14:textId="77777777" w:rsidR="00453F54" w:rsidRDefault="00453F54" w:rsidP="00A64B72">
          <w:pPr>
            <w:shd w:val="clear" w:color="auto" w:fill="F7F7F7"/>
            <w:spacing w:line="14" w:lineRule="exact"/>
            <w:ind w:left="-547" w:right="-562"/>
            <w:rPr>
              <w:rFonts w:asciiTheme="minorHAnsi" w:hAnsiTheme="minorHAnsi"/>
              <w:b/>
              <w:bCs/>
              <w:color w:val="auto"/>
              <w:sz w:val="22"/>
              <w:szCs w:val="22"/>
            </w:rPr>
          </w:pPr>
          <w:r w:rsidRPr="00F55FCD">
            <w:rPr>
              <w:rFonts w:asciiTheme="minorHAnsi" w:hAnsiTheme="minorHAnsi"/>
              <w:b/>
              <w:bCs/>
              <w:color w:val="auto"/>
              <w:sz w:val="22"/>
              <w:szCs w:val="22"/>
            </w:rPr>
            <w:t>.</w:t>
          </w:r>
        </w:p>
      </w:sdtContent>
    </w:sdt>
    <w:tbl>
      <w:tblPr>
        <w:tblStyle w:val="TableGrid"/>
        <w:tblW w:w="14940" w:type="dxa"/>
        <w:tblInd w:w="-995" w:type="dxa"/>
        <w:tblLayout w:type="fixed"/>
        <w:tblLook w:val="04A0" w:firstRow="1" w:lastRow="0" w:firstColumn="1" w:lastColumn="0" w:noHBand="0" w:noVBand="1"/>
      </w:tblPr>
      <w:tblGrid>
        <w:gridCol w:w="4050"/>
        <w:gridCol w:w="3690"/>
        <w:gridCol w:w="1260"/>
        <w:gridCol w:w="1710"/>
        <w:gridCol w:w="2070"/>
        <w:gridCol w:w="2160"/>
      </w:tblGrid>
      <w:tr w:rsidR="00453F54" w14:paraId="36C2E1C1" w14:textId="77777777" w:rsidTr="005A2521">
        <w:trPr>
          <w:trHeight w:val="432"/>
          <w:tblHeader/>
        </w:trPr>
        <w:tc>
          <w:tcPr>
            <w:tcW w:w="14940" w:type="dxa"/>
            <w:gridSpan w:val="6"/>
            <w:shd w:val="clear" w:color="auto" w:fill="DEEBF7"/>
            <w:vAlign w:val="center"/>
            <w:hideMark/>
          </w:tcPr>
          <w:p w14:paraId="25BF4B92" w14:textId="77777777" w:rsidR="00453F54" w:rsidRDefault="00453F54" w:rsidP="00A64B72">
            <w:pPr>
              <w:keepNext/>
              <w:ind w:right="-418"/>
              <w:jc w:val="center"/>
              <w:rPr>
                <w:rFonts w:asciiTheme="minorHAnsi" w:hAnsiTheme="minorHAnsi"/>
                <w:b/>
                <w:bCs/>
                <w:color w:val="7F7F7F" w:themeColor="text1" w:themeTint="80"/>
                <w:sz w:val="22"/>
                <w:szCs w:val="22"/>
              </w:rPr>
            </w:pPr>
            <w:r>
              <w:rPr>
                <w:rFonts w:ascii="Calibri" w:hAnsi="Calibri"/>
                <w:b/>
                <w:color w:val="002060"/>
                <w:sz w:val="22"/>
                <w:szCs w:val="22"/>
              </w:rPr>
              <w:lastRenderedPageBreak/>
              <w:t xml:space="preserve">Monitoring &amp; Evaluation Plan: </w:t>
            </w:r>
            <w:r>
              <w:rPr>
                <w:rFonts w:ascii="Calibri" w:hAnsi="Calibri"/>
                <w:b/>
                <w:bCs/>
                <w:color w:val="172D5F"/>
                <w:sz w:val="22"/>
                <w:szCs w:val="22"/>
              </w:rPr>
              <w:t>Intermediate Results Indicators</w:t>
            </w:r>
          </w:p>
        </w:tc>
      </w:tr>
      <w:tr w:rsidR="00453F54" w:rsidRPr="00A12083" w14:paraId="197471FF" w14:textId="77777777" w:rsidTr="005A2521">
        <w:trPr>
          <w:trHeight w:val="432"/>
          <w:tblHeader/>
        </w:trPr>
        <w:tc>
          <w:tcPr>
            <w:tcW w:w="4050" w:type="dxa"/>
            <w:shd w:val="clear" w:color="auto" w:fill="F7F7F7"/>
            <w:vAlign w:val="center"/>
            <w:hideMark/>
          </w:tcPr>
          <w:p w14:paraId="6D5B680D" w14:textId="77777777" w:rsidR="00453F54" w:rsidRPr="00A12083" w:rsidRDefault="00453F54" w:rsidP="00A64B72">
            <w:pPr>
              <w:keepNext/>
              <w:ind w:right="-418"/>
              <w:rPr>
                <w:rFonts w:ascii="Calibri" w:hAnsi="Calibri"/>
                <w:b/>
                <w:color w:val="auto"/>
                <w:sz w:val="22"/>
                <w:szCs w:val="22"/>
              </w:rPr>
            </w:pPr>
            <w:r w:rsidRPr="00A12083">
              <w:rPr>
                <w:rFonts w:ascii="Calibri" w:hAnsi="Calibri"/>
                <w:b/>
                <w:noProof/>
                <w:color w:val="auto"/>
                <w:sz w:val="22"/>
                <w:szCs w:val="22"/>
              </w:rPr>
              <w:t>Indicator Name</w:t>
            </w:r>
          </w:p>
        </w:tc>
        <w:tc>
          <w:tcPr>
            <w:tcW w:w="3690" w:type="dxa"/>
            <w:shd w:val="clear" w:color="auto" w:fill="F7F7F7"/>
            <w:vAlign w:val="center"/>
            <w:hideMark/>
          </w:tcPr>
          <w:p w14:paraId="66B3AABD" w14:textId="77777777" w:rsidR="00453F54" w:rsidRPr="00A12083" w:rsidRDefault="00453F54" w:rsidP="00A64B72">
            <w:pPr>
              <w:keepNext/>
              <w:ind w:right="-418"/>
              <w:rPr>
                <w:rFonts w:ascii="Calibri" w:hAnsi="Calibri"/>
                <w:b/>
                <w:color w:val="auto"/>
                <w:sz w:val="22"/>
                <w:szCs w:val="22"/>
              </w:rPr>
            </w:pPr>
            <w:r w:rsidRPr="00A12083">
              <w:rPr>
                <w:rFonts w:ascii="Calibri" w:hAnsi="Calibri"/>
                <w:b/>
                <w:noProof/>
                <w:color w:val="auto"/>
                <w:sz w:val="22"/>
                <w:szCs w:val="22"/>
              </w:rPr>
              <w:t>Definition/Description</w:t>
            </w:r>
          </w:p>
        </w:tc>
        <w:tc>
          <w:tcPr>
            <w:tcW w:w="1260" w:type="dxa"/>
            <w:shd w:val="clear" w:color="auto" w:fill="F7F7F7"/>
            <w:vAlign w:val="center"/>
            <w:hideMark/>
          </w:tcPr>
          <w:p w14:paraId="15AA03C8" w14:textId="77777777" w:rsidR="00453F54" w:rsidRPr="00A12083" w:rsidRDefault="00453F54" w:rsidP="00A64B72">
            <w:pPr>
              <w:keepNext/>
              <w:ind w:right="-418"/>
              <w:rPr>
                <w:rFonts w:ascii="Calibri" w:hAnsi="Calibri"/>
                <w:b/>
                <w:color w:val="auto"/>
                <w:sz w:val="22"/>
                <w:szCs w:val="22"/>
              </w:rPr>
            </w:pPr>
            <w:r w:rsidRPr="00A12083">
              <w:rPr>
                <w:rFonts w:ascii="Calibri" w:hAnsi="Calibri"/>
                <w:b/>
                <w:noProof/>
                <w:color w:val="auto"/>
                <w:sz w:val="22"/>
                <w:szCs w:val="22"/>
              </w:rPr>
              <w:t>Frequency</w:t>
            </w:r>
          </w:p>
        </w:tc>
        <w:tc>
          <w:tcPr>
            <w:tcW w:w="1710" w:type="dxa"/>
            <w:shd w:val="clear" w:color="auto" w:fill="F7F7F7"/>
            <w:vAlign w:val="center"/>
            <w:hideMark/>
          </w:tcPr>
          <w:p w14:paraId="365FD172" w14:textId="77777777" w:rsidR="00453F54" w:rsidRPr="00A12083" w:rsidRDefault="00453F54" w:rsidP="00A64B72">
            <w:pPr>
              <w:keepNext/>
              <w:ind w:right="-20"/>
              <w:rPr>
                <w:rFonts w:ascii="Calibri" w:hAnsi="Calibri"/>
                <w:b/>
                <w:color w:val="auto"/>
                <w:sz w:val="22"/>
                <w:szCs w:val="22"/>
              </w:rPr>
            </w:pPr>
            <w:r w:rsidRPr="00A12083">
              <w:rPr>
                <w:rFonts w:ascii="Calibri" w:hAnsi="Calibri"/>
                <w:b/>
                <w:noProof/>
                <w:color w:val="auto"/>
                <w:sz w:val="22"/>
                <w:szCs w:val="22"/>
              </w:rPr>
              <w:t>Data</w:t>
            </w:r>
            <w:r>
              <w:rPr>
                <w:rFonts w:ascii="Calibri" w:hAnsi="Calibri"/>
                <w:b/>
                <w:noProof/>
                <w:color w:val="auto"/>
                <w:sz w:val="22"/>
                <w:szCs w:val="22"/>
              </w:rPr>
              <w:t xml:space="preserve"> S</w:t>
            </w:r>
            <w:r w:rsidRPr="00A12083">
              <w:rPr>
                <w:rFonts w:ascii="Calibri" w:hAnsi="Calibri"/>
                <w:b/>
                <w:noProof/>
                <w:color w:val="auto"/>
                <w:sz w:val="22"/>
                <w:szCs w:val="22"/>
              </w:rPr>
              <w:t>ource</w:t>
            </w:r>
          </w:p>
        </w:tc>
        <w:tc>
          <w:tcPr>
            <w:tcW w:w="2070" w:type="dxa"/>
            <w:shd w:val="clear" w:color="auto" w:fill="F7F7F7"/>
            <w:vAlign w:val="center"/>
            <w:hideMark/>
          </w:tcPr>
          <w:p w14:paraId="14F2C853" w14:textId="77777777" w:rsidR="00453F54" w:rsidRPr="00A12083" w:rsidRDefault="00453F54" w:rsidP="00A64B72">
            <w:pPr>
              <w:keepNext/>
              <w:rPr>
                <w:rFonts w:ascii="Calibri" w:hAnsi="Calibri"/>
                <w:b/>
                <w:color w:val="auto"/>
                <w:sz w:val="22"/>
                <w:szCs w:val="22"/>
              </w:rPr>
            </w:pPr>
            <w:r w:rsidRPr="00A12083">
              <w:rPr>
                <w:rFonts w:ascii="Calibri" w:hAnsi="Calibri"/>
                <w:b/>
                <w:noProof/>
                <w:color w:val="auto"/>
                <w:sz w:val="22"/>
                <w:szCs w:val="22"/>
              </w:rPr>
              <w:t>Methodology for Data Collection</w:t>
            </w:r>
          </w:p>
        </w:tc>
        <w:tc>
          <w:tcPr>
            <w:tcW w:w="2160" w:type="dxa"/>
            <w:shd w:val="clear" w:color="auto" w:fill="F7F7F7"/>
            <w:vAlign w:val="center"/>
            <w:hideMark/>
          </w:tcPr>
          <w:p w14:paraId="40FBDDB0" w14:textId="77777777" w:rsidR="00453F54" w:rsidRPr="00A12083" w:rsidRDefault="00453F54" w:rsidP="00A64B72">
            <w:pPr>
              <w:keepNext/>
              <w:rPr>
                <w:rFonts w:ascii="Calibri" w:hAnsi="Calibri"/>
                <w:b/>
                <w:color w:val="auto"/>
                <w:sz w:val="22"/>
                <w:szCs w:val="22"/>
              </w:rPr>
            </w:pPr>
            <w:r w:rsidRPr="00A12083">
              <w:rPr>
                <w:rFonts w:ascii="Calibri" w:hAnsi="Calibri"/>
                <w:b/>
                <w:noProof/>
                <w:color w:val="auto"/>
                <w:sz w:val="22"/>
                <w:szCs w:val="22"/>
              </w:rPr>
              <w:t>Responsibility for Data Collection</w:t>
            </w:r>
          </w:p>
        </w:tc>
      </w:tr>
      <w:tr w:rsidR="00453F54" w:rsidRPr="009933EB" w14:paraId="79A301F4" w14:textId="77777777" w:rsidTr="00F65FDF">
        <w:trPr>
          <w:trHeight w:val="432"/>
        </w:trPr>
        <w:tc>
          <w:tcPr>
            <w:tcW w:w="4050" w:type="dxa"/>
            <w:shd w:val="clear" w:color="auto" w:fill="F7F7F7"/>
          </w:tcPr>
          <w:p w14:paraId="2345FAF0" w14:textId="77777777" w:rsidR="00453F54" w:rsidRPr="009933EB" w:rsidRDefault="00453F54" w:rsidP="00F65FDF">
            <w:pPr>
              <w:keepNext/>
              <w:ind w:right="40"/>
              <w:rPr>
                <w:rFonts w:ascii="Calibri" w:hAnsi="Calibri"/>
                <w:b/>
                <w:noProof/>
                <w:color w:val="auto"/>
                <w:sz w:val="20"/>
                <w:szCs w:val="22"/>
              </w:rPr>
            </w:pPr>
            <w:r w:rsidRPr="009933EB">
              <w:rPr>
                <w:rFonts w:asciiTheme="minorHAnsi" w:hAnsiTheme="minorHAnsi" w:cstheme="minorHAnsi"/>
                <w:color w:val="auto"/>
                <w:sz w:val="20"/>
                <w:szCs w:val="22"/>
              </w:rPr>
              <w:t xml:space="preserve">Extent to which end-user tariffs </w:t>
            </w:r>
            <w:r>
              <w:rPr>
                <w:rFonts w:asciiTheme="minorHAnsi" w:hAnsiTheme="minorHAnsi" w:cstheme="minorHAnsi"/>
                <w:color w:val="auto"/>
                <w:sz w:val="20"/>
                <w:szCs w:val="22"/>
              </w:rPr>
              <w:t>reflect</w:t>
            </w:r>
            <w:r w:rsidRPr="009933EB">
              <w:rPr>
                <w:rFonts w:asciiTheme="minorHAnsi" w:hAnsiTheme="minorHAnsi" w:cstheme="minorHAnsi"/>
                <w:color w:val="auto"/>
                <w:sz w:val="20"/>
                <w:szCs w:val="22"/>
              </w:rPr>
              <w:t xml:space="preserve"> the revenue requirement of the sector</w:t>
            </w:r>
          </w:p>
        </w:tc>
        <w:tc>
          <w:tcPr>
            <w:tcW w:w="3690" w:type="dxa"/>
            <w:shd w:val="clear" w:color="auto" w:fill="F7F7F7"/>
          </w:tcPr>
          <w:p w14:paraId="4EB87E9C" w14:textId="77777777" w:rsidR="00453F54" w:rsidRPr="009933EB" w:rsidRDefault="00453F54" w:rsidP="00F65FDF">
            <w:pPr>
              <w:keepNext/>
              <w:rPr>
                <w:rFonts w:ascii="Calibri" w:hAnsi="Calibri"/>
                <w:noProof/>
                <w:color w:val="auto"/>
                <w:sz w:val="20"/>
                <w:szCs w:val="22"/>
              </w:rPr>
            </w:pPr>
            <w:r w:rsidRPr="009933EB">
              <w:rPr>
                <w:rFonts w:ascii="Calibri" w:hAnsi="Calibri"/>
                <w:noProof/>
                <w:color w:val="auto"/>
                <w:sz w:val="20"/>
                <w:szCs w:val="22"/>
              </w:rPr>
              <w:t xml:space="preserve">This indicator </w:t>
            </w:r>
            <w:r>
              <w:rPr>
                <w:rFonts w:ascii="Calibri" w:hAnsi="Calibri"/>
                <w:noProof/>
                <w:color w:val="auto"/>
                <w:sz w:val="20"/>
                <w:szCs w:val="22"/>
              </w:rPr>
              <w:t>will measure</w:t>
            </w:r>
            <w:r w:rsidRPr="009933EB">
              <w:rPr>
                <w:rFonts w:ascii="Calibri" w:hAnsi="Calibri"/>
                <w:noProof/>
                <w:color w:val="auto"/>
                <w:sz w:val="20"/>
                <w:szCs w:val="22"/>
              </w:rPr>
              <w:t xml:space="preserve"> the progress with convergence of end-user tariffs with the cost-recovery level.</w:t>
            </w:r>
            <w:r>
              <w:rPr>
                <w:rFonts w:ascii="Calibri" w:hAnsi="Calibri"/>
                <w:noProof/>
                <w:color w:val="auto"/>
                <w:sz w:val="20"/>
                <w:szCs w:val="22"/>
              </w:rPr>
              <w:t xml:space="preserve"> It will be computed as the ratio of the actual weighed avergae end-user tariff to the revenue requirement at generation, transmission, and distribution</w:t>
            </w:r>
          </w:p>
        </w:tc>
        <w:tc>
          <w:tcPr>
            <w:tcW w:w="1260" w:type="dxa"/>
            <w:shd w:val="clear" w:color="auto" w:fill="F7F7F7"/>
          </w:tcPr>
          <w:p w14:paraId="16DE1412" w14:textId="77777777" w:rsidR="00453F54" w:rsidRPr="009933EB" w:rsidRDefault="00453F54" w:rsidP="00F65FDF">
            <w:pPr>
              <w:keepNext/>
              <w:ind w:right="-418"/>
              <w:rPr>
                <w:rFonts w:ascii="Calibri" w:hAnsi="Calibri"/>
                <w:noProof/>
                <w:color w:val="auto"/>
                <w:sz w:val="20"/>
                <w:szCs w:val="22"/>
              </w:rPr>
            </w:pPr>
            <w:r>
              <w:rPr>
                <w:rFonts w:ascii="Calibri" w:hAnsi="Calibri"/>
                <w:noProof/>
                <w:color w:val="auto"/>
                <w:sz w:val="20"/>
                <w:szCs w:val="22"/>
              </w:rPr>
              <w:t>Annual</w:t>
            </w:r>
          </w:p>
        </w:tc>
        <w:tc>
          <w:tcPr>
            <w:tcW w:w="1710" w:type="dxa"/>
            <w:shd w:val="clear" w:color="auto" w:fill="F7F7F7"/>
          </w:tcPr>
          <w:p w14:paraId="60B4B182" w14:textId="73DA3036" w:rsidR="00453F54" w:rsidRPr="009933EB" w:rsidRDefault="00453F54" w:rsidP="00F65FDF">
            <w:pPr>
              <w:keepNext/>
              <w:rPr>
                <w:rFonts w:ascii="Calibri" w:hAnsi="Calibri"/>
                <w:noProof/>
                <w:color w:val="auto"/>
                <w:sz w:val="20"/>
                <w:szCs w:val="22"/>
              </w:rPr>
            </w:pPr>
            <w:r>
              <w:rPr>
                <w:rFonts w:ascii="Calibri" w:hAnsi="Calibri"/>
                <w:noProof/>
                <w:color w:val="auto"/>
                <w:sz w:val="20"/>
                <w:szCs w:val="22"/>
              </w:rPr>
              <w:t>BT</w:t>
            </w:r>
            <w:r w:rsidR="005A2521">
              <w:rPr>
                <w:rFonts w:ascii="Calibri" w:hAnsi="Calibri"/>
                <w:noProof/>
                <w:color w:val="auto"/>
                <w:sz w:val="20"/>
                <w:szCs w:val="22"/>
              </w:rPr>
              <w:t>, SIB, and STB</w:t>
            </w:r>
            <w:r>
              <w:rPr>
                <w:rFonts w:ascii="Calibri" w:hAnsi="Calibri"/>
                <w:noProof/>
                <w:color w:val="auto"/>
                <w:sz w:val="20"/>
                <w:szCs w:val="22"/>
              </w:rPr>
              <w:t xml:space="preserve"> audited financial statements; IVA report on tariff increases with supporting documents</w:t>
            </w:r>
          </w:p>
        </w:tc>
        <w:tc>
          <w:tcPr>
            <w:tcW w:w="2070" w:type="dxa"/>
            <w:shd w:val="clear" w:color="auto" w:fill="F7F7F7"/>
          </w:tcPr>
          <w:p w14:paraId="0F0AA032" w14:textId="77777777" w:rsidR="00453F54" w:rsidRPr="009933EB" w:rsidRDefault="00453F54" w:rsidP="00F65FDF">
            <w:pPr>
              <w:keepNext/>
              <w:ind w:right="-20"/>
              <w:rPr>
                <w:rFonts w:ascii="Calibri" w:hAnsi="Calibri"/>
                <w:noProof/>
                <w:color w:val="auto"/>
                <w:sz w:val="20"/>
                <w:szCs w:val="22"/>
              </w:rPr>
            </w:pPr>
            <w:r>
              <w:rPr>
                <w:rFonts w:ascii="Calibri" w:hAnsi="Calibri"/>
                <w:noProof/>
                <w:color w:val="auto"/>
                <w:sz w:val="20"/>
                <w:szCs w:val="22"/>
              </w:rPr>
              <w:t>BT audited fianncial statements and IVA report</w:t>
            </w:r>
          </w:p>
        </w:tc>
        <w:tc>
          <w:tcPr>
            <w:tcW w:w="2160" w:type="dxa"/>
            <w:shd w:val="clear" w:color="auto" w:fill="F7F7F7"/>
          </w:tcPr>
          <w:p w14:paraId="25B05B15" w14:textId="30C23CC0" w:rsidR="00453F54" w:rsidRPr="009933EB" w:rsidRDefault="00453F54" w:rsidP="00F65FDF">
            <w:pPr>
              <w:keepNext/>
              <w:ind w:right="-418"/>
              <w:rPr>
                <w:rFonts w:ascii="Calibri" w:hAnsi="Calibri"/>
                <w:noProof/>
                <w:color w:val="auto"/>
                <w:sz w:val="20"/>
                <w:szCs w:val="22"/>
              </w:rPr>
            </w:pPr>
            <w:r>
              <w:rPr>
                <w:rFonts w:ascii="Calibri" w:hAnsi="Calibri"/>
                <w:noProof/>
                <w:color w:val="auto"/>
                <w:sz w:val="20"/>
                <w:szCs w:val="22"/>
              </w:rPr>
              <w:t>BT</w:t>
            </w:r>
          </w:p>
        </w:tc>
      </w:tr>
      <w:tr w:rsidR="00453F54" w:rsidRPr="009933EB" w14:paraId="303B0B8A" w14:textId="77777777" w:rsidTr="00F65FDF">
        <w:trPr>
          <w:trHeight w:val="432"/>
        </w:trPr>
        <w:tc>
          <w:tcPr>
            <w:tcW w:w="4050" w:type="dxa"/>
            <w:shd w:val="clear" w:color="auto" w:fill="F7F7F7"/>
          </w:tcPr>
          <w:p w14:paraId="6898CA2D" w14:textId="77777777" w:rsidR="00453F54" w:rsidRPr="009933EB" w:rsidRDefault="00453F54" w:rsidP="00F65FDF">
            <w:pPr>
              <w:keepNext/>
              <w:ind w:right="40"/>
              <w:rPr>
                <w:rFonts w:ascii="Calibri" w:hAnsi="Calibri"/>
                <w:b/>
                <w:noProof/>
                <w:color w:val="auto"/>
                <w:sz w:val="20"/>
                <w:szCs w:val="22"/>
              </w:rPr>
            </w:pPr>
            <w:r w:rsidRPr="009933EB">
              <w:rPr>
                <w:rFonts w:asciiTheme="minorHAnsi" w:hAnsiTheme="minorHAnsi" w:cstheme="minorHAnsi"/>
                <w:color w:val="auto"/>
                <w:sz w:val="20"/>
                <w:szCs w:val="20"/>
              </w:rPr>
              <w:t xml:space="preserve">Days of payables outstanding to </w:t>
            </w:r>
            <w:r>
              <w:rPr>
                <w:rFonts w:asciiTheme="minorHAnsi" w:hAnsiTheme="minorHAnsi" w:cstheme="minorHAnsi"/>
                <w:color w:val="auto"/>
                <w:sz w:val="20"/>
                <w:szCs w:val="20"/>
              </w:rPr>
              <w:t>Sangtuda-1 HPP</w:t>
            </w:r>
          </w:p>
        </w:tc>
        <w:tc>
          <w:tcPr>
            <w:tcW w:w="3690" w:type="dxa"/>
            <w:shd w:val="clear" w:color="auto" w:fill="F7F7F7"/>
          </w:tcPr>
          <w:p w14:paraId="4891196E" w14:textId="77777777" w:rsidR="00453F54" w:rsidRPr="009933EB" w:rsidRDefault="00453F54" w:rsidP="00F65FDF">
            <w:pPr>
              <w:keepNext/>
              <w:rPr>
                <w:rFonts w:ascii="Calibri" w:hAnsi="Calibri"/>
                <w:noProof/>
                <w:color w:val="auto"/>
                <w:sz w:val="20"/>
                <w:szCs w:val="22"/>
              </w:rPr>
            </w:pPr>
            <w:r w:rsidRPr="009933EB">
              <w:rPr>
                <w:rFonts w:ascii="Calibri" w:hAnsi="Calibri"/>
                <w:noProof/>
                <w:color w:val="auto"/>
                <w:sz w:val="20"/>
                <w:szCs w:val="22"/>
              </w:rPr>
              <w:t xml:space="preserve">This indicator </w:t>
            </w:r>
            <w:r>
              <w:rPr>
                <w:rFonts w:ascii="Calibri" w:hAnsi="Calibri"/>
                <w:noProof/>
                <w:color w:val="auto"/>
                <w:sz w:val="20"/>
                <w:szCs w:val="22"/>
              </w:rPr>
              <w:t xml:space="preserve">will </w:t>
            </w:r>
            <w:r w:rsidRPr="009933EB">
              <w:rPr>
                <w:rFonts w:ascii="Calibri" w:hAnsi="Calibri"/>
                <w:noProof/>
                <w:color w:val="auto"/>
                <w:sz w:val="20"/>
                <w:szCs w:val="22"/>
              </w:rPr>
              <w:t xml:space="preserve">measure the progress with </w:t>
            </w:r>
            <w:r>
              <w:rPr>
                <w:rFonts w:ascii="Calibri" w:hAnsi="Calibri"/>
                <w:noProof/>
                <w:color w:val="auto"/>
                <w:sz w:val="20"/>
                <w:szCs w:val="22"/>
              </w:rPr>
              <w:t>reduction of delays in payments for electricity supplied by Sangtuda-1 IPP for electricity</w:t>
            </w:r>
            <w:r w:rsidRPr="009933EB">
              <w:rPr>
                <w:rFonts w:ascii="Calibri" w:hAnsi="Calibri"/>
                <w:noProof/>
                <w:color w:val="auto"/>
                <w:sz w:val="20"/>
                <w:szCs w:val="22"/>
              </w:rPr>
              <w:t>.</w:t>
            </w:r>
            <w:r>
              <w:rPr>
                <w:rFonts w:ascii="Calibri" w:hAnsi="Calibri"/>
                <w:noProof/>
                <w:color w:val="auto"/>
                <w:sz w:val="20"/>
                <w:szCs w:val="22"/>
              </w:rPr>
              <w:t xml:space="preserve"> It will be computed by dividing the average payables to Sangtuda-1 during the year by cost of electricity purchase/ 365</w:t>
            </w:r>
          </w:p>
        </w:tc>
        <w:tc>
          <w:tcPr>
            <w:tcW w:w="1260" w:type="dxa"/>
            <w:shd w:val="clear" w:color="auto" w:fill="F7F7F7"/>
          </w:tcPr>
          <w:p w14:paraId="01897F2F" w14:textId="77777777" w:rsidR="00453F54" w:rsidRPr="009933EB" w:rsidRDefault="00453F54" w:rsidP="00F65FDF">
            <w:pPr>
              <w:keepNext/>
              <w:ind w:right="-418"/>
              <w:rPr>
                <w:rFonts w:ascii="Calibri" w:hAnsi="Calibri"/>
                <w:noProof/>
                <w:color w:val="auto"/>
                <w:sz w:val="20"/>
                <w:szCs w:val="22"/>
              </w:rPr>
            </w:pPr>
            <w:r>
              <w:rPr>
                <w:rFonts w:ascii="Calibri" w:hAnsi="Calibri"/>
                <w:noProof/>
                <w:color w:val="auto"/>
                <w:sz w:val="20"/>
                <w:szCs w:val="22"/>
              </w:rPr>
              <w:t>Annual</w:t>
            </w:r>
          </w:p>
        </w:tc>
        <w:tc>
          <w:tcPr>
            <w:tcW w:w="1710" w:type="dxa"/>
            <w:shd w:val="clear" w:color="auto" w:fill="F7F7F7"/>
          </w:tcPr>
          <w:p w14:paraId="12E0E8F9" w14:textId="77777777" w:rsidR="00453F54" w:rsidRPr="009933EB" w:rsidRDefault="00453F54" w:rsidP="00F65FDF">
            <w:pPr>
              <w:keepNext/>
              <w:rPr>
                <w:rFonts w:ascii="Calibri" w:hAnsi="Calibri"/>
                <w:noProof/>
                <w:color w:val="auto"/>
                <w:sz w:val="20"/>
                <w:szCs w:val="22"/>
              </w:rPr>
            </w:pPr>
            <w:r>
              <w:rPr>
                <w:rFonts w:ascii="Calibri" w:hAnsi="Calibri"/>
                <w:noProof/>
                <w:color w:val="auto"/>
                <w:sz w:val="20"/>
                <w:szCs w:val="22"/>
              </w:rPr>
              <w:t>BT audited financial statements</w:t>
            </w:r>
          </w:p>
        </w:tc>
        <w:tc>
          <w:tcPr>
            <w:tcW w:w="2070" w:type="dxa"/>
            <w:shd w:val="clear" w:color="auto" w:fill="F7F7F7"/>
          </w:tcPr>
          <w:p w14:paraId="59564317" w14:textId="77777777" w:rsidR="00453F54" w:rsidRPr="009933EB" w:rsidRDefault="00453F54" w:rsidP="00F65FDF">
            <w:pPr>
              <w:keepNext/>
              <w:ind w:right="-20"/>
              <w:rPr>
                <w:rFonts w:ascii="Calibri" w:hAnsi="Calibri"/>
                <w:noProof/>
                <w:color w:val="auto"/>
                <w:sz w:val="20"/>
                <w:szCs w:val="22"/>
              </w:rPr>
            </w:pPr>
            <w:r>
              <w:rPr>
                <w:rFonts w:ascii="Calibri" w:hAnsi="Calibri"/>
                <w:noProof/>
                <w:color w:val="auto"/>
                <w:sz w:val="20"/>
                <w:szCs w:val="22"/>
              </w:rPr>
              <w:t>BT audited financial statements</w:t>
            </w:r>
          </w:p>
        </w:tc>
        <w:tc>
          <w:tcPr>
            <w:tcW w:w="2160" w:type="dxa"/>
            <w:shd w:val="clear" w:color="auto" w:fill="F7F7F7"/>
          </w:tcPr>
          <w:p w14:paraId="5D58BC42" w14:textId="639D28EA" w:rsidR="00453F54" w:rsidRPr="009933EB" w:rsidRDefault="00453F54" w:rsidP="00F65FDF">
            <w:pPr>
              <w:keepNext/>
              <w:ind w:right="-418"/>
              <w:rPr>
                <w:rFonts w:ascii="Calibri" w:hAnsi="Calibri"/>
                <w:noProof/>
                <w:color w:val="auto"/>
                <w:sz w:val="20"/>
                <w:szCs w:val="22"/>
              </w:rPr>
            </w:pPr>
            <w:r>
              <w:rPr>
                <w:rFonts w:ascii="Calibri" w:hAnsi="Calibri"/>
                <w:noProof/>
                <w:color w:val="auto"/>
                <w:sz w:val="20"/>
                <w:szCs w:val="22"/>
              </w:rPr>
              <w:t>BT</w:t>
            </w:r>
          </w:p>
        </w:tc>
      </w:tr>
      <w:tr w:rsidR="00453F54" w:rsidRPr="009933EB" w14:paraId="26B803C9" w14:textId="77777777" w:rsidTr="00F65FDF">
        <w:trPr>
          <w:trHeight w:val="432"/>
        </w:trPr>
        <w:tc>
          <w:tcPr>
            <w:tcW w:w="4050" w:type="dxa"/>
            <w:shd w:val="clear" w:color="auto" w:fill="F7F7F7"/>
          </w:tcPr>
          <w:p w14:paraId="6436859F" w14:textId="77777777" w:rsidR="00453F54" w:rsidRPr="009933EB" w:rsidRDefault="00453F54" w:rsidP="00F65FDF">
            <w:pPr>
              <w:keepNext/>
              <w:ind w:right="40"/>
              <w:rPr>
                <w:rFonts w:ascii="Calibri" w:hAnsi="Calibri"/>
                <w:b/>
                <w:noProof/>
                <w:color w:val="auto"/>
                <w:sz w:val="20"/>
                <w:szCs w:val="22"/>
              </w:rPr>
            </w:pPr>
            <w:r>
              <w:rPr>
                <w:rFonts w:asciiTheme="minorHAnsi" w:hAnsiTheme="minorHAnsi" w:cstheme="minorHAnsi"/>
                <w:color w:val="auto"/>
                <w:sz w:val="20"/>
                <w:szCs w:val="20"/>
              </w:rPr>
              <w:t>D</w:t>
            </w:r>
            <w:r w:rsidRPr="009933EB">
              <w:rPr>
                <w:rFonts w:asciiTheme="minorHAnsi" w:hAnsiTheme="minorHAnsi" w:cstheme="minorHAnsi"/>
                <w:color w:val="auto"/>
                <w:sz w:val="20"/>
                <w:szCs w:val="20"/>
              </w:rPr>
              <w:t>ebt service coverage ratio</w:t>
            </w:r>
          </w:p>
        </w:tc>
        <w:tc>
          <w:tcPr>
            <w:tcW w:w="3690" w:type="dxa"/>
            <w:shd w:val="clear" w:color="auto" w:fill="F7F7F7"/>
          </w:tcPr>
          <w:p w14:paraId="1AB11276" w14:textId="77777777" w:rsidR="00453F54" w:rsidRPr="009933EB" w:rsidRDefault="00453F54" w:rsidP="00F65FDF">
            <w:pPr>
              <w:keepNext/>
              <w:rPr>
                <w:rFonts w:ascii="Calibri" w:hAnsi="Calibri"/>
                <w:noProof/>
                <w:color w:val="auto"/>
                <w:sz w:val="20"/>
                <w:szCs w:val="22"/>
              </w:rPr>
            </w:pPr>
            <w:r w:rsidRPr="009933EB">
              <w:rPr>
                <w:rFonts w:ascii="Calibri" w:hAnsi="Calibri"/>
                <w:noProof/>
                <w:color w:val="auto"/>
                <w:sz w:val="20"/>
                <w:szCs w:val="22"/>
              </w:rPr>
              <w:t>This indicator measures the progress with improvement of BT, transmission</w:t>
            </w:r>
            <w:r>
              <w:rPr>
                <w:rFonts w:ascii="Calibri" w:hAnsi="Calibri"/>
                <w:noProof/>
                <w:color w:val="auto"/>
                <w:sz w:val="20"/>
                <w:szCs w:val="22"/>
              </w:rPr>
              <w:t>,</w:t>
            </w:r>
            <w:r w:rsidRPr="009933EB">
              <w:rPr>
                <w:rFonts w:ascii="Calibri" w:hAnsi="Calibri"/>
                <w:noProof/>
                <w:color w:val="auto"/>
                <w:sz w:val="20"/>
                <w:szCs w:val="22"/>
              </w:rPr>
              <w:t xml:space="preserve"> and generation compan</w:t>
            </w:r>
            <w:r>
              <w:rPr>
                <w:rFonts w:ascii="Calibri" w:hAnsi="Calibri"/>
                <w:noProof/>
                <w:color w:val="auto"/>
                <w:sz w:val="20"/>
                <w:szCs w:val="22"/>
              </w:rPr>
              <w:t>ies’</w:t>
            </w:r>
            <w:r w:rsidRPr="009933EB">
              <w:rPr>
                <w:rFonts w:ascii="Calibri" w:hAnsi="Calibri"/>
                <w:noProof/>
                <w:color w:val="auto"/>
                <w:sz w:val="20"/>
                <w:szCs w:val="22"/>
              </w:rPr>
              <w:t xml:space="preserve"> ability to service the debt.</w:t>
            </w:r>
            <w:r>
              <w:rPr>
                <w:rFonts w:ascii="Calibri" w:hAnsi="Calibri"/>
                <w:noProof/>
                <w:color w:val="auto"/>
                <w:sz w:val="20"/>
                <w:szCs w:val="22"/>
              </w:rPr>
              <w:t xml:space="preserve"> It will be computed as the ratio of earnings before interest, depreciation, and amortization (EBIDA) and total short and long-term debt service requirements</w:t>
            </w:r>
          </w:p>
        </w:tc>
        <w:tc>
          <w:tcPr>
            <w:tcW w:w="1260" w:type="dxa"/>
            <w:shd w:val="clear" w:color="auto" w:fill="F7F7F7"/>
          </w:tcPr>
          <w:p w14:paraId="161DE959" w14:textId="77777777" w:rsidR="00453F54" w:rsidRPr="009933EB" w:rsidRDefault="00453F54" w:rsidP="00F65FDF">
            <w:pPr>
              <w:keepNext/>
              <w:ind w:right="-418"/>
              <w:rPr>
                <w:rFonts w:ascii="Calibri" w:hAnsi="Calibri"/>
                <w:noProof/>
                <w:color w:val="auto"/>
                <w:sz w:val="20"/>
                <w:szCs w:val="22"/>
              </w:rPr>
            </w:pPr>
            <w:r>
              <w:rPr>
                <w:rFonts w:ascii="Calibri" w:hAnsi="Calibri"/>
                <w:noProof/>
                <w:color w:val="auto"/>
                <w:sz w:val="20"/>
                <w:szCs w:val="22"/>
              </w:rPr>
              <w:t>Annual</w:t>
            </w:r>
          </w:p>
        </w:tc>
        <w:tc>
          <w:tcPr>
            <w:tcW w:w="1710" w:type="dxa"/>
            <w:shd w:val="clear" w:color="auto" w:fill="F7F7F7"/>
          </w:tcPr>
          <w:p w14:paraId="148DC2D1" w14:textId="77777777" w:rsidR="00453F54" w:rsidRPr="009933EB" w:rsidRDefault="00453F54" w:rsidP="00F65FDF">
            <w:pPr>
              <w:keepNext/>
              <w:rPr>
                <w:rFonts w:ascii="Calibri" w:hAnsi="Calibri"/>
                <w:noProof/>
                <w:color w:val="auto"/>
                <w:sz w:val="20"/>
                <w:szCs w:val="22"/>
              </w:rPr>
            </w:pPr>
            <w:r>
              <w:rPr>
                <w:rFonts w:ascii="Calibri" w:hAnsi="Calibri"/>
                <w:noProof/>
                <w:color w:val="auto"/>
                <w:sz w:val="20"/>
                <w:szCs w:val="22"/>
              </w:rPr>
              <w:t>BT audited financial statements</w:t>
            </w:r>
          </w:p>
        </w:tc>
        <w:tc>
          <w:tcPr>
            <w:tcW w:w="2070" w:type="dxa"/>
            <w:shd w:val="clear" w:color="auto" w:fill="F7F7F7"/>
          </w:tcPr>
          <w:p w14:paraId="1D778A58" w14:textId="77777777" w:rsidR="00453F54" w:rsidRPr="009933EB" w:rsidRDefault="00453F54" w:rsidP="00F65FDF">
            <w:pPr>
              <w:keepNext/>
              <w:ind w:right="-20"/>
              <w:rPr>
                <w:rFonts w:ascii="Calibri" w:hAnsi="Calibri"/>
                <w:noProof/>
                <w:color w:val="auto"/>
                <w:sz w:val="20"/>
                <w:szCs w:val="22"/>
              </w:rPr>
            </w:pPr>
            <w:r>
              <w:rPr>
                <w:rFonts w:ascii="Calibri" w:hAnsi="Calibri"/>
                <w:noProof/>
                <w:color w:val="auto"/>
                <w:sz w:val="20"/>
                <w:szCs w:val="22"/>
              </w:rPr>
              <w:t>BT audited financial statements</w:t>
            </w:r>
          </w:p>
        </w:tc>
        <w:tc>
          <w:tcPr>
            <w:tcW w:w="2160" w:type="dxa"/>
            <w:shd w:val="clear" w:color="auto" w:fill="F7F7F7"/>
          </w:tcPr>
          <w:p w14:paraId="0E031136" w14:textId="77777777" w:rsidR="00453F54" w:rsidRPr="009933EB" w:rsidRDefault="00453F54" w:rsidP="00F65FDF">
            <w:pPr>
              <w:keepNext/>
              <w:ind w:right="-418"/>
              <w:rPr>
                <w:rFonts w:ascii="Calibri" w:hAnsi="Calibri"/>
                <w:noProof/>
                <w:color w:val="auto"/>
                <w:sz w:val="20"/>
                <w:szCs w:val="22"/>
              </w:rPr>
            </w:pPr>
            <w:r>
              <w:rPr>
                <w:rFonts w:ascii="Calibri" w:hAnsi="Calibri"/>
                <w:noProof/>
                <w:color w:val="auto"/>
                <w:sz w:val="20"/>
                <w:szCs w:val="22"/>
              </w:rPr>
              <w:t>BT</w:t>
            </w:r>
          </w:p>
        </w:tc>
      </w:tr>
      <w:tr w:rsidR="00453F54" w:rsidRPr="009933EB" w14:paraId="74C526BF" w14:textId="77777777" w:rsidTr="00F65FDF">
        <w:trPr>
          <w:trHeight w:val="432"/>
        </w:trPr>
        <w:tc>
          <w:tcPr>
            <w:tcW w:w="4050" w:type="dxa"/>
            <w:shd w:val="clear" w:color="auto" w:fill="F7F7F7"/>
          </w:tcPr>
          <w:p w14:paraId="7C75EE36" w14:textId="77777777" w:rsidR="00453F54" w:rsidRDefault="00453F54" w:rsidP="00F65FDF">
            <w:pPr>
              <w:keepNext/>
              <w:ind w:right="40"/>
              <w:rPr>
                <w:rFonts w:asciiTheme="minorHAnsi" w:hAnsiTheme="minorHAnsi" w:cstheme="minorHAnsi"/>
                <w:color w:val="auto"/>
                <w:sz w:val="20"/>
                <w:szCs w:val="20"/>
              </w:rPr>
            </w:pPr>
            <w:r>
              <w:rPr>
                <w:rFonts w:asciiTheme="minorHAnsi" w:hAnsiTheme="minorHAnsi" w:cstheme="minorHAnsi"/>
                <w:color w:val="auto"/>
                <w:sz w:val="20"/>
                <w:szCs w:val="20"/>
              </w:rPr>
              <w:t>Timely debt service payments by BT to MOF</w:t>
            </w:r>
          </w:p>
        </w:tc>
        <w:tc>
          <w:tcPr>
            <w:tcW w:w="3690" w:type="dxa"/>
            <w:shd w:val="clear" w:color="auto" w:fill="F7F7F7"/>
          </w:tcPr>
          <w:p w14:paraId="534096A9" w14:textId="77777777" w:rsidR="00453F54" w:rsidRPr="009933EB" w:rsidRDefault="00453F54" w:rsidP="00F65FDF">
            <w:pPr>
              <w:keepNext/>
              <w:rPr>
                <w:rFonts w:ascii="Calibri" w:hAnsi="Calibri"/>
                <w:noProof/>
                <w:color w:val="auto"/>
                <w:sz w:val="20"/>
                <w:szCs w:val="22"/>
              </w:rPr>
            </w:pPr>
            <w:r w:rsidRPr="009933EB">
              <w:rPr>
                <w:rFonts w:ascii="Calibri" w:hAnsi="Calibri"/>
                <w:noProof/>
                <w:color w:val="auto"/>
                <w:sz w:val="20"/>
                <w:szCs w:val="22"/>
              </w:rPr>
              <w:t>This indicator measures the</w:t>
            </w:r>
            <w:r>
              <w:rPr>
                <w:rFonts w:ascii="Calibri" w:hAnsi="Calibri"/>
                <w:noProof/>
                <w:color w:val="auto"/>
                <w:sz w:val="20"/>
                <w:szCs w:val="22"/>
              </w:rPr>
              <w:t xml:space="preserve"> progress of BT in making timely debt servic costs to MOF under the subsidiary agreements </w:t>
            </w:r>
          </w:p>
        </w:tc>
        <w:tc>
          <w:tcPr>
            <w:tcW w:w="1260" w:type="dxa"/>
            <w:shd w:val="clear" w:color="auto" w:fill="F7F7F7"/>
          </w:tcPr>
          <w:p w14:paraId="6FE0B3C6" w14:textId="77777777" w:rsidR="00453F54" w:rsidRDefault="00453F54" w:rsidP="00F65FDF">
            <w:pPr>
              <w:keepNext/>
              <w:ind w:right="-418"/>
              <w:rPr>
                <w:rFonts w:ascii="Calibri" w:hAnsi="Calibri"/>
                <w:noProof/>
                <w:color w:val="auto"/>
                <w:sz w:val="20"/>
                <w:szCs w:val="22"/>
              </w:rPr>
            </w:pPr>
            <w:r>
              <w:rPr>
                <w:rFonts w:ascii="Calibri" w:hAnsi="Calibri"/>
                <w:noProof/>
                <w:color w:val="auto"/>
                <w:sz w:val="20"/>
                <w:szCs w:val="22"/>
              </w:rPr>
              <w:t>Annual</w:t>
            </w:r>
          </w:p>
        </w:tc>
        <w:tc>
          <w:tcPr>
            <w:tcW w:w="1710" w:type="dxa"/>
            <w:shd w:val="clear" w:color="auto" w:fill="F7F7F7"/>
          </w:tcPr>
          <w:p w14:paraId="1A5D9FBA" w14:textId="77777777" w:rsidR="00453F54" w:rsidRDefault="00453F54" w:rsidP="00F65FDF">
            <w:pPr>
              <w:keepNext/>
              <w:rPr>
                <w:rFonts w:ascii="Calibri" w:hAnsi="Calibri"/>
                <w:noProof/>
                <w:color w:val="auto"/>
                <w:sz w:val="20"/>
                <w:szCs w:val="22"/>
              </w:rPr>
            </w:pPr>
            <w:r>
              <w:rPr>
                <w:rFonts w:ascii="Calibri" w:hAnsi="Calibri"/>
                <w:noProof/>
                <w:color w:val="auto"/>
                <w:sz w:val="20"/>
                <w:szCs w:val="22"/>
              </w:rPr>
              <w:t>BT audited financial statements</w:t>
            </w:r>
          </w:p>
        </w:tc>
        <w:tc>
          <w:tcPr>
            <w:tcW w:w="2070" w:type="dxa"/>
            <w:shd w:val="clear" w:color="auto" w:fill="F7F7F7"/>
          </w:tcPr>
          <w:p w14:paraId="14C57286" w14:textId="77777777" w:rsidR="00453F54" w:rsidRDefault="00453F54" w:rsidP="00F65FDF">
            <w:pPr>
              <w:keepNext/>
              <w:ind w:right="-20"/>
              <w:rPr>
                <w:rFonts w:ascii="Calibri" w:hAnsi="Calibri"/>
                <w:noProof/>
                <w:color w:val="auto"/>
                <w:sz w:val="20"/>
                <w:szCs w:val="22"/>
              </w:rPr>
            </w:pPr>
            <w:r>
              <w:rPr>
                <w:rFonts w:ascii="Calibri" w:hAnsi="Calibri"/>
                <w:noProof/>
                <w:color w:val="auto"/>
                <w:sz w:val="20"/>
                <w:szCs w:val="22"/>
              </w:rPr>
              <w:t>BT audited financial statements</w:t>
            </w:r>
          </w:p>
        </w:tc>
        <w:tc>
          <w:tcPr>
            <w:tcW w:w="2160" w:type="dxa"/>
            <w:shd w:val="clear" w:color="auto" w:fill="F7F7F7"/>
          </w:tcPr>
          <w:p w14:paraId="75C72AE2" w14:textId="77777777" w:rsidR="00453F54" w:rsidRDefault="00453F54" w:rsidP="00F65FDF">
            <w:pPr>
              <w:keepNext/>
              <w:ind w:right="-418"/>
              <w:rPr>
                <w:rFonts w:ascii="Calibri" w:hAnsi="Calibri"/>
                <w:noProof/>
                <w:color w:val="auto"/>
                <w:sz w:val="20"/>
                <w:szCs w:val="22"/>
              </w:rPr>
            </w:pPr>
            <w:r>
              <w:rPr>
                <w:rFonts w:ascii="Calibri" w:hAnsi="Calibri"/>
                <w:noProof/>
                <w:color w:val="auto"/>
                <w:sz w:val="20"/>
                <w:szCs w:val="22"/>
              </w:rPr>
              <w:t>BT</w:t>
            </w:r>
          </w:p>
        </w:tc>
      </w:tr>
      <w:tr w:rsidR="00453F54" w:rsidRPr="00315C03" w14:paraId="511C4A03" w14:textId="77777777" w:rsidTr="00F65FDF">
        <w:trPr>
          <w:trHeight w:val="432"/>
        </w:trPr>
        <w:tc>
          <w:tcPr>
            <w:tcW w:w="4050" w:type="dxa"/>
            <w:shd w:val="clear" w:color="auto" w:fill="F7F7F7"/>
          </w:tcPr>
          <w:p w14:paraId="4A6C56F6" w14:textId="0D99848E" w:rsidR="00453F54" w:rsidRPr="00315C03" w:rsidRDefault="00453F54" w:rsidP="00F65FDF">
            <w:pPr>
              <w:keepNext/>
              <w:ind w:right="40"/>
              <w:rPr>
                <w:rFonts w:asciiTheme="minorHAnsi" w:hAnsiTheme="minorHAnsi" w:cstheme="minorHAnsi"/>
                <w:color w:val="auto"/>
                <w:sz w:val="20"/>
                <w:szCs w:val="20"/>
              </w:rPr>
            </w:pPr>
            <w:r w:rsidRPr="00315C03">
              <w:rPr>
                <w:rFonts w:asciiTheme="minorHAnsi" w:hAnsiTheme="minorHAnsi" w:cstheme="minorHAnsi"/>
                <w:color w:val="auto"/>
                <w:sz w:val="20"/>
                <w:szCs w:val="20"/>
              </w:rPr>
              <w:lastRenderedPageBreak/>
              <w:t xml:space="preserve">Actual expenditures on repair and upgrade of electricity T&amp;D assets compared to the </w:t>
            </w:r>
            <w:r>
              <w:rPr>
                <w:rFonts w:asciiTheme="minorHAnsi" w:hAnsiTheme="minorHAnsi" w:cstheme="minorHAnsi"/>
                <w:color w:val="auto"/>
                <w:sz w:val="20"/>
                <w:szCs w:val="20"/>
              </w:rPr>
              <w:t>plan for 2020-20</w:t>
            </w:r>
            <w:r w:rsidR="005A2521">
              <w:rPr>
                <w:rFonts w:asciiTheme="minorHAnsi" w:hAnsiTheme="minorHAnsi" w:cstheme="minorHAnsi"/>
                <w:color w:val="auto"/>
                <w:sz w:val="20"/>
                <w:szCs w:val="20"/>
              </w:rPr>
              <w:t>31</w:t>
            </w:r>
          </w:p>
        </w:tc>
        <w:tc>
          <w:tcPr>
            <w:tcW w:w="3690" w:type="dxa"/>
            <w:shd w:val="clear" w:color="auto" w:fill="F7F7F7"/>
          </w:tcPr>
          <w:p w14:paraId="3950F2A9" w14:textId="77777777" w:rsidR="00453F54" w:rsidRPr="00315C03" w:rsidRDefault="00453F54" w:rsidP="00F65FDF">
            <w:pPr>
              <w:keepNext/>
              <w:rPr>
                <w:rFonts w:ascii="Calibri" w:hAnsi="Calibri"/>
                <w:noProof/>
                <w:color w:val="auto"/>
                <w:sz w:val="20"/>
                <w:szCs w:val="20"/>
              </w:rPr>
            </w:pPr>
            <w:r w:rsidRPr="00315C03">
              <w:rPr>
                <w:rFonts w:ascii="Calibri" w:hAnsi="Calibri"/>
                <w:noProof/>
                <w:color w:val="auto"/>
                <w:sz w:val="20"/>
                <w:szCs w:val="20"/>
              </w:rPr>
              <w:t>This indicat</w:t>
            </w:r>
            <w:r>
              <w:rPr>
                <w:rFonts w:ascii="Calibri" w:hAnsi="Calibri"/>
                <w:noProof/>
                <w:color w:val="auto"/>
                <w:sz w:val="20"/>
                <w:szCs w:val="20"/>
              </w:rPr>
              <w:t>or will measure the progress with implementation of 6-year plan for repair and upgrade of electricity T&amp;D assets. It will be measured by comparing the actual expenditures with planned expenditures at the fixed exchange rate as of Dec. 31, 2018</w:t>
            </w:r>
          </w:p>
        </w:tc>
        <w:tc>
          <w:tcPr>
            <w:tcW w:w="1260" w:type="dxa"/>
            <w:shd w:val="clear" w:color="auto" w:fill="F7F7F7"/>
          </w:tcPr>
          <w:p w14:paraId="717A0852" w14:textId="77777777" w:rsidR="00453F54" w:rsidRPr="00315C03" w:rsidRDefault="00453F54" w:rsidP="00F65FDF">
            <w:pPr>
              <w:keepNext/>
              <w:ind w:right="-418"/>
              <w:rPr>
                <w:rFonts w:ascii="Calibri" w:hAnsi="Calibri"/>
                <w:noProof/>
                <w:color w:val="auto"/>
                <w:sz w:val="20"/>
                <w:szCs w:val="20"/>
              </w:rPr>
            </w:pPr>
            <w:r>
              <w:rPr>
                <w:rFonts w:ascii="Calibri" w:hAnsi="Calibri"/>
                <w:noProof/>
                <w:color w:val="auto"/>
                <w:sz w:val="20"/>
                <w:szCs w:val="20"/>
              </w:rPr>
              <w:t>Annual</w:t>
            </w:r>
          </w:p>
        </w:tc>
        <w:tc>
          <w:tcPr>
            <w:tcW w:w="1710" w:type="dxa"/>
            <w:shd w:val="clear" w:color="auto" w:fill="F7F7F7"/>
          </w:tcPr>
          <w:p w14:paraId="719E2434" w14:textId="229ADF3A" w:rsidR="00453F54" w:rsidRPr="00315C03" w:rsidRDefault="005A2521" w:rsidP="00F65FDF">
            <w:pPr>
              <w:keepNext/>
              <w:rPr>
                <w:rFonts w:ascii="Calibri" w:hAnsi="Calibri"/>
                <w:noProof/>
                <w:color w:val="auto"/>
                <w:sz w:val="20"/>
                <w:szCs w:val="20"/>
              </w:rPr>
            </w:pPr>
            <w:r>
              <w:rPr>
                <w:rFonts w:ascii="Calibri" w:hAnsi="Calibri"/>
                <w:noProof/>
                <w:color w:val="auto"/>
                <w:sz w:val="20"/>
                <w:szCs w:val="20"/>
              </w:rPr>
              <w:t>SIB and STB</w:t>
            </w:r>
            <w:r w:rsidR="00453F54">
              <w:rPr>
                <w:rFonts w:ascii="Calibri" w:hAnsi="Calibri"/>
                <w:noProof/>
                <w:color w:val="auto"/>
                <w:sz w:val="20"/>
                <w:szCs w:val="20"/>
              </w:rPr>
              <w:t xml:space="preserve"> report</w:t>
            </w:r>
            <w:r>
              <w:rPr>
                <w:rFonts w:ascii="Calibri" w:hAnsi="Calibri"/>
                <w:noProof/>
                <w:color w:val="auto"/>
                <w:sz w:val="20"/>
                <w:szCs w:val="20"/>
              </w:rPr>
              <w:t>s</w:t>
            </w:r>
            <w:r w:rsidR="00453F54">
              <w:rPr>
                <w:rFonts w:ascii="Calibri" w:hAnsi="Calibri"/>
                <w:noProof/>
                <w:color w:val="auto"/>
                <w:sz w:val="20"/>
                <w:szCs w:val="20"/>
              </w:rPr>
              <w:t xml:space="preserve"> on expenditures under rehabilitation and upgrade program; BT audited annual financial statements</w:t>
            </w:r>
          </w:p>
        </w:tc>
        <w:tc>
          <w:tcPr>
            <w:tcW w:w="2070" w:type="dxa"/>
            <w:shd w:val="clear" w:color="auto" w:fill="F7F7F7"/>
          </w:tcPr>
          <w:p w14:paraId="5ADFC6D1" w14:textId="5C7B76CA" w:rsidR="00453F54" w:rsidRPr="00315C03" w:rsidRDefault="005A2521" w:rsidP="00F65FDF">
            <w:pPr>
              <w:keepNext/>
              <w:ind w:right="-20"/>
              <w:rPr>
                <w:rFonts w:ascii="Calibri" w:hAnsi="Calibri"/>
                <w:noProof/>
                <w:color w:val="auto"/>
                <w:sz w:val="20"/>
                <w:szCs w:val="20"/>
              </w:rPr>
            </w:pPr>
            <w:r>
              <w:rPr>
                <w:rFonts w:ascii="Calibri" w:hAnsi="Calibri"/>
                <w:noProof/>
                <w:color w:val="auto"/>
                <w:sz w:val="20"/>
                <w:szCs w:val="20"/>
              </w:rPr>
              <w:t>SIB and STB</w:t>
            </w:r>
            <w:r w:rsidR="00453F54">
              <w:rPr>
                <w:rFonts w:ascii="Calibri" w:hAnsi="Calibri"/>
                <w:noProof/>
                <w:color w:val="auto"/>
                <w:sz w:val="20"/>
                <w:szCs w:val="20"/>
              </w:rPr>
              <w:t xml:space="preserve"> report</w:t>
            </w:r>
            <w:r>
              <w:rPr>
                <w:rFonts w:ascii="Calibri" w:hAnsi="Calibri"/>
                <w:noProof/>
                <w:color w:val="auto"/>
                <w:sz w:val="20"/>
                <w:szCs w:val="20"/>
              </w:rPr>
              <w:t>s</w:t>
            </w:r>
            <w:r w:rsidR="00453F54">
              <w:rPr>
                <w:rFonts w:ascii="Calibri" w:hAnsi="Calibri"/>
                <w:noProof/>
                <w:color w:val="auto"/>
                <w:sz w:val="20"/>
                <w:szCs w:val="20"/>
              </w:rPr>
              <w:t xml:space="preserve"> on expenditures under rehabilitation and upgrade program; </w:t>
            </w:r>
            <w:r>
              <w:rPr>
                <w:rFonts w:ascii="Calibri" w:hAnsi="Calibri"/>
                <w:noProof/>
                <w:color w:val="auto"/>
                <w:sz w:val="20"/>
                <w:szCs w:val="20"/>
              </w:rPr>
              <w:t xml:space="preserve">SIB and STB </w:t>
            </w:r>
            <w:r w:rsidR="00453F54">
              <w:rPr>
                <w:rFonts w:ascii="Calibri" w:hAnsi="Calibri"/>
                <w:noProof/>
                <w:color w:val="auto"/>
                <w:sz w:val="20"/>
                <w:szCs w:val="20"/>
              </w:rPr>
              <w:t>audited annual financial statements</w:t>
            </w:r>
          </w:p>
        </w:tc>
        <w:tc>
          <w:tcPr>
            <w:tcW w:w="2160" w:type="dxa"/>
            <w:shd w:val="clear" w:color="auto" w:fill="F7F7F7"/>
          </w:tcPr>
          <w:p w14:paraId="55DB175E" w14:textId="77777777" w:rsidR="00453F54" w:rsidRPr="00315C03" w:rsidRDefault="00453F54" w:rsidP="00F65FDF">
            <w:pPr>
              <w:keepNext/>
              <w:ind w:right="-418"/>
              <w:rPr>
                <w:rFonts w:ascii="Calibri" w:hAnsi="Calibri"/>
                <w:noProof/>
                <w:color w:val="auto"/>
                <w:sz w:val="20"/>
                <w:szCs w:val="20"/>
              </w:rPr>
            </w:pPr>
            <w:r>
              <w:rPr>
                <w:rFonts w:ascii="Calibri" w:hAnsi="Calibri"/>
                <w:noProof/>
                <w:color w:val="auto"/>
                <w:sz w:val="20"/>
                <w:szCs w:val="20"/>
              </w:rPr>
              <w:t>BT</w:t>
            </w:r>
          </w:p>
        </w:tc>
      </w:tr>
      <w:tr w:rsidR="00453F54" w:rsidRPr="00315C03" w14:paraId="701D7F07" w14:textId="77777777" w:rsidTr="00F65FDF">
        <w:trPr>
          <w:trHeight w:val="432"/>
        </w:trPr>
        <w:tc>
          <w:tcPr>
            <w:tcW w:w="4050" w:type="dxa"/>
            <w:shd w:val="clear" w:color="auto" w:fill="F7F7F7"/>
          </w:tcPr>
          <w:p w14:paraId="45503F43" w14:textId="77777777" w:rsidR="00453F54" w:rsidRDefault="00453F54" w:rsidP="00F65FDF">
            <w:pPr>
              <w:keepNext/>
              <w:ind w:right="40"/>
              <w:rPr>
                <w:rFonts w:asciiTheme="minorHAnsi" w:eastAsia="Times New Roman" w:hAnsiTheme="minorHAnsi" w:cstheme="minorHAnsi"/>
                <w:color w:val="auto"/>
                <w:sz w:val="20"/>
                <w:szCs w:val="20"/>
              </w:rPr>
            </w:pPr>
            <w:r w:rsidRPr="0052259D">
              <w:rPr>
                <w:rFonts w:asciiTheme="minorHAnsi" w:eastAsia="Times New Roman" w:hAnsiTheme="minorHAnsi" w:cstheme="minorHAnsi"/>
                <w:sz w:val="20"/>
                <w:szCs w:val="18"/>
              </w:rPr>
              <w:t>Update and adoption of GEP and preparation and update of T&amp;D network development plans</w:t>
            </w:r>
          </w:p>
        </w:tc>
        <w:tc>
          <w:tcPr>
            <w:tcW w:w="3690" w:type="dxa"/>
            <w:shd w:val="clear" w:color="auto" w:fill="F7F7F7"/>
          </w:tcPr>
          <w:p w14:paraId="3297D5F1" w14:textId="77777777" w:rsidR="00453F54" w:rsidRDefault="00453F54" w:rsidP="00F65FDF">
            <w:pPr>
              <w:keepNext/>
              <w:rPr>
                <w:rFonts w:ascii="Calibri" w:hAnsi="Calibri"/>
                <w:noProof/>
                <w:color w:val="auto"/>
                <w:sz w:val="20"/>
                <w:szCs w:val="20"/>
              </w:rPr>
            </w:pPr>
            <w:r>
              <w:rPr>
                <w:rFonts w:ascii="Calibri" w:hAnsi="Calibri"/>
                <w:noProof/>
                <w:color w:val="auto"/>
                <w:sz w:val="20"/>
                <w:szCs w:val="20"/>
              </w:rPr>
              <w:t>This indicator will measure the progress with preparation of the investment plans for power generation and T&amp;D and their adoption</w:t>
            </w:r>
          </w:p>
        </w:tc>
        <w:tc>
          <w:tcPr>
            <w:tcW w:w="1260" w:type="dxa"/>
            <w:shd w:val="clear" w:color="auto" w:fill="F7F7F7"/>
          </w:tcPr>
          <w:p w14:paraId="05F747E9" w14:textId="77777777" w:rsidR="00453F54" w:rsidRDefault="00453F54" w:rsidP="00F65FDF">
            <w:pPr>
              <w:keepNext/>
              <w:ind w:right="-418"/>
              <w:rPr>
                <w:rFonts w:ascii="Calibri" w:hAnsi="Calibri"/>
                <w:noProof/>
                <w:color w:val="auto"/>
                <w:sz w:val="20"/>
                <w:szCs w:val="20"/>
              </w:rPr>
            </w:pPr>
            <w:r>
              <w:rPr>
                <w:rFonts w:ascii="Calibri" w:hAnsi="Calibri"/>
                <w:noProof/>
                <w:color w:val="auto"/>
                <w:sz w:val="20"/>
                <w:szCs w:val="20"/>
              </w:rPr>
              <w:t>Annual</w:t>
            </w:r>
          </w:p>
        </w:tc>
        <w:tc>
          <w:tcPr>
            <w:tcW w:w="1710" w:type="dxa"/>
            <w:shd w:val="clear" w:color="auto" w:fill="F7F7F7"/>
          </w:tcPr>
          <w:p w14:paraId="4A708472" w14:textId="77777777" w:rsidR="00D33C91" w:rsidRDefault="00453F54" w:rsidP="00F65FDF">
            <w:pPr>
              <w:keepNext/>
              <w:rPr>
                <w:rFonts w:ascii="Calibri" w:hAnsi="Calibri"/>
                <w:noProof/>
                <w:color w:val="auto"/>
                <w:sz w:val="20"/>
                <w:szCs w:val="20"/>
              </w:rPr>
            </w:pPr>
            <w:r>
              <w:rPr>
                <w:rFonts w:ascii="Calibri" w:hAnsi="Calibri"/>
                <w:noProof/>
                <w:color w:val="auto"/>
                <w:sz w:val="20"/>
                <w:szCs w:val="20"/>
              </w:rPr>
              <w:t>Approved plans with relevant decisions/decree</w:t>
            </w:r>
          </w:p>
          <w:p w14:paraId="7A8E6273" w14:textId="3AF7AB39" w:rsidR="00453F54" w:rsidRDefault="00453F54" w:rsidP="00F65FDF">
            <w:pPr>
              <w:keepNext/>
              <w:rPr>
                <w:rFonts w:ascii="Calibri" w:hAnsi="Calibri"/>
                <w:noProof/>
                <w:color w:val="auto"/>
                <w:sz w:val="20"/>
                <w:szCs w:val="20"/>
              </w:rPr>
            </w:pPr>
            <w:r>
              <w:rPr>
                <w:rFonts w:ascii="Calibri" w:hAnsi="Calibri"/>
                <w:noProof/>
                <w:color w:val="auto"/>
                <w:sz w:val="20"/>
                <w:szCs w:val="20"/>
              </w:rPr>
              <w:t>s and IVA report</w:t>
            </w:r>
          </w:p>
        </w:tc>
        <w:tc>
          <w:tcPr>
            <w:tcW w:w="2070" w:type="dxa"/>
            <w:shd w:val="clear" w:color="auto" w:fill="F7F7F7"/>
          </w:tcPr>
          <w:p w14:paraId="4363C772" w14:textId="77777777" w:rsidR="00453F54" w:rsidRDefault="00453F54" w:rsidP="00F65FDF">
            <w:pPr>
              <w:keepNext/>
              <w:ind w:right="-20"/>
              <w:rPr>
                <w:rFonts w:ascii="Calibri" w:hAnsi="Calibri"/>
                <w:noProof/>
                <w:color w:val="auto"/>
                <w:sz w:val="20"/>
                <w:szCs w:val="20"/>
              </w:rPr>
            </w:pPr>
            <w:r>
              <w:rPr>
                <w:rFonts w:ascii="Calibri" w:hAnsi="Calibri"/>
                <w:noProof/>
                <w:color w:val="auto"/>
                <w:sz w:val="20"/>
                <w:szCs w:val="20"/>
              </w:rPr>
              <w:t>Approved plans with relevant decisions/decrees and IVA report</w:t>
            </w:r>
          </w:p>
        </w:tc>
        <w:tc>
          <w:tcPr>
            <w:tcW w:w="2160" w:type="dxa"/>
            <w:shd w:val="clear" w:color="auto" w:fill="F7F7F7"/>
          </w:tcPr>
          <w:p w14:paraId="65E72905" w14:textId="7D765103" w:rsidR="00453F54" w:rsidRDefault="00453F54" w:rsidP="00F65FDF">
            <w:pPr>
              <w:keepNext/>
              <w:ind w:right="-418"/>
              <w:rPr>
                <w:rFonts w:ascii="Calibri" w:hAnsi="Calibri"/>
                <w:noProof/>
                <w:color w:val="auto"/>
                <w:sz w:val="20"/>
                <w:szCs w:val="20"/>
              </w:rPr>
            </w:pPr>
            <w:r>
              <w:rPr>
                <w:rFonts w:ascii="Calibri" w:hAnsi="Calibri"/>
                <w:noProof/>
                <w:color w:val="auto"/>
                <w:sz w:val="20"/>
                <w:szCs w:val="20"/>
              </w:rPr>
              <w:t xml:space="preserve">BT </w:t>
            </w:r>
          </w:p>
        </w:tc>
      </w:tr>
      <w:tr w:rsidR="00453F54" w:rsidRPr="00315C03" w14:paraId="22260CC9" w14:textId="77777777" w:rsidTr="00F65FDF">
        <w:trPr>
          <w:trHeight w:val="432"/>
        </w:trPr>
        <w:tc>
          <w:tcPr>
            <w:tcW w:w="4050" w:type="dxa"/>
            <w:shd w:val="clear" w:color="auto" w:fill="F7F7F7"/>
          </w:tcPr>
          <w:p w14:paraId="369F240F" w14:textId="6801772B" w:rsidR="00453F54" w:rsidRPr="00315C03" w:rsidRDefault="00453F54" w:rsidP="00F65FDF">
            <w:pPr>
              <w:keepNext/>
              <w:ind w:right="40"/>
              <w:rPr>
                <w:rFonts w:asciiTheme="minorHAnsi" w:hAnsiTheme="minorHAnsi" w:cstheme="minorHAnsi"/>
                <w:color w:val="auto"/>
                <w:sz w:val="20"/>
                <w:szCs w:val="20"/>
              </w:rPr>
            </w:pPr>
            <w:r>
              <w:rPr>
                <w:rFonts w:asciiTheme="minorHAnsi" w:eastAsia="Times New Roman" w:hAnsiTheme="minorHAnsi" w:cstheme="minorHAnsi"/>
                <w:color w:val="auto"/>
                <w:sz w:val="20"/>
                <w:szCs w:val="20"/>
              </w:rPr>
              <w:t>BT</w:t>
            </w:r>
            <w:r w:rsidR="005A2521">
              <w:rPr>
                <w:rFonts w:asciiTheme="minorHAnsi" w:eastAsia="Times New Roman" w:hAnsiTheme="minorHAnsi" w:cstheme="minorHAnsi"/>
                <w:color w:val="auto"/>
                <w:sz w:val="20"/>
                <w:szCs w:val="20"/>
              </w:rPr>
              <w:t xml:space="preserve">, SIB, and STB </w:t>
            </w:r>
            <w:r w:rsidRPr="00315C03">
              <w:rPr>
                <w:rFonts w:asciiTheme="minorHAnsi" w:eastAsia="Times New Roman" w:hAnsiTheme="minorHAnsi" w:cstheme="minorHAnsi"/>
                <w:color w:val="auto"/>
                <w:sz w:val="20"/>
                <w:szCs w:val="20"/>
              </w:rPr>
              <w:t>have functional Supervisory Boards and the specialized committees</w:t>
            </w:r>
          </w:p>
        </w:tc>
        <w:tc>
          <w:tcPr>
            <w:tcW w:w="3690" w:type="dxa"/>
            <w:shd w:val="clear" w:color="auto" w:fill="F7F7F7"/>
          </w:tcPr>
          <w:p w14:paraId="12371850" w14:textId="77777777" w:rsidR="00453F54" w:rsidRPr="00315C03" w:rsidRDefault="00453F54" w:rsidP="00F65FDF">
            <w:pPr>
              <w:keepNext/>
              <w:rPr>
                <w:rFonts w:ascii="Calibri" w:hAnsi="Calibri"/>
                <w:noProof/>
                <w:color w:val="auto"/>
                <w:sz w:val="20"/>
                <w:szCs w:val="20"/>
              </w:rPr>
            </w:pPr>
            <w:r>
              <w:rPr>
                <w:rFonts w:ascii="Calibri" w:hAnsi="Calibri"/>
                <w:noProof/>
                <w:color w:val="auto"/>
                <w:sz w:val="20"/>
                <w:szCs w:val="20"/>
              </w:rPr>
              <w:t>This indicator will measure the progress with implementation of good corporate governance principles at generation, transmission, and distribution levels. It will be measured based on the outputs from IVA</w:t>
            </w:r>
          </w:p>
        </w:tc>
        <w:tc>
          <w:tcPr>
            <w:tcW w:w="1260" w:type="dxa"/>
            <w:shd w:val="clear" w:color="auto" w:fill="F7F7F7"/>
          </w:tcPr>
          <w:p w14:paraId="66AC65C4" w14:textId="77777777" w:rsidR="00453F54" w:rsidRPr="00315C03" w:rsidRDefault="00453F54" w:rsidP="00F65FDF">
            <w:pPr>
              <w:keepNext/>
              <w:ind w:right="-418"/>
              <w:rPr>
                <w:rFonts w:ascii="Calibri" w:hAnsi="Calibri"/>
                <w:noProof/>
                <w:color w:val="auto"/>
                <w:sz w:val="20"/>
                <w:szCs w:val="20"/>
              </w:rPr>
            </w:pPr>
            <w:r>
              <w:rPr>
                <w:rFonts w:ascii="Calibri" w:hAnsi="Calibri"/>
                <w:noProof/>
                <w:color w:val="auto"/>
                <w:sz w:val="20"/>
                <w:szCs w:val="20"/>
              </w:rPr>
              <w:t>Annual</w:t>
            </w:r>
          </w:p>
        </w:tc>
        <w:tc>
          <w:tcPr>
            <w:tcW w:w="1710" w:type="dxa"/>
            <w:shd w:val="clear" w:color="auto" w:fill="F7F7F7"/>
          </w:tcPr>
          <w:p w14:paraId="7EC8EC96" w14:textId="77777777" w:rsidR="00453F54" w:rsidRPr="00315C03" w:rsidRDefault="00453F54" w:rsidP="00F65FDF">
            <w:pPr>
              <w:keepNext/>
              <w:rPr>
                <w:rFonts w:ascii="Calibri" w:hAnsi="Calibri"/>
                <w:noProof/>
                <w:color w:val="auto"/>
                <w:sz w:val="20"/>
                <w:szCs w:val="20"/>
              </w:rPr>
            </w:pPr>
            <w:r>
              <w:rPr>
                <w:rFonts w:ascii="Calibri" w:hAnsi="Calibri"/>
                <w:noProof/>
                <w:color w:val="auto"/>
                <w:sz w:val="20"/>
                <w:szCs w:val="20"/>
              </w:rPr>
              <w:t>IVA report</w:t>
            </w:r>
          </w:p>
        </w:tc>
        <w:tc>
          <w:tcPr>
            <w:tcW w:w="2070" w:type="dxa"/>
            <w:shd w:val="clear" w:color="auto" w:fill="F7F7F7"/>
          </w:tcPr>
          <w:p w14:paraId="7D293544" w14:textId="77777777" w:rsidR="00453F54" w:rsidRPr="00315C03" w:rsidRDefault="00453F54" w:rsidP="00F65FDF">
            <w:pPr>
              <w:keepNext/>
              <w:ind w:right="-20"/>
              <w:rPr>
                <w:rFonts w:ascii="Calibri" w:hAnsi="Calibri"/>
                <w:noProof/>
                <w:color w:val="auto"/>
                <w:sz w:val="20"/>
                <w:szCs w:val="20"/>
              </w:rPr>
            </w:pPr>
            <w:r>
              <w:rPr>
                <w:rFonts w:ascii="Calibri" w:hAnsi="Calibri"/>
                <w:noProof/>
                <w:color w:val="auto"/>
                <w:sz w:val="20"/>
                <w:szCs w:val="20"/>
              </w:rPr>
              <w:t>IVA report</w:t>
            </w:r>
          </w:p>
        </w:tc>
        <w:tc>
          <w:tcPr>
            <w:tcW w:w="2160" w:type="dxa"/>
            <w:shd w:val="clear" w:color="auto" w:fill="F7F7F7"/>
          </w:tcPr>
          <w:p w14:paraId="30ED7ECB" w14:textId="77777777" w:rsidR="00453F54" w:rsidRPr="00315C03" w:rsidRDefault="00453F54" w:rsidP="00F65FDF">
            <w:pPr>
              <w:keepNext/>
              <w:ind w:right="-418"/>
              <w:rPr>
                <w:rFonts w:ascii="Calibri" w:hAnsi="Calibri"/>
                <w:noProof/>
                <w:color w:val="auto"/>
                <w:sz w:val="20"/>
                <w:szCs w:val="20"/>
              </w:rPr>
            </w:pPr>
            <w:r>
              <w:rPr>
                <w:rFonts w:ascii="Calibri" w:hAnsi="Calibri"/>
                <w:noProof/>
                <w:color w:val="auto"/>
                <w:sz w:val="20"/>
                <w:szCs w:val="20"/>
              </w:rPr>
              <w:t>IVA</w:t>
            </w:r>
          </w:p>
        </w:tc>
      </w:tr>
      <w:tr w:rsidR="00453F54" w:rsidRPr="00315C03" w14:paraId="669D397A" w14:textId="77777777" w:rsidTr="00F65FDF">
        <w:trPr>
          <w:trHeight w:val="432"/>
        </w:trPr>
        <w:tc>
          <w:tcPr>
            <w:tcW w:w="4050" w:type="dxa"/>
            <w:shd w:val="clear" w:color="auto" w:fill="F7F7F7"/>
          </w:tcPr>
          <w:p w14:paraId="28C54919" w14:textId="43DB5679" w:rsidR="00453F54" w:rsidRPr="00315C03" w:rsidRDefault="00453F54" w:rsidP="00F65FDF">
            <w:pPr>
              <w:keepNext/>
              <w:ind w:right="40"/>
              <w:rPr>
                <w:rFonts w:asciiTheme="minorHAnsi" w:hAnsiTheme="minorHAnsi" w:cstheme="minorHAnsi"/>
                <w:color w:val="auto"/>
                <w:sz w:val="20"/>
                <w:szCs w:val="20"/>
              </w:rPr>
            </w:pPr>
            <w:r>
              <w:rPr>
                <w:rFonts w:asciiTheme="minorHAnsi" w:eastAsia="Times New Roman" w:hAnsiTheme="minorHAnsi" w:cstheme="minorHAnsi"/>
                <w:color w:val="auto"/>
                <w:sz w:val="20"/>
                <w:szCs w:val="20"/>
              </w:rPr>
              <w:t>BT</w:t>
            </w:r>
            <w:r w:rsidR="005A2521">
              <w:rPr>
                <w:rFonts w:asciiTheme="minorHAnsi" w:eastAsia="Times New Roman" w:hAnsiTheme="minorHAnsi" w:cstheme="minorHAnsi"/>
                <w:color w:val="auto"/>
                <w:sz w:val="20"/>
                <w:szCs w:val="20"/>
              </w:rPr>
              <w:t>, SIB and STB</w:t>
            </w:r>
            <w:r>
              <w:rPr>
                <w:rFonts w:asciiTheme="minorHAnsi" w:eastAsia="Times New Roman" w:hAnsiTheme="minorHAnsi" w:cstheme="minorHAnsi"/>
                <w:color w:val="auto"/>
                <w:sz w:val="20"/>
                <w:szCs w:val="20"/>
              </w:rPr>
              <w:t xml:space="preserve"> </w:t>
            </w:r>
            <w:r w:rsidRPr="00315C03">
              <w:rPr>
                <w:rFonts w:asciiTheme="minorHAnsi" w:eastAsia="Times New Roman" w:hAnsiTheme="minorHAnsi" w:cstheme="minorHAnsi"/>
                <w:color w:val="auto"/>
                <w:sz w:val="20"/>
                <w:szCs w:val="20"/>
              </w:rPr>
              <w:t>disclose key quarterly operational and financial data</w:t>
            </w:r>
          </w:p>
        </w:tc>
        <w:tc>
          <w:tcPr>
            <w:tcW w:w="3690" w:type="dxa"/>
            <w:shd w:val="clear" w:color="auto" w:fill="F7F7F7"/>
          </w:tcPr>
          <w:p w14:paraId="339201E6" w14:textId="48E2FAD8" w:rsidR="00453F54" w:rsidRPr="00315C03" w:rsidRDefault="00453F54" w:rsidP="00F65FDF">
            <w:pPr>
              <w:keepNext/>
              <w:rPr>
                <w:rFonts w:ascii="Calibri" w:hAnsi="Calibri"/>
                <w:noProof/>
                <w:color w:val="auto"/>
                <w:sz w:val="20"/>
                <w:szCs w:val="20"/>
              </w:rPr>
            </w:pPr>
            <w:r>
              <w:rPr>
                <w:rFonts w:ascii="Calibri" w:hAnsi="Calibri"/>
                <w:noProof/>
                <w:color w:val="auto"/>
                <w:sz w:val="20"/>
                <w:szCs w:val="20"/>
              </w:rPr>
              <w:t>This indicator will measure the progress with disclosure of key quarterly operational and financial data at generation, transmission, and distribution level. It will be measured by reviewing the disclosures made by the BT</w:t>
            </w:r>
            <w:r w:rsidR="005A2521">
              <w:rPr>
                <w:rFonts w:ascii="Calibri" w:hAnsi="Calibri"/>
                <w:noProof/>
                <w:color w:val="auto"/>
                <w:sz w:val="20"/>
                <w:szCs w:val="20"/>
              </w:rPr>
              <w:t>, SIB, and STB</w:t>
            </w:r>
            <w:r>
              <w:rPr>
                <w:rFonts w:ascii="Calibri" w:hAnsi="Calibri"/>
                <w:noProof/>
                <w:color w:val="auto"/>
                <w:sz w:val="20"/>
                <w:szCs w:val="20"/>
              </w:rPr>
              <w:t xml:space="preserve"> on </w:t>
            </w:r>
            <w:r w:rsidR="005A2521">
              <w:rPr>
                <w:rFonts w:ascii="Calibri" w:hAnsi="Calibri"/>
                <w:noProof/>
                <w:color w:val="auto"/>
                <w:sz w:val="20"/>
                <w:szCs w:val="20"/>
              </w:rPr>
              <w:t>their</w:t>
            </w:r>
            <w:r>
              <w:rPr>
                <w:rFonts w:ascii="Calibri" w:hAnsi="Calibri"/>
                <w:noProof/>
                <w:color w:val="auto"/>
                <w:sz w:val="20"/>
                <w:szCs w:val="20"/>
              </w:rPr>
              <w:t xml:space="preserve"> website</w:t>
            </w:r>
            <w:r w:rsidR="005A2521">
              <w:rPr>
                <w:rFonts w:ascii="Calibri" w:hAnsi="Calibri"/>
                <w:noProof/>
                <w:color w:val="auto"/>
                <w:sz w:val="20"/>
                <w:szCs w:val="20"/>
              </w:rPr>
              <w:t>s</w:t>
            </w:r>
          </w:p>
        </w:tc>
        <w:tc>
          <w:tcPr>
            <w:tcW w:w="1260" w:type="dxa"/>
            <w:shd w:val="clear" w:color="auto" w:fill="F7F7F7"/>
          </w:tcPr>
          <w:p w14:paraId="035FA8C7" w14:textId="77777777" w:rsidR="00453F54" w:rsidRPr="00315C03" w:rsidRDefault="00453F54" w:rsidP="00F65FDF">
            <w:pPr>
              <w:keepNext/>
              <w:ind w:right="-418"/>
              <w:rPr>
                <w:rFonts w:ascii="Calibri" w:hAnsi="Calibri"/>
                <w:noProof/>
                <w:color w:val="auto"/>
                <w:sz w:val="20"/>
                <w:szCs w:val="20"/>
              </w:rPr>
            </w:pPr>
            <w:r>
              <w:rPr>
                <w:rFonts w:ascii="Calibri" w:hAnsi="Calibri"/>
                <w:noProof/>
                <w:color w:val="auto"/>
                <w:sz w:val="20"/>
                <w:szCs w:val="20"/>
              </w:rPr>
              <w:t>Quarterly</w:t>
            </w:r>
          </w:p>
        </w:tc>
        <w:tc>
          <w:tcPr>
            <w:tcW w:w="1710" w:type="dxa"/>
            <w:shd w:val="clear" w:color="auto" w:fill="F7F7F7"/>
          </w:tcPr>
          <w:p w14:paraId="07DA9411" w14:textId="310AA8A0" w:rsidR="00453F54" w:rsidRPr="00315C03" w:rsidRDefault="005A2521" w:rsidP="00F65FDF">
            <w:pPr>
              <w:keepNext/>
              <w:rPr>
                <w:rFonts w:ascii="Calibri" w:hAnsi="Calibri"/>
                <w:noProof/>
                <w:color w:val="auto"/>
                <w:sz w:val="20"/>
                <w:szCs w:val="20"/>
              </w:rPr>
            </w:pPr>
            <w:r>
              <w:rPr>
                <w:rFonts w:ascii="Calibri" w:hAnsi="Calibri"/>
                <w:noProof/>
                <w:color w:val="auto"/>
                <w:sz w:val="20"/>
                <w:szCs w:val="20"/>
              </w:rPr>
              <w:t>BT, SIB, and STB</w:t>
            </w:r>
            <w:r w:rsidR="00453F54">
              <w:rPr>
                <w:rFonts w:ascii="Calibri" w:hAnsi="Calibri"/>
                <w:noProof/>
                <w:color w:val="auto"/>
                <w:sz w:val="20"/>
                <w:szCs w:val="20"/>
              </w:rPr>
              <w:t xml:space="preserve"> we</w:t>
            </w:r>
            <w:r>
              <w:rPr>
                <w:rFonts w:ascii="Calibri" w:hAnsi="Calibri"/>
                <w:noProof/>
                <w:color w:val="auto"/>
                <w:sz w:val="20"/>
                <w:szCs w:val="20"/>
              </w:rPr>
              <w:t>bsites</w:t>
            </w:r>
          </w:p>
        </w:tc>
        <w:tc>
          <w:tcPr>
            <w:tcW w:w="2070" w:type="dxa"/>
            <w:shd w:val="clear" w:color="auto" w:fill="F7F7F7"/>
          </w:tcPr>
          <w:p w14:paraId="676F055F" w14:textId="0D441000" w:rsidR="00453F54" w:rsidRPr="00315C03" w:rsidRDefault="00453F54" w:rsidP="00F65FDF">
            <w:pPr>
              <w:keepNext/>
              <w:ind w:right="-20"/>
              <w:rPr>
                <w:rFonts w:ascii="Calibri" w:hAnsi="Calibri"/>
                <w:noProof/>
                <w:color w:val="auto"/>
                <w:sz w:val="20"/>
                <w:szCs w:val="20"/>
              </w:rPr>
            </w:pPr>
            <w:r>
              <w:rPr>
                <w:rFonts w:ascii="Calibri" w:hAnsi="Calibri"/>
                <w:noProof/>
                <w:color w:val="auto"/>
                <w:sz w:val="20"/>
                <w:szCs w:val="20"/>
              </w:rPr>
              <w:t>BT</w:t>
            </w:r>
            <w:r w:rsidR="005A2521">
              <w:rPr>
                <w:rFonts w:ascii="Calibri" w:hAnsi="Calibri"/>
                <w:noProof/>
                <w:color w:val="auto"/>
                <w:sz w:val="20"/>
                <w:szCs w:val="20"/>
              </w:rPr>
              <w:t xml:space="preserve">, SIB, and STB </w:t>
            </w:r>
            <w:r>
              <w:rPr>
                <w:rFonts w:ascii="Calibri" w:hAnsi="Calibri"/>
                <w:noProof/>
                <w:color w:val="auto"/>
                <w:sz w:val="20"/>
                <w:szCs w:val="20"/>
              </w:rPr>
              <w:t>we</w:t>
            </w:r>
            <w:r w:rsidR="005A2521">
              <w:rPr>
                <w:rFonts w:ascii="Calibri" w:hAnsi="Calibri"/>
                <w:noProof/>
                <w:color w:val="auto"/>
                <w:sz w:val="20"/>
                <w:szCs w:val="20"/>
              </w:rPr>
              <w:t>bsites</w:t>
            </w:r>
          </w:p>
        </w:tc>
        <w:tc>
          <w:tcPr>
            <w:tcW w:w="2160" w:type="dxa"/>
            <w:shd w:val="clear" w:color="auto" w:fill="F7F7F7"/>
          </w:tcPr>
          <w:p w14:paraId="292E0C5E" w14:textId="77777777" w:rsidR="00453F54" w:rsidRPr="00315C03" w:rsidRDefault="00453F54" w:rsidP="00F65FDF">
            <w:pPr>
              <w:keepNext/>
              <w:ind w:right="-418"/>
              <w:rPr>
                <w:rFonts w:ascii="Calibri" w:hAnsi="Calibri"/>
                <w:noProof/>
                <w:color w:val="auto"/>
                <w:sz w:val="20"/>
                <w:szCs w:val="20"/>
              </w:rPr>
            </w:pPr>
            <w:r>
              <w:rPr>
                <w:rFonts w:ascii="Calibri" w:hAnsi="Calibri"/>
                <w:noProof/>
                <w:color w:val="auto"/>
                <w:sz w:val="20"/>
                <w:szCs w:val="20"/>
              </w:rPr>
              <w:t>BT</w:t>
            </w:r>
          </w:p>
        </w:tc>
      </w:tr>
      <w:tr w:rsidR="00453F54" w:rsidRPr="00315C03" w14:paraId="66AAAF9D" w14:textId="77777777" w:rsidTr="00F65FDF">
        <w:trPr>
          <w:trHeight w:val="432"/>
        </w:trPr>
        <w:tc>
          <w:tcPr>
            <w:tcW w:w="4050" w:type="dxa"/>
            <w:shd w:val="clear" w:color="auto" w:fill="F7F7F7"/>
          </w:tcPr>
          <w:p w14:paraId="38B2FA87" w14:textId="77777777" w:rsidR="00453F54" w:rsidRPr="0043486E" w:rsidRDefault="00453F54" w:rsidP="00F65FDF">
            <w:pPr>
              <w:keepNext/>
              <w:ind w:right="40"/>
              <w:rPr>
                <w:rFonts w:asciiTheme="minorHAnsi" w:eastAsia="Times New Roman" w:hAnsiTheme="minorHAnsi" w:cstheme="minorHAnsi"/>
                <w:color w:val="auto"/>
                <w:sz w:val="20"/>
                <w:szCs w:val="20"/>
              </w:rPr>
            </w:pPr>
            <w:r w:rsidRPr="0043486E">
              <w:rPr>
                <w:rFonts w:asciiTheme="minorHAnsi" w:hAnsiTheme="minorHAnsi"/>
                <w:color w:val="auto"/>
                <w:sz w:val="20"/>
                <w:szCs w:val="22"/>
              </w:rPr>
              <w:t xml:space="preserve">Percentage of citizens who believe that the </w:t>
            </w:r>
            <w:r>
              <w:rPr>
                <w:rFonts w:asciiTheme="minorHAnsi" w:hAnsiTheme="minorHAnsi"/>
                <w:color w:val="auto"/>
                <w:sz w:val="20"/>
                <w:szCs w:val="22"/>
              </w:rPr>
              <w:t>Program</w:t>
            </w:r>
            <w:r w:rsidRPr="0043486E">
              <w:rPr>
                <w:rFonts w:asciiTheme="minorHAnsi" w:hAnsiTheme="minorHAnsi"/>
                <w:color w:val="auto"/>
                <w:sz w:val="20"/>
                <w:szCs w:val="22"/>
              </w:rPr>
              <w:t xml:space="preserve"> ha</w:t>
            </w:r>
            <w:r>
              <w:rPr>
                <w:rFonts w:asciiTheme="minorHAnsi" w:hAnsiTheme="minorHAnsi"/>
                <w:color w:val="auto"/>
                <w:sz w:val="20"/>
                <w:szCs w:val="22"/>
              </w:rPr>
              <w:t>s</w:t>
            </w:r>
            <w:r w:rsidRPr="0043486E">
              <w:rPr>
                <w:rFonts w:asciiTheme="minorHAnsi" w:hAnsiTheme="minorHAnsi"/>
                <w:color w:val="auto"/>
                <w:sz w:val="20"/>
                <w:szCs w:val="22"/>
              </w:rPr>
              <w:t xml:space="preserve"> established effective</w:t>
            </w:r>
            <w:r>
              <w:rPr>
                <w:rFonts w:asciiTheme="minorHAnsi" w:hAnsiTheme="minorHAnsi"/>
                <w:color w:val="auto"/>
                <w:sz w:val="20"/>
                <w:szCs w:val="22"/>
              </w:rPr>
              <w:t xml:space="preserve"> </w:t>
            </w:r>
            <w:r w:rsidRPr="0043486E">
              <w:rPr>
                <w:rFonts w:asciiTheme="minorHAnsi" w:hAnsiTheme="minorHAnsi"/>
                <w:color w:val="auto"/>
                <w:sz w:val="20"/>
                <w:szCs w:val="22"/>
              </w:rPr>
              <w:t>engagement processes</w:t>
            </w:r>
          </w:p>
        </w:tc>
        <w:tc>
          <w:tcPr>
            <w:tcW w:w="3690" w:type="dxa"/>
            <w:shd w:val="clear" w:color="auto" w:fill="F7F7F7"/>
          </w:tcPr>
          <w:p w14:paraId="4541D486" w14:textId="77777777" w:rsidR="00453F54" w:rsidRPr="00E47177" w:rsidRDefault="00453F54" w:rsidP="00F65FDF">
            <w:pPr>
              <w:keepNext/>
              <w:rPr>
                <w:rFonts w:ascii="Calibri" w:hAnsi="Calibri"/>
                <w:noProof/>
                <w:color w:val="auto"/>
                <w:sz w:val="20"/>
                <w:szCs w:val="20"/>
              </w:rPr>
            </w:pPr>
            <w:r w:rsidRPr="00E47177">
              <w:rPr>
                <w:rFonts w:asciiTheme="minorHAnsi" w:hAnsiTheme="minorHAnsi"/>
                <w:noProof/>
                <w:color w:val="auto"/>
                <w:sz w:val="20"/>
                <w:szCs w:val="22"/>
              </w:rPr>
              <w:t>This indicator will monitor progress with citizen engagement activities</w:t>
            </w:r>
          </w:p>
        </w:tc>
        <w:tc>
          <w:tcPr>
            <w:tcW w:w="1260" w:type="dxa"/>
            <w:shd w:val="clear" w:color="auto" w:fill="F7F7F7"/>
          </w:tcPr>
          <w:p w14:paraId="0982FD76" w14:textId="77777777" w:rsidR="00453F54" w:rsidRPr="00E47177" w:rsidRDefault="00453F54" w:rsidP="00F65FDF">
            <w:pPr>
              <w:keepNext/>
              <w:ind w:right="-418"/>
              <w:rPr>
                <w:rFonts w:ascii="Calibri" w:hAnsi="Calibri"/>
                <w:noProof/>
                <w:color w:val="auto"/>
                <w:sz w:val="20"/>
                <w:szCs w:val="20"/>
              </w:rPr>
            </w:pPr>
            <w:r w:rsidRPr="00E47177">
              <w:rPr>
                <w:rFonts w:ascii="Calibri" w:hAnsi="Calibri"/>
                <w:noProof/>
                <w:color w:val="auto"/>
                <w:sz w:val="20"/>
                <w:szCs w:val="20"/>
              </w:rPr>
              <w:t>Annual</w:t>
            </w:r>
          </w:p>
        </w:tc>
        <w:tc>
          <w:tcPr>
            <w:tcW w:w="1710" w:type="dxa"/>
            <w:shd w:val="clear" w:color="auto" w:fill="F7F7F7"/>
          </w:tcPr>
          <w:p w14:paraId="0142571C" w14:textId="77777777" w:rsidR="00453F54" w:rsidRPr="00E47177" w:rsidRDefault="00453F54" w:rsidP="00F65FDF">
            <w:pPr>
              <w:keepNext/>
              <w:rPr>
                <w:rFonts w:ascii="Calibri" w:hAnsi="Calibri"/>
                <w:noProof/>
                <w:color w:val="auto"/>
                <w:sz w:val="20"/>
                <w:szCs w:val="20"/>
              </w:rPr>
            </w:pPr>
            <w:r w:rsidRPr="00E47177">
              <w:rPr>
                <w:rFonts w:asciiTheme="minorHAnsi" w:hAnsiTheme="minorHAnsi"/>
                <w:color w:val="auto"/>
                <w:sz w:val="20"/>
                <w:szCs w:val="20"/>
                <w:lang w:val="en"/>
              </w:rPr>
              <w:t>Annual surveys of public opinion to be commissioned by BT</w:t>
            </w:r>
          </w:p>
        </w:tc>
        <w:tc>
          <w:tcPr>
            <w:tcW w:w="2070" w:type="dxa"/>
            <w:shd w:val="clear" w:color="auto" w:fill="F7F7F7"/>
          </w:tcPr>
          <w:p w14:paraId="69148C56" w14:textId="77777777" w:rsidR="00453F54" w:rsidRPr="00E47177" w:rsidRDefault="00453F54" w:rsidP="00F65FDF">
            <w:pPr>
              <w:keepNext/>
              <w:ind w:right="-20"/>
              <w:rPr>
                <w:rFonts w:ascii="Calibri" w:hAnsi="Calibri"/>
                <w:noProof/>
                <w:color w:val="auto"/>
                <w:sz w:val="20"/>
                <w:szCs w:val="20"/>
              </w:rPr>
            </w:pPr>
            <w:r w:rsidRPr="00E47177">
              <w:rPr>
                <w:rFonts w:asciiTheme="minorHAnsi" w:hAnsiTheme="minorHAnsi"/>
                <w:noProof/>
                <w:color w:val="auto"/>
                <w:sz w:val="20"/>
                <w:szCs w:val="20"/>
              </w:rPr>
              <w:t>Survey</w:t>
            </w:r>
          </w:p>
        </w:tc>
        <w:tc>
          <w:tcPr>
            <w:tcW w:w="2160" w:type="dxa"/>
            <w:shd w:val="clear" w:color="auto" w:fill="F7F7F7"/>
          </w:tcPr>
          <w:p w14:paraId="54589DCD" w14:textId="77777777" w:rsidR="00453F54" w:rsidRPr="00E47177" w:rsidRDefault="00453F54" w:rsidP="00F65FDF">
            <w:pPr>
              <w:keepNext/>
              <w:ind w:right="-418"/>
              <w:rPr>
                <w:rFonts w:ascii="Calibri" w:hAnsi="Calibri"/>
                <w:noProof/>
                <w:color w:val="auto"/>
                <w:sz w:val="20"/>
                <w:szCs w:val="20"/>
              </w:rPr>
            </w:pPr>
            <w:r w:rsidRPr="00E47177">
              <w:rPr>
                <w:rFonts w:asciiTheme="minorHAnsi" w:hAnsiTheme="minorHAnsi"/>
                <w:noProof/>
                <w:color w:val="auto"/>
                <w:sz w:val="20"/>
                <w:szCs w:val="20"/>
              </w:rPr>
              <w:t>BT</w:t>
            </w:r>
          </w:p>
        </w:tc>
      </w:tr>
      <w:tr w:rsidR="005A2521" w:rsidRPr="00315C03" w14:paraId="7E32B231" w14:textId="77777777" w:rsidTr="00F65FDF">
        <w:trPr>
          <w:trHeight w:val="432"/>
        </w:trPr>
        <w:tc>
          <w:tcPr>
            <w:tcW w:w="4050" w:type="dxa"/>
            <w:shd w:val="clear" w:color="auto" w:fill="F7F7F7"/>
          </w:tcPr>
          <w:p w14:paraId="218384BD" w14:textId="4980B035" w:rsidR="005A2521" w:rsidRPr="0043486E" w:rsidRDefault="00CE7E01" w:rsidP="00F65FDF">
            <w:pPr>
              <w:keepNext/>
              <w:ind w:right="40"/>
              <w:rPr>
                <w:rFonts w:asciiTheme="minorHAnsi" w:hAnsiTheme="minorHAnsi"/>
                <w:color w:val="auto"/>
                <w:sz w:val="20"/>
                <w:szCs w:val="22"/>
              </w:rPr>
            </w:pPr>
            <w:r w:rsidRPr="00FD6DA6">
              <w:rPr>
                <w:rFonts w:asciiTheme="minorHAnsi" w:hAnsiTheme="minorHAnsi" w:cstheme="minorHAnsi"/>
                <w:sz w:val="20"/>
                <w:szCs w:val="20"/>
              </w:rPr>
              <w:lastRenderedPageBreak/>
              <w:t>Increase in the share of women taking on permanent jobs at BT</w:t>
            </w:r>
            <w:r w:rsidR="00330D1F">
              <w:rPr>
                <w:rFonts w:asciiTheme="minorHAnsi" w:hAnsiTheme="minorHAnsi" w:cstheme="minorHAnsi"/>
                <w:sz w:val="20"/>
                <w:szCs w:val="20"/>
              </w:rPr>
              <w:t>, SIB, and STB</w:t>
            </w:r>
            <w:r w:rsidR="00C4436D">
              <w:rPr>
                <w:rFonts w:asciiTheme="minorHAnsi" w:hAnsiTheme="minorHAnsi" w:cstheme="minorHAnsi"/>
                <w:sz w:val="20"/>
                <w:szCs w:val="20"/>
              </w:rPr>
              <w:t xml:space="preserve"> </w:t>
            </w:r>
            <w:r w:rsidRPr="00FD6DA6">
              <w:rPr>
                <w:rFonts w:asciiTheme="minorHAnsi" w:hAnsiTheme="minorHAnsi" w:cstheme="minorHAnsi"/>
                <w:sz w:val="20"/>
                <w:szCs w:val="20"/>
              </w:rPr>
              <w:t>at technical and managerial levels</w:t>
            </w:r>
          </w:p>
        </w:tc>
        <w:tc>
          <w:tcPr>
            <w:tcW w:w="3690" w:type="dxa"/>
            <w:shd w:val="clear" w:color="auto" w:fill="F7F7F7"/>
          </w:tcPr>
          <w:p w14:paraId="4D880C0B" w14:textId="7FF9AA77" w:rsidR="005A2521" w:rsidRPr="00E47177" w:rsidRDefault="00CE7E01" w:rsidP="00F65FDF">
            <w:pPr>
              <w:keepNext/>
              <w:rPr>
                <w:rFonts w:asciiTheme="minorHAnsi" w:hAnsiTheme="minorHAnsi"/>
                <w:noProof/>
                <w:color w:val="auto"/>
                <w:sz w:val="20"/>
                <w:szCs w:val="22"/>
              </w:rPr>
            </w:pPr>
            <w:r>
              <w:rPr>
                <w:rFonts w:asciiTheme="minorHAnsi" w:hAnsiTheme="minorHAnsi"/>
                <w:noProof/>
                <w:color w:val="auto"/>
                <w:sz w:val="20"/>
                <w:szCs w:val="22"/>
              </w:rPr>
              <w:t>This indicator will measure the progress with improvement of gender balance at BT</w:t>
            </w:r>
          </w:p>
        </w:tc>
        <w:tc>
          <w:tcPr>
            <w:tcW w:w="1260" w:type="dxa"/>
            <w:shd w:val="clear" w:color="auto" w:fill="F7F7F7"/>
          </w:tcPr>
          <w:p w14:paraId="7742E37A" w14:textId="690A0F26" w:rsidR="005A2521" w:rsidRPr="00E47177" w:rsidRDefault="00CE7E01" w:rsidP="00F65FDF">
            <w:pPr>
              <w:keepNext/>
              <w:ind w:right="-418"/>
              <w:rPr>
                <w:rFonts w:ascii="Calibri" w:hAnsi="Calibri"/>
                <w:noProof/>
                <w:color w:val="auto"/>
                <w:sz w:val="20"/>
                <w:szCs w:val="20"/>
              </w:rPr>
            </w:pPr>
            <w:r>
              <w:rPr>
                <w:rFonts w:ascii="Calibri" w:hAnsi="Calibri"/>
                <w:noProof/>
                <w:color w:val="auto"/>
                <w:sz w:val="20"/>
                <w:szCs w:val="20"/>
              </w:rPr>
              <w:t>Annual</w:t>
            </w:r>
          </w:p>
        </w:tc>
        <w:tc>
          <w:tcPr>
            <w:tcW w:w="1710" w:type="dxa"/>
            <w:shd w:val="clear" w:color="auto" w:fill="F7F7F7"/>
          </w:tcPr>
          <w:p w14:paraId="5C1DA539" w14:textId="2704D2E7" w:rsidR="005A2521" w:rsidRPr="00E47177" w:rsidRDefault="00CE7E01" w:rsidP="00F65FDF">
            <w:pPr>
              <w:keepNext/>
              <w:rPr>
                <w:rFonts w:asciiTheme="minorHAnsi" w:hAnsiTheme="minorHAnsi"/>
                <w:color w:val="auto"/>
                <w:sz w:val="20"/>
                <w:szCs w:val="20"/>
                <w:lang w:val="en"/>
              </w:rPr>
            </w:pPr>
            <w:r>
              <w:rPr>
                <w:rFonts w:asciiTheme="minorHAnsi" w:hAnsiTheme="minorHAnsi"/>
                <w:color w:val="auto"/>
                <w:sz w:val="20"/>
                <w:szCs w:val="20"/>
                <w:lang w:val="en"/>
              </w:rPr>
              <w:t>BT</w:t>
            </w:r>
          </w:p>
        </w:tc>
        <w:tc>
          <w:tcPr>
            <w:tcW w:w="2070" w:type="dxa"/>
            <w:shd w:val="clear" w:color="auto" w:fill="F7F7F7"/>
          </w:tcPr>
          <w:p w14:paraId="785856BE" w14:textId="3E049D49" w:rsidR="005A2521" w:rsidRPr="00E47177" w:rsidRDefault="00CE7E01" w:rsidP="00F65FDF">
            <w:pPr>
              <w:keepNext/>
              <w:ind w:right="-20"/>
              <w:rPr>
                <w:rFonts w:asciiTheme="minorHAnsi" w:hAnsiTheme="minorHAnsi"/>
                <w:noProof/>
                <w:color w:val="auto"/>
                <w:sz w:val="20"/>
                <w:szCs w:val="20"/>
              </w:rPr>
            </w:pPr>
            <w:r>
              <w:rPr>
                <w:rFonts w:asciiTheme="minorHAnsi" w:hAnsiTheme="minorHAnsi"/>
                <w:noProof/>
                <w:color w:val="auto"/>
                <w:sz w:val="20"/>
                <w:szCs w:val="20"/>
              </w:rPr>
              <w:t>BT HR department</w:t>
            </w:r>
          </w:p>
        </w:tc>
        <w:tc>
          <w:tcPr>
            <w:tcW w:w="2160" w:type="dxa"/>
            <w:shd w:val="clear" w:color="auto" w:fill="F7F7F7"/>
          </w:tcPr>
          <w:p w14:paraId="7004AB76" w14:textId="0AB248F7" w:rsidR="005A2521" w:rsidRPr="00E47177" w:rsidRDefault="00CE7E01" w:rsidP="00F65FDF">
            <w:pPr>
              <w:keepNext/>
              <w:ind w:right="-418"/>
              <w:rPr>
                <w:rFonts w:asciiTheme="minorHAnsi" w:hAnsiTheme="minorHAnsi"/>
                <w:noProof/>
                <w:color w:val="auto"/>
                <w:sz w:val="20"/>
                <w:szCs w:val="20"/>
              </w:rPr>
            </w:pPr>
            <w:r>
              <w:rPr>
                <w:rFonts w:asciiTheme="minorHAnsi" w:hAnsiTheme="minorHAnsi"/>
                <w:noProof/>
                <w:color w:val="auto"/>
                <w:sz w:val="20"/>
                <w:szCs w:val="20"/>
              </w:rPr>
              <w:t>BT</w:t>
            </w:r>
          </w:p>
        </w:tc>
      </w:tr>
    </w:tbl>
    <w:p w14:paraId="1E901FD2" w14:textId="1FFAEABA" w:rsidR="00E60892" w:rsidRDefault="00E60892" w:rsidP="0079141A">
      <w:pPr>
        <w:widowControl/>
        <w:autoSpaceDE/>
        <w:autoSpaceDN/>
        <w:adjustRightInd/>
        <w:ind w:left="-720"/>
        <w:rPr>
          <w:rFonts w:asciiTheme="minorHAnsi" w:hAnsiTheme="minorHAnsi"/>
          <w:b/>
          <w:bCs/>
          <w:color w:val="7F7F7F" w:themeColor="text1" w:themeTint="80"/>
          <w:sz w:val="22"/>
          <w:szCs w:val="22"/>
        </w:rPr>
      </w:pPr>
    </w:p>
    <w:p w14:paraId="247E9110" w14:textId="4CA326B1" w:rsidR="00E60892" w:rsidRDefault="00E60892" w:rsidP="00D562D6">
      <w:pPr>
        <w:widowControl/>
        <w:autoSpaceDE/>
        <w:autoSpaceDN/>
        <w:adjustRightInd/>
        <w:rPr>
          <w:rFonts w:asciiTheme="minorHAnsi" w:hAnsiTheme="minorHAnsi"/>
          <w:b/>
          <w:bCs/>
          <w:color w:val="7F7F7F" w:themeColor="text1" w:themeTint="80"/>
          <w:sz w:val="22"/>
          <w:szCs w:val="22"/>
        </w:rPr>
      </w:pPr>
    </w:p>
    <w:p w14:paraId="2A1040E0" w14:textId="7AED8E3A" w:rsidR="00245673" w:rsidRDefault="00245673" w:rsidP="00D562D6">
      <w:pPr>
        <w:widowControl/>
        <w:autoSpaceDE/>
        <w:autoSpaceDN/>
        <w:adjustRightInd/>
        <w:rPr>
          <w:rFonts w:asciiTheme="minorHAnsi" w:hAnsiTheme="minorHAnsi"/>
          <w:b/>
          <w:bCs/>
          <w:color w:val="7F7F7F" w:themeColor="text1" w:themeTint="80"/>
          <w:sz w:val="22"/>
          <w:szCs w:val="22"/>
        </w:rPr>
      </w:pPr>
    </w:p>
    <w:p w14:paraId="067641BB" w14:textId="324F7746" w:rsidR="00245673" w:rsidRDefault="00245673" w:rsidP="00D562D6">
      <w:pPr>
        <w:widowControl/>
        <w:autoSpaceDE/>
        <w:autoSpaceDN/>
        <w:adjustRightInd/>
        <w:rPr>
          <w:rFonts w:asciiTheme="minorHAnsi" w:hAnsiTheme="minorHAnsi"/>
          <w:b/>
          <w:bCs/>
          <w:color w:val="7F7F7F" w:themeColor="text1" w:themeTint="80"/>
          <w:sz w:val="22"/>
          <w:szCs w:val="22"/>
        </w:rPr>
      </w:pPr>
    </w:p>
    <w:p w14:paraId="2D9F9951" w14:textId="0FA0D438" w:rsidR="00245673" w:rsidRDefault="00245673" w:rsidP="00D562D6">
      <w:pPr>
        <w:widowControl/>
        <w:autoSpaceDE/>
        <w:autoSpaceDN/>
        <w:adjustRightInd/>
        <w:rPr>
          <w:rFonts w:asciiTheme="minorHAnsi" w:hAnsiTheme="minorHAnsi"/>
          <w:b/>
          <w:bCs/>
          <w:color w:val="7F7F7F" w:themeColor="text1" w:themeTint="80"/>
          <w:sz w:val="22"/>
          <w:szCs w:val="22"/>
        </w:rPr>
      </w:pPr>
    </w:p>
    <w:p w14:paraId="27FA1D9F" w14:textId="3FFC1A00" w:rsidR="00245673" w:rsidRDefault="00245673" w:rsidP="00D562D6">
      <w:pPr>
        <w:widowControl/>
        <w:autoSpaceDE/>
        <w:autoSpaceDN/>
        <w:adjustRightInd/>
        <w:rPr>
          <w:rFonts w:asciiTheme="minorHAnsi" w:hAnsiTheme="minorHAnsi"/>
          <w:b/>
          <w:bCs/>
          <w:color w:val="7F7F7F" w:themeColor="text1" w:themeTint="80"/>
          <w:sz w:val="22"/>
          <w:szCs w:val="22"/>
        </w:rPr>
      </w:pPr>
    </w:p>
    <w:p w14:paraId="457E4672" w14:textId="12030C07" w:rsidR="00245673" w:rsidRDefault="00245673" w:rsidP="00D562D6">
      <w:pPr>
        <w:widowControl/>
        <w:autoSpaceDE/>
        <w:autoSpaceDN/>
        <w:adjustRightInd/>
        <w:rPr>
          <w:rFonts w:asciiTheme="minorHAnsi" w:hAnsiTheme="minorHAnsi"/>
          <w:b/>
          <w:bCs/>
          <w:color w:val="7F7F7F" w:themeColor="text1" w:themeTint="80"/>
          <w:sz w:val="22"/>
          <w:szCs w:val="22"/>
        </w:rPr>
      </w:pPr>
    </w:p>
    <w:p w14:paraId="19F117E6" w14:textId="512EA49A" w:rsidR="00245673" w:rsidRDefault="00245673" w:rsidP="00D562D6">
      <w:pPr>
        <w:widowControl/>
        <w:autoSpaceDE/>
        <w:autoSpaceDN/>
        <w:adjustRightInd/>
        <w:rPr>
          <w:rFonts w:asciiTheme="minorHAnsi" w:hAnsiTheme="minorHAnsi"/>
          <w:b/>
          <w:bCs/>
          <w:color w:val="7F7F7F" w:themeColor="text1" w:themeTint="80"/>
          <w:sz w:val="22"/>
          <w:szCs w:val="22"/>
        </w:rPr>
      </w:pPr>
    </w:p>
    <w:p w14:paraId="056D7DD1" w14:textId="1D360C69" w:rsidR="00245673" w:rsidRDefault="00245673" w:rsidP="00D562D6">
      <w:pPr>
        <w:widowControl/>
        <w:autoSpaceDE/>
        <w:autoSpaceDN/>
        <w:adjustRightInd/>
        <w:rPr>
          <w:rFonts w:asciiTheme="minorHAnsi" w:hAnsiTheme="minorHAnsi"/>
          <w:b/>
          <w:bCs/>
          <w:color w:val="7F7F7F" w:themeColor="text1" w:themeTint="80"/>
          <w:sz w:val="22"/>
          <w:szCs w:val="22"/>
        </w:rPr>
      </w:pPr>
    </w:p>
    <w:p w14:paraId="3D86D390" w14:textId="6AB31CFE" w:rsidR="00245673" w:rsidRDefault="00245673" w:rsidP="00D562D6">
      <w:pPr>
        <w:widowControl/>
        <w:autoSpaceDE/>
        <w:autoSpaceDN/>
        <w:adjustRightInd/>
        <w:rPr>
          <w:rFonts w:asciiTheme="minorHAnsi" w:hAnsiTheme="minorHAnsi"/>
          <w:b/>
          <w:bCs/>
          <w:color w:val="7F7F7F" w:themeColor="text1" w:themeTint="80"/>
          <w:sz w:val="22"/>
          <w:szCs w:val="22"/>
        </w:rPr>
      </w:pPr>
    </w:p>
    <w:p w14:paraId="746C20F9" w14:textId="6A89C5BA" w:rsidR="00245673" w:rsidRDefault="00245673" w:rsidP="00D562D6">
      <w:pPr>
        <w:widowControl/>
        <w:autoSpaceDE/>
        <w:autoSpaceDN/>
        <w:adjustRightInd/>
        <w:rPr>
          <w:rFonts w:asciiTheme="minorHAnsi" w:hAnsiTheme="minorHAnsi"/>
          <w:b/>
          <w:bCs/>
          <w:color w:val="7F7F7F" w:themeColor="text1" w:themeTint="80"/>
          <w:sz w:val="22"/>
          <w:szCs w:val="22"/>
        </w:rPr>
      </w:pPr>
    </w:p>
    <w:p w14:paraId="427350A1" w14:textId="7931159A" w:rsidR="00245673" w:rsidRDefault="00245673" w:rsidP="00D562D6">
      <w:pPr>
        <w:widowControl/>
        <w:autoSpaceDE/>
        <w:autoSpaceDN/>
        <w:adjustRightInd/>
        <w:rPr>
          <w:rFonts w:asciiTheme="minorHAnsi" w:hAnsiTheme="minorHAnsi"/>
          <w:b/>
          <w:bCs/>
          <w:color w:val="7F7F7F" w:themeColor="text1" w:themeTint="80"/>
          <w:sz w:val="22"/>
          <w:szCs w:val="22"/>
        </w:rPr>
      </w:pPr>
    </w:p>
    <w:p w14:paraId="6B16ACE7" w14:textId="5FF412C7" w:rsidR="00245673" w:rsidRDefault="00245673" w:rsidP="00D562D6">
      <w:pPr>
        <w:widowControl/>
        <w:autoSpaceDE/>
        <w:autoSpaceDN/>
        <w:adjustRightInd/>
        <w:rPr>
          <w:rFonts w:asciiTheme="minorHAnsi" w:hAnsiTheme="minorHAnsi"/>
          <w:b/>
          <w:bCs/>
          <w:color w:val="7F7F7F" w:themeColor="text1" w:themeTint="80"/>
          <w:sz w:val="22"/>
          <w:szCs w:val="22"/>
        </w:rPr>
      </w:pPr>
    </w:p>
    <w:p w14:paraId="318135AF" w14:textId="21E47A4B" w:rsidR="00245673" w:rsidRDefault="00245673" w:rsidP="00D562D6">
      <w:pPr>
        <w:widowControl/>
        <w:autoSpaceDE/>
        <w:autoSpaceDN/>
        <w:adjustRightInd/>
        <w:rPr>
          <w:rFonts w:asciiTheme="minorHAnsi" w:hAnsiTheme="minorHAnsi"/>
          <w:b/>
          <w:bCs/>
          <w:color w:val="7F7F7F" w:themeColor="text1" w:themeTint="80"/>
          <w:sz w:val="22"/>
          <w:szCs w:val="22"/>
        </w:rPr>
      </w:pPr>
    </w:p>
    <w:p w14:paraId="55345C6C" w14:textId="25E1FB58" w:rsidR="00245673" w:rsidRDefault="00245673" w:rsidP="00D562D6">
      <w:pPr>
        <w:widowControl/>
        <w:autoSpaceDE/>
        <w:autoSpaceDN/>
        <w:adjustRightInd/>
        <w:rPr>
          <w:rFonts w:asciiTheme="minorHAnsi" w:hAnsiTheme="minorHAnsi"/>
          <w:b/>
          <w:bCs/>
          <w:color w:val="7F7F7F" w:themeColor="text1" w:themeTint="80"/>
          <w:sz w:val="22"/>
          <w:szCs w:val="22"/>
        </w:rPr>
      </w:pPr>
    </w:p>
    <w:p w14:paraId="69742600" w14:textId="09B1F951" w:rsidR="00245673" w:rsidRDefault="00245673" w:rsidP="00D562D6">
      <w:pPr>
        <w:widowControl/>
        <w:autoSpaceDE/>
        <w:autoSpaceDN/>
        <w:adjustRightInd/>
        <w:rPr>
          <w:rFonts w:asciiTheme="minorHAnsi" w:hAnsiTheme="minorHAnsi"/>
          <w:b/>
          <w:bCs/>
          <w:color w:val="7F7F7F" w:themeColor="text1" w:themeTint="80"/>
          <w:sz w:val="22"/>
          <w:szCs w:val="22"/>
        </w:rPr>
      </w:pPr>
    </w:p>
    <w:p w14:paraId="0BB63FC4" w14:textId="2A422E13" w:rsidR="00245673" w:rsidRDefault="00245673" w:rsidP="00D562D6">
      <w:pPr>
        <w:widowControl/>
        <w:autoSpaceDE/>
        <w:autoSpaceDN/>
        <w:adjustRightInd/>
        <w:rPr>
          <w:rFonts w:asciiTheme="minorHAnsi" w:hAnsiTheme="minorHAnsi"/>
          <w:b/>
          <w:bCs/>
          <w:color w:val="7F7F7F" w:themeColor="text1" w:themeTint="80"/>
          <w:sz w:val="22"/>
          <w:szCs w:val="22"/>
        </w:rPr>
      </w:pPr>
    </w:p>
    <w:p w14:paraId="47EE4BE5" w14:textId="154E3B24" w:rsidR="00245673" w:rsidRDefault="00245673" w:rsidP="00D562D6">
      <w:pPr>
        <w:widowControl/>
        <w:autoSpaceDE/>
        <w:autoSpaceDN/>
        <w:adjustRightInd/>
        <w:rPr>
          <w:rFonts w:asciiTheme="minorHAnsi" w:hAnsiTheme="minorHAnsi"/>
          <w:b/>
          <w:bCs/>
          <w:color w:val="7F7F7F" w:themeColor="text1" w:themeTint="80"/>
          <w:sz w:val="22"/>
          <w:szCs w:val="22"/>
        </w:rPr>
      </w:pPr>
    </w:p>
    <w:p w14:paraId="753F9364" w14:textId="3A1FD9D9" w:rsidR="00245673" w:rsidRDefault="00245673" w:rsidP="00D562D6">
      <w:pPr>
        <w:widowControl/>
        <w:autoSpaceDE/>
        <w:autoSpaceDN/>
        <w:adjustRightInd/>
        <w:rPr>
          <w:rFonts w:asciiTheme="minorHAnsi" w:hAnsiTheme="minorHAnsi"/>
          <w:b/>
          <w:bCs/>
          <w:color w:val="7F7F7F" w:themeColor="text1" w:themeTint="80"/>
          <w:sz w:val="22"/>
          <w:szCs w:val="22"/>
        </w:rPr>
      </w:pPr>
    </w:p>
    <w:p w14:paraId="72F53325" w14:textId="6807928B" w:rsidR="00245673" w:rsidRDefault="00245673" w:rsidP="00D562D6">
      <w:pPr>
        <w:widowControl/>
        <w:autoSpaceDE/>
        <w:autoSpaceDN/>
        <w:adjustRightInd/>
        <w:rPr>
          <w:rFonts w:asciiTheme="minorHAnsi" w:hAnsiTheme="minorHAnsi"/>
          <w:b/>
          <w:bCs/>
          <w:color w:val="7F7F7F" w:themeColor="text1" w:themeTint="80"/>
          <w:sz w:val="22"/>
          <w:szCs w:val="22"/>
        </w:rPr>
      </w:pPr>
    </w:p>
    <w:p w14:paraId="058DCBE5" w14:textId="49E37ABE" w:rsidR="00245673" w:rsidRDefault="00245673" w:rsidP="00D562D6">
      <w:pPr>
        <w:widowControl/>
        <w:autoSpaceDE/>
        <w:autoSpaceDN/>
        <w:adjustRightInd/>
        <w:rPr>
          <w:rFonts w:asciiTheme="minorHAnsi" w:hAnsiTheme="minorHAnsi"/>
          <w:b/>
          <w:bCs/>
          <w:color w:val="7F7F7F" w:themeColor="text1" w:themeTint="80"/>
          <w:sz w:val="22"/>
          <w:szCs w:val="22"/>
        </w:rPr>
      </w:pPr>
    </w:p>
    <w:p w14:paraId="36E8A34B" w14:textId="074B48DC" w:rsidR="00245673" w:rsidRDefault="00245673" w:rsidP="00D562D6">
      <w:pPr>
        <w:widowControl/>
        <w:autoSpaceDE/>
        <w:autoSpaceDN/>
        <w:adjustRightInd/>
        <w:rPr>
          <w:rFonts w:asciiTheme="minorHAnsi" w:hAnsiTheme="minorHAnsi"/>
          <w:b/>
          <w:bCs/>
          <w:color w:val="7F7F7F" w:themeColor="text1" w:themeTint="80"/>
          <w:sz w:val="22"/>
          <w:szCs w:val="22"/>
        </w:rPr>
      </w:pPr>
    </w:p>
    <w:p w14:paraId="6E36D724" w14:textId="4ED0AA46" w:rsidR="00245673" w:rsidRDefault="00245673" w:rsidP="00D562D6">
      <w:pPr>
        <w:widowControl/>
        <w:autoSpaceDE/>
        <w:autoSpaceDN/>
        <w:adjustRightInd/>
        <w:rPr>
          <w:rFonts w:asciiTheme="minorHAnsi" w:hAnsiTheme="minorHAnsi"/>
          <w:b/>
          <w:bCs/>
          <w:color w:val="7F7F7F" w:themeColor="text1" w:themeTint="80"/>
          <w:sz w:val="22"/>
          <w:szCs w:val="22"/>
        </w:rPr>
      </w:pPr>
    </w:p>
    <w:p w14:paraId="362119DE" w14:textId="60239BC9" w:rsidR="00245673" w:rsidRDefault="00245673" w:rsidP="00D562D6">
      <w:pPr>
        <w:widowControl/>
        <w:autoSpaceDE/>
        <w:autoSpaceDN/>
        <w:adjustRightInd/>
        <w:rPr>
          <w:rFonts w:asciiTheme="minorHAnsi" w:hAnsiTheme="minorHAnsi"/>
          <w:b/>
          <w:bCs/>
          <w:color w:val="7F7F7F" w:themeColor="text1" w:themeTint="80"/>
          <w:sz w:val="22"/>
          <w:szCs w:val="22"/>
        </w:rPr>
      </w:pPr>
    </w:p>
    <w:p w14:paraId="5FA34749" w14:textId="68F96080" w:rsidR="009B3434" w:rsidRDefault="009B3434" w:rsidP="009B3434">
      <w:pPr>
        <w:widowControl/>
        <w:autoSpaceDE/>
        <w:autoSpaceDN/>
        <w:adjustRightInd/>
        <w:spacing w:after="160" w:line="259" w:lineRule="auto"/>
        <w:rPr>
          <w:rFonts w:asciiTheme="minorHAnsi" w:hAnsiTheme="minorHAnsi"/>
          <w:b/>
          <w:bCs/>
          <w:color w:val="7F7F7F" w:themeColor="text1" w:themeTint="80"/>
          <w:sz w:val="22"/>
          <w:szCs w:val="22"/>
        </w:rPr>
        <w:sectPr w:rsidR="009B3434" w:rsidSect="00E51AFC">
          <w:headerReference w:type="default" r:id="rId33"/>
          <w:type w:val="continuous"/>
          <w:pgSz w:w="15840" w:h="12240" w:orient="landscape"/>
          <w:pgMar w:top="1440" w:right="1440" w:bottom="1350" w:left="1440" w:header="720" w:footer="720" w:gutter="0"/>
          <w:pgBorders w:offsetFrom="page">
            <w:bottom w:val="single" w:sz="8" w:space="24" w:color="F7F7F7"/>
          </w:pgBorders>
          <w:cols w:space="720"/>
          <w:docGrid w:linePitch="360"/>
        </w:sectPr>
      </w:pPr>
      <w:r>
        <w:rPr>
          <w:rFonts w:asciiTheme="minorHAnsi" w:hAnsiTheme="minorHAnsi"/>
          <w:b/>
          <w:bCs/>
          <w:color w:val="7F7F7F" w:themeColor="text1" w:themeTint="80"/>
          <w:sz w:val="22"/>
          <w:szCs w:val="22"/>
        </w:rPr>
        <w:br w:type="page"/>
      </w:r>
    </w:p>
    <w:p w14:paraId="25058110" w14:textId="53FC3AF2" w:rsidR="00245673" w:rsidRPr="008219C1" w:rsidRDefault="008219C1" w:rsidP="008219C1">
      <w:pPr>
        <w:widowControl/>
        <w:autoSpaceDE/>
        <w:autoSpaceDN/>
        <w:adjustRightInd/>
        <w:jc w:val="center"/>
        <w:rPr>
          <w:rFonts w:asciiTheme="minorHAnsi" w:hAnsiTheme="minorHAnsi"/>
          <w:b/>
          <w:bCs/>
          <w:color w:val="auto"/>
        </w:rPr>
      </w:pPr>
      <w:r w:rsidRPr="008219C1">
        <w:rPr>
          <w:rFonts w:asciiTheme="minorHAnsi" w:hAnsiTheme="minorHAnsi"/>
          <w:b/>
          <w:bCs/>
          <w:color w:val="auto"/>
        </w:rPr>
        <w:lastRenderedPageBreak/>
        <w:t>Disbursement Linked Indicators</w:t>
      </w:r>
    </w:p>
    <w:p w14:paraId="0E6E2C89" w14:textId="77777777" w:rsidR="008219C1" w:rsidRDefault="008219C1" w:rsidP="00D562D6">
      <w:pPr>
        <w:widowControl/>
        <w:autoSpaceDE/>
        <w:autoSpaceDN/>
        <w:adjustRightInd/>
        <w:rPr>
          <w:rFonts w:asciiTheme="minorHAnsi" w:hAnsiTheme="minorHAnsi"/>
          <w:b/>
          <w:bCs/>
          <w:color w:val="7F7F7F" w:themeColor="text1" w:themeTint="80"/>
          <w:sz w:val="22"/>
          <w:szCs w:val="22"/>
        </w:rPr>
      </w:pPr>
    </w:p>
    <w:tbl>
      <w:tblPr>
        <w:tblStyle w:val="TableGrid"/>
        <w:tblW w:w="10440" w:type="dxa"/>
        <w:tblInd w:w="-725" w:type="dxa"/>
        <w:tblLook w:val="04A0" w:firstRow="1" w:lastRow="0" w:firstColumn="1" w:lastColumn="0" w:noHBand="0" w:noVBand="1"/>
      </w:tblPr>
      <w:tblGrid>
        <w:gridCol w:w="2864"/>
        <w:gridCol w:w="4066"/>
        <w:gridCol w:w="1890"/>
        <w:gridCol w:w="1620"/>
      </w:tblGrid>
      <w:tr w:rsidR="00A37F87" w:rsidRPr="008219C1" w14:paraId="1F9B224B" w14:textId="77777777" w:rsidTr="00A64B72">
        <w:trPr>
          <w:tblHeader/>
        </w:trPr>
        <w:tc>
          <w:tcPr>
            <w:tcW w:w="2864" w:type="dxa"/>
            <w:shd w:val="clear" w:color="auto" w:fill="D9D9D9" w:themeFill="background1" w:themeFillShade="D9"/>
          </w:tcPr>
          <w:p w14:paraId="67FA4401" w14:textId="77777777" w:rsidR="008219C1" w:rsidRPr="008219C1" w:rsidRDefault="008219C1" w:rsidP="00A64B72">
            <w:pPr>
              <w:pStyle w:val="BodyText"/>
              <w:ind w:left="0"/>
              <w:rPr>
                <w:rFonts w:asciiTheme="minorHAnsi" w:hAnsiTheme="minorHAnsi" w:cstheme="minorHAnsi"/>
                <w:sz w:val="20"/>
                <w:szCs w:val="20"/>
              </w:rPr>
            </w:pPr>
            <w:r w:rsidRPr="008219C1">
              <w:rPr>
                <w:rFonts w:asciiTheme="minorHAnsi" w:hAnsiTheme="minorHAnsi" w:cstheme="minorHAnsi"/>
                <w:sz w:val="20"/>
                <w:szCs w:val="20"/>
              </w:rPr>
              <w:t>Disbursement Linked Indicators</w:t>
            </w:r>
          </w:p>
        </w:tc>
        <w:tc>
          <w:tcPr>
            <w:tcW w:w="4066" w:type="dxa"/>
            <w:shd w:val="clear" w:color="auto" w:fill="D9D9D9" w:themeFill="background1" w:themeFillShade="D9"/>
          </w:tcPr>
          <w:p w14:paraId="070FDB05" w14:textId="77777777" w:rsidR="008219C1" w:rsidRPr="008219C1" w:rsidRDefault="008219C1" w:rsidP="00A64B72">
            <w:pPr>
              <w:pStyle w:val="BodyText"/>
              <w:ind w:left="0"/>
              <w:rPr>
                <w:rFonts w:asciiTheme="minorHAnsi" w:hAnsiTheme="minorHAnsi" w:cstheme="minorHAnsi"/>
                <w:sz w:val="20"/>
                <w:szCs w:val="20"/>
              </w:rPr>
            </w:pPr>
            <w:r w:rsidRPr="008219C1">
              <w:rPr>
                <w:rFonts w:asciiTheme="minorHAnsi" w:hAnsiTheme="minorHAnsi" w:cstheme="minorHAnsi"/>
                <w:sz w:val="20"/>
                <w:szCs w:val="20"/>
              </w:rPr>
              <w:t xml:space="preserve">Disbursement Linked Results </w:t>
            </w:r>
          </w:p>
        </w:tc>
        <w:tc>
          <w:tcPr>
            <w:tcW w:w="1890" w:type="dxa"/>
            <w:shd w:val="clear" w:color="auto" w:fill="D9D9D9" w:themeFill="background1" w:themeFillShade="D9"/>
          </w:tcPr>
          <w:p w14:paraId="0651FD93" w14:textId="77777777" w:rsidR="008219C1" w:rsidRPr="00D17C5B" w:rsidRDefault="008219C1" w:rsidP="00D17C5B">
            <w:pPr>
              <w:pStyle w:val="BodyText"/>
              <w:ind w:left="0"/>
              <w:jc w:val="center"/>
              <w:rPr>
                <w:rFonts w:asciiTheme="minorHAnsi" w:hAnsiTheme="minorHAnsi" w:cstheme="minorHAnsi"/>
                <w:sz w:val="20"/>
                <w:szCs w:val="20"/>
              </w:rPr>
            </w:pPr>
            <w:r w:rsidRPr="00D17C5B">
              <w:rPr>
                <w:rFonts w:asciiTheme="minorHAnsi" w:hAnsiTheme="minorHAnsi" w:cstheme="minorHAnsi"/>
                <w:sz w:val="20"/>
                <w:szCs w:val="20"/>
              </w:rPr>
              <w:t>Amount Allocated</w:t>
            </w:r>
          </w:p>
          <w:p w14:paraId="1279B112" w14:textId="77777777" w:rsidR="008219C1" w:rsidRPr="00D17C5B" w:rsidRDefault="008219C1"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sz w:val="20"/>
                <w:szCs w:val="20"/>
              </w:rPr>
              <w:t>Under Original Grant (US$)</w:t>
            </w:r>
          </w:p>
        </w:tc>
        <w:tc>
          <w:tcPr>
            <w:tcW w:w="1620" w:type="dxa"/>
            <w:shd w:val="clear" w:color="auto" w:fill="D9D9D9" w:themeFill="background1" w:themeFillShade="D9"/>
          </w:tcPr>
          <w:p w14:paraId="618AA9A6" w14:textId="77777777" w:rsidR="008219C1" w:rsidRPr="00A37F87" w:rsidRDefault="008219C1" w:rsidP="00A37F87">
            <w:pPr>
              <w:pStyle w:val="BodyText"/>
              <w:ind w:left="0"/>
              <w:jc w:val="center"/>
              <w:rPr>
                <w:rFonts w:asciiTheme="minorHAnsi" w:hAnsiTheme="minorHAnsi" w:cstheme="minorHAnsi"/>
                <w:sz w:val="20"/>
                <w:szCs w:val="20"/>
              </w:rPr>
            </w:pPr>
            <w:r w:rsidRPr="00A37F87">
              <w:rPr>
                <w:rFonts w:asciiTheme="minorHAnsi" w:hAnsiTheme="minorHAnsi" w:cstheme="minorHAnsi"/>
                <w:sz w:val="20"/>
                <w:szCs w:val="20"/>
              </w:rPr>
              <w:t>Amount Allocated under AF (US$)</w:t>
            </w:r>
          </w:p>
        </w:tc>
      </w:tr>
      <w:tr w:rsidR="00A37F87" w:rsidRPr="008219C1" w14:paraId="26E7A959" w14:textId="77777777" w:rsidTr="00A64B72">
        <w:tc>
          <w:tcPr>
            <w:tcW w:w="2864" w:type="dxa"/>
          </w:tcPr>
          <w:p w14:paraId="1D7F5AAF" w14:textId="77777777" w:rsidR="008219C1" w:rsidRPr="008219C1" w:rsidRDefault="008219C1" w:rsidP="00A64B72">
            <w:pPr>
              <w:pStyle w:val="BodyText"/>
              <w:ind w:left="0"/>
              <w:rPr>
                <w:rFonts w:asciiTheme="minorHAnsi" w:hAnsiTheme="minorHAnsi" w:cstheme="minorHAnsi"/>
                <w:sz w:val="20"/>
                <w:szCs w:val="20"/>
              </w:rPr>
            </w:pPr>
            <w:r w:rsidRPr="008219C1">
              <w:rPr>
                <w:rFonts w:asciiTheme="minorHAnsi" w:hAnsiTheme="minorHAnsi" w:cstheme="minorHAnsi"/>
                <w:sz w:val="20"/>
                <w:szCs w:val="20"/>
              </w:rPr>
              <w:t>DLI #1: Achievement of cost-recovery end-user tariffs</w:t>
            </w:r>
          </w:p>
        </w:tc>
        <w:tc>
          <w:tcPr>
            <w:tcW w:w="4066" w:type="dxa"/>
          </w:tcPr>
          <w:p w14:paraId="168DE7D8" w14:textId="345A582C" w:rsidR="008219C1" w:rsidRPr="008219C1" w:rsidRDefault="008219C1" w:rsidP="00A64B72">
            <w:pPr>
              <w:pStyle w:val="BodyText"/>
              <w:ind w:left="0"/>
              <w:rPr>
                <w:rFonts w:asciiTheme="minorHAnsi" w:hAnsiTheme="minorHAnsi" w:cstheme="minorHAnsi"/>
                <w:b w:val="0"/>
                <w:bCs w:val="0"/>
                <w:i/>
                <w:iCs/>
                <w:sz w:val="20"/>
                <w:szCs w:val="20"/>
              </w:rPr>
            </w:pPr>
            <w:r w:rsidRPr="008219C1">
              <w:rPr>
                <w:rFonts w:asciiTheme="minorHAnsi" w:hAnsiTheme="minorHAnsi" w:cstheme="minorHAnsi"/>
                <w:b w:val="0"/>
                <w:bCs w:val="0"/>
                <w:sz w:val="20"/>
                <w:szCs w:val="20"/>
              </w:rPr>
              <w:t xml:space="preserve">DLR 1.1: By November 30, 2022, at least twelve (12) percent increase of average end-user </w:t>
            </w:r>
            <w:r w:rsidR="00014F32">
              <w:rPr>
                <w:rFonts w:asciiTheme="minorHAnsi" w:hAnsiTheme="minorHAnsi" w:cstheme="minorHAnsi"/>
                <w:b w:val="0"/>
                <w:bCs w:val="0"/>
                <w:sz w:val="20"/>
                <w:szCs w:val="20"/>
              </w:rPr>
              <w:t xml:space="preserve">electricity </w:t>
            </w:r>
            <w:r w:rsidRPr="008219C1">
              <w:rPr>
                <w:rFonts w:asciiTheme="minorHAnsi" w:hAnsiTheme="minorHAnsi" w:cstheme="minorHAnsi"/>
                <w:b w:val="0"/>
                <w:bCs w:val="0"/>
                <w:sz w:val="20"/>
                <w:szCs w:val="20"/>
              </w:rPr>
              <w:t xml:space="preserve">tariff has been adopted by the Recipient </w:t>
            </w:r>
            <w:r w:rsidRPr="008219C1">
              <w:rPr>
                <w:rFonts w:asciiTheme="minorHAnsi" w:hAnsiTheme="minorHAnsi" w:cstheme="minorHAnsi"/>
                <w:b w:val="0"/>
                <w:bCs w:val="0"/>
                <w:i/>
                <w:iCs/>
                <w:sz w:val="20"/>
                <w:szCs w:val="20"/>
              </w:rPr>
              <w:t>(revised deadline</w:t>
            </w:r>
            <w:r w:rsidR="00A37F87">
              <w:rPr>
                <w:rFonts w:asciiTheme="minorHAnsi" w:hAnsiTheme="minorHAnsi" w:cstheme="minorHAnsi"/>
                <w:b w:val="0"/>
                <w:bCs w:val="0"/>
                <w:i/>
                <w:iCs/>
                <w:sz w:val="20"/>
                <w:szCs w:val="20"/>
              </w:rPr>
              <w:t xml:space="preserve"> and increased allocation</w:t>
            </w:r>
            <w:r w:rsidRPr="008219C1">
              <w:rPr>
                <w:rFonts w:asciiTheme="minorHAnsi" w:hAnsiTheme="minorHAnsi" w:cstheme="minorHAnsi"/>
                <w:b w:val="0"/>
                <w:bCs w:val="0"/>
                <w:i/>
                <w:iCs/>
                <w:sz w:val="20"/>
                <w:szCs w:val="20"/>
              </w:rPr>
              <w:t>)</w:t>
            </w:r>
          </w:p>
        </w:tc>
        <w:tc>
          <w:tcPr>
            <w:tcW w:w="1890" w:type="dxa"/>
          </w:tcPr>
          <w:p w14:paraId="5D03F467" w14:textId="211A2FB1" w:rsidR="008219C1" w:rsidRPr="00D17C5B" w:rsidRDefault="00506837"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7,562,000</w:t>
            </w:r>
          </w:p>
        </w:tc>
        <w:tc>
          <w:tcPr>
            <w:tcW w:w="1620" w:type="dxa"/>
          </w:tcPr>
          <w:p w14:paraId="7BC3F053" w14:textId="7C610F3A" w:rsidR="008219C1" w:rsidRPr="00A37F87" w:rsidRDefault="0050683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2,</w:t>
            </w:r>
            <w:r w:rsidR="00A14EDB">
              <w:rPr>
                <w:rFonts w:asciiTheme="minorHAnsi" w:hAnsiTheme="minorHAnsi" w:cstheme="minorHAnsi"/>
                <w:b w:val="0"/>
                <w:bCs w:val="0"/>
                <w:sz w:val="20"/>
                <w:szCs w:val="20"/>
              </w:rPr>
              <w:t>2</w:t>
            </w:r>
            <w:r w:rsidRPr="00A37F87">
              <w:rPr>
                <w:rFonts w:asciiTheme="minorHAnsi" w:hAnsiTheme="minorHAnsi" w:cstheme="minorHAnsi"/>
                <w:b w:val="0"/>
                <w:bCs w:val="0"/>
                <w:sz w:val="20"/>
                <w:szCs w:val="20"/>
              </w:rPr>
              <w:t>00,000</w:t>
            </w:r>
          </w:p>
        </w:tc>
      </w:tr>
      <w:tr w:rsidR="00A37F87" w:rsidRPr="008219C1" w14:paraId="666C4068" w14:textId="77777777" w:rsidTr="00A64B72">
        <w:tc>
          <w:tcPr>
            <w:tcW w:w="2864" w:type="dxa"/>
          </w:tcPr>
          <w:p w14:paraId="2058854A"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77077799" w14:textId="4CC74122" w:rsidR="008219C1" w:rsidRPr="002E58D8" w:rsidRDefault="008219C1" w:rsidP="00A64B72">
            <w:pPr>
              <w:pStyle w:val="BodyText"/>
              <w:ind w:left="0"/>
              <w:rPr>
                <w:rFonts w:asciiTheme="minorHAnsi" w:hAnsiTheme="minorHAnsi" w:cstheme="minorHAnsi"/>
                <w:b w:val="0"/>
                <w:bCs w:val="0"/>
                <w:i/>
                <w:iCs/>
                <w:sz w:val="20"/>
                <w:szCs w:val="20"/>
              </w:rPr>
            </w:pPr>
            <w:r w:rsidRPr="008219C1">
              <w:rPr>
                <w:rFonts w:asciiTheme="minorHAnsi" w:hAnsiTheme="minorHAnsi" w:cstheme="minorHAnsi"/>
                <w:b w:val="0"/>
                <w:bCs w:val="0"/>
                <w:sz w:val="20"/>
                <w:szCs w:val="20"/>
              </w:rPr>
              <w:t xml:space="preserve">DLR 1.2: By </w:t>
            </w:r>
            <w:r w:rsidR="00502537">
              <w:rPr>
                <w:rFonts w:asciiTheme="minorHAnsi" w:hAnsiTheme="minorHAnsi" w:cstheme="minorHAnsi"/>
                <w:b w:val="0"/>
                <w:bCs w:val="0"/>
                <w:sz w:val="20"/>
                <w:szCs w:val="20"/>
              </w:rPr>
              <w:t xml:space="preserve">December </w:t>
            </w:r>
            <w:r w:rsidRPr="008219C1">
              <w:rPr>
                <w:rFonts w:asciiTheme="minorHAnsi" w:hAnsiTheme="minorHAnsi" w:cstheme="minorHAnsi"/>
                <w:b w:val="0"/>
                <w:bCs w:val="0"/>
                <w:sz w:val="20"/>
                <w:szCs w:val="20"/>
              </w:rPr>
              <w:t>31, 202</w:t>
            </w:r>
            <w:r w:rsidR="00502537">
              <w:rPr>
                <w:rFonts w:asciiTheme="minorHAnsi" w:hAnsiTheme="minorHAnsi" w:cstheme="minorHAnsi"/>
                <w:b w:val="0"/>
                <w:bCs w:val="0"/>
                <w:sz w:val="20"/>
                <w:szCs w:val="20"/>
              </w:rPr>
              <w:t>3</w:t>
            </w:r>
            <w:r w:rsidRPr="008219C1">
              <w:rPr>
                <w:rFonts w:asciiTheme="minorHAnsi" w:hAnsiTheme="minorHAnsi" w:cstheme="minorHAnsi"/>
                <w:b w:val="0"/>
                <w:bCs w:val="0"/>
                <w:sz w:val="20"/>
                <w:szCs w:val="20"/>
              </w:rPr>
              <w:t xml:space="preserve">, at least annual adjustment of generation, transmission, distribution, and end-user tariffs as per the new tariff methodology and consistent with the targets approved under the Electricity Tariff Paper </w:t>
            </w:r>
            <w:r w:rsidRPr="008219C1">
              <w:rPr>
                <w:rFonts w:asciiTheme="minorHAnsi" w:hAnsiTheme="minorHAnsi" w:cstheme="minorHAnsi"/>
                <w:b w:val="0"/>
                <w:bCs w:val="0"/>
                <w:i/>
                <w:iCs/>
                <w:sz w:val="20"/>
                <w:szCs w:val="20"/>
              </w:rPr>
              <w:t>(revised deadline</w:t>
            </w:r>
            <w:r w:rsidR="00A37F87">
              <w:rPr>
                <w:rFonts w:asciiTheme="minorHAnsi" w:hAnsiTheme="minorHAnsi" w:cstheme="minorHAnsi"/>
                <w:b w:val="0"/>
                <w:bCs w:val="0"/>
                <w:i/>
                <w:iCs/>
                <w:sz w:val="20"/>
                <w:szCs w:val="20"/>
              </w:rPr>
              <w:t xml:space="preserve"> and increased allocation</w:t>
            </w:r>
            <w:r w:rsidRPr="008219C1">
              <w:rPr>
                <w:rFonts w:asciiTheme="minorHAnsi" w:hAnsiTheme="minorHAnsi" w:cstheme="minorHAnsi"/>
                <w:b w:val="0"/>
                <w:bCs w:val="0"/>
                <w:i/>
                <w:iCs/>
                <w:sz w:val="20"/>
                <w:szCs w:val="20"/>
              </w:rPr>
              <w:t>)</w:t>
            </w:r>
          </w:p>
        </w:tc>
        <w:tc>
          <w:tcPr>
            <w:tcW w:w="1890" w:type="dxa"/>
          </w:tcPr>
          <w:p w14:paraId="74841A8C" w14:textId="3ABE7201" w:rsidR="008219C1" w:rsidRPr="00D17C5B" w:rsidRDefault="00506837"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3,000,000</w:t>
            </w:r>
          </w:p>
        </w:tc>
        <w:tc>
          <w:tcPr>
            <w:tcW w:w="1620" w:type="dxa"/>
          </w:tcPr>
          <w:p w14:paraId="0AFB5157" w14:textId="5841F602" w:rsidR="008219C1" w:rsidRPr="00A37F87" w:rsidRDefault="0050683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2,</w:t>
            </w:r>
            <w:r w:rsidR="00A14EDB">
              <w:rPr>
                <w:rFonts w:asciiTheme="minorHAnsi" w:hAnsiTheme="minorHAnsi" w:cstheme="minorHAnsi"/>
                <w:b w:val="0"/>
                <w:bCs w:val="0"/>
                <w:sz w:val="20"/>
                <w:szCs w:val="20"/>
              </w:rPr>
              <w:t>1</w:t>
            </w:r>
            <w:r w:rsidRPr="00A37F87">
              <w:rPr>
                <w:rFonts w:asciiTheme="minorHAnsi" w:hAnsiTheme="minorHAnsi" w:cstheme="minorHAnsi"/>
                <w:b w:val="0"/>
                <w:bCs w:val="0"/>
                <w:sz w:val="20"/>
                <w:szCs w:val="20"/>
              </w:rPr>
              <w:t>00,000</w:t>
            </w:r>
          </w:p>
        </w:tc>
      </w:tr>
      <w:tr w:rsidR="00A37F87" w:rsidRPr="008219C1" w14:paraId="6DA4E252" w14:textId="77777777" w:rsidTr="00A64B72">
        <w:tc>
          <w:tcPr>
            <w:tcW w:w="2864" w:type="dxa"/>
          </w:tcPr>
          <w:p w14:paraId="61EFD2C3"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594ED26F" w14:textId="769E4087" w:rsidR="008219C1" w:rsidRPr="002E58D8" w:rsidRDefault="008219C1" w:rsidP="00A64B72">
            <w:pPr>
              <w:pStyle w:val="BodyText"/>
              <w:ind w:left="0"/>
              <w:rPr>
                <w:rFonts w:asciiTheme="minorHAnsi" w:hAnsiTheme="minorHAnsi" w:cstheme="minorHAnsi"/>
                <w:b w:val="0"/>
                <w:bCs w:val="0"/>
                <w:i/>
                <w:iCs/>
                <w:sz w:val="20"/>
                <w:szCs w:val="20"/>
              </w:rPr>
            </w:pPr>
            <w:r w:rsidRPr="008219C1">
              <w:rPr>
                <w:rFonts w:asciiTheme="minorHAnsi" w:hAnsiTheme="minorHAnsi" w:cstheme="minorHAnsi"/>
                <w:b w:val="0"/>
                <w:bCs w:val="0"/>
                <w:sz w:val="20"/>
                <w:szCs w:val="20"/>
              </w:rPr>
              <w:t>DLR 1.3: By December 31, 202</w:t>
            </w:r>
            <w:r w:rsidR="00502537">
              <w:rPr>
                <w:rFonts w:asciiTheme="minorHAnsi" w:hAnsiTheme="minorHAnsi" w:cstheme="minorHAnsi"/>
                <w:b w:val="0"/>
                <w:bCs w:val="0"/>
                <w:sz w:val="20"/>
                <w:szCs w:val="20"/>
              </w:rPr>
              <w:t>4</w:t>
            </w:r>
            <w:r w:rsidRPr="008219C1">
              <w:rPr>
                <w:rFonts w:asciiTheme="minorHAnsi" w:hAnsiTheme="minorHAnsi" w:cstheme="minorHAnsi"/>
                <w:b w:val="0"/>
                <w:bCs w:val="0"/>
                <w:sz w:val="20"/>
                <w:szCs w:val="20"/>
              </w:rPr>
              <w:t xml:space="preserve">, at least annual adjustment of generation, transmission, distribution, and end-user tariffs as per the new tariff methodology and consistent with the targets approved under the Electricity Tariff Paper </w:t>
            </w:r>
            <w:r w:rsidRPr="008219C1">
              <w:rPr>
                <w:rFonts w:asciiTheme="minorHAnsi" w:hAnsiTheme="minorHAnsi" w:cstheme="minorHAnsi"/>
                <w:b w:val="0"/>
                <w:bCs w:val="0"/>
                <w:i/>
                <w:iCs/>
                <w:sz w:val="20"/>
                <w:szCs w:val="20"/>
              </w:rPr>
              <w:t>(revised deadline</w:t>
            </w:r>
            <w:r w:rsidR="00A37F87">
              <w:rPr>
                <w:rFonts w:asciiTheme="minorHAnsi" w:hAnsiTheme="minorHAnsi" w:cstheme="minorHAnsi"/>
                <w:b w:val="0"/>
                <w:bCs w:val="0"/>
                <w:i/>
                <w:iCs/>
                <w:sz w:val="20"/>
                <w:szCs w:val="20"/>
              </w:rPr>
              <w:t xml:space="preserve"> and increased allocation</w:t>
            </w:r>
            <w:r w:rsidRPr="008219C1">
              <w:rPr>
                <w:rFonts w:asciiTheme="minorHAnsi" w:hAnsiTheme="minorHAnsi" w:cstheme="minorHAnsi"/>
                <w:b w:val="0"/>
                <w:bCs w:val="0"/>
                <w:i/>
                <w:iCs/>
                <w:sz w:val="20"/>
                <w:szCs w:val="20"/>
              </w:rPr>
              <w:t>)</w:t>
            </w:r>
          </w:p>
        </w:tc>
        <w:tc>
          <w:tcPr>
            <w:tcW w:w="1890" w:type="dxa"/>
          </w:tcPr>
          <w:p w14:paraId="3FEBD0CE" w14:textId="2CA2B9B6" w:rsidR="008219C1" w:rsidRPr="00D17C5B" w:rsidRDefault="00506837"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2,000,000</w:t>
            </w:r>
          </w:p>
        </w:tc>
        <w:tc>
          <w:tcPr>
            <w:tcW w:w="1620" w:type="dxa"/>
          </w:tcPr>
          <w:p w14:paraId="54B63890" w14:textId="1274C4CF" w:rsidR="008219C1" w:rsidRPr="00A37F87" w:rsidRDefault="00A14EDB" w:rsidP="00A37F87">
            <w:pPr>
              <w:pStyle w:val="BodyText"/>
              <w:ind w:left="0"/>
              <w:jc w:val="center"/>
              <w:rPr>
                <w:rFonts w:asciiTheme="minorHAnsi" w:hAnsiTheme="minorHAnsi" w:cstheme="minorHAnsi"/>
                <w:b w:val="0"/>
                <w:bCs w:val="0"/>
                <w:sz w:val="20"/>
                <w:szCs w:val="20"/>
              </w:rPr>
            </w:pPr>
            <w:r>
              <w:rPr>
                <w:rFonts w:asciiTheme="minorHAnsi" w:hAnsiTheme="minorHAnsi" w:cstheme="minorHAnsi"/>
                <w:b w:val="0"/>
                <w:bCs w:val="0"/>
                <w:sz w:val="20"/>
                <w:szCs w:val="20"/>
              </w:rPr>
              <w:t>5</w:t>
            </w:r>
            <w:r w:rsidR="00506837" w:rsidRPr="00A37F87">
              <w:rPr>
                <w:rFonts w:asciiTheme="minorHAnsi" w:hAnsiTheme="minorHAnsi" w:cstheme="minorHAnsi"/>
                <w:b w:val="0"/>
                <w:bCs w:val="0"/>
                <w:sz w:val="20"/>
                <w:szCs w:val="20"/>
              </w:rPr>
              <w:t>00,000</w:t>
            </w:r>
          </w:p>
        </w:tc>
      </w:tr>
      <w:tr w:rsidR="00A37F87" w:rsidRPr="008219C1" w14:paraId="1BE8FADF" w14:textId="77777777" w:rsidTr="00A64B72">
        <w:tc>
          <w:tcPr>
            <w:tcW w:w="2864" w:type="dxa"/>
          </w:tcPr>
          <w:p w14:paraId="698B6736"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33741E58" w14:textId="250B9561" w:rsidR="008219C1" w:rsidRPr="002E58D8" w:rsidRDefault="008219C1" w:rsidP="00A64B72">
            <w:pPr>
              <w:pStyle w:val="BodyText"/>
              <w:ind w:left="0"/>
              <w:rPr>
                <w:rFonts w:asciiTheme="minorHAnsi" w:hAnsiTheme="minorHAnsi" w:cstheme="minorHAnsi"/>
                <w:b w:val="0"/>
                <w:bCs w:val="0"/>
                <w:i/>
                <w:iCs/>
                <w:sz w:val="20"/>
                <w:szCs w:val="20"/>
              </w:rPr>
            </w:pPr>
            <w:r w:rsidRPr="008219C1">
              <w:rPr>
                <w:rFonts w:asciiTheme="minorHAnsi" w:hAnsiTheme="minorHAnsi" w:cstheme="minorHAnsi"/>
                <w:b w:val="0"/>
                <w:bCs w:val="0"/>
                <w:sz w:val="20"/>
                <w:szCs w:val="20"/>
              </w:rPr>
              <w:t>DLR 1.4: By December 31, 202</w:t>
            </w:r>
            <w:r w:rsidR="00502537">
              <w:rPr>
                <w:rFonts w:asciiTheme="minorHAnsi" w:hAnsiTheme="minorHAnsi" w:cstheme="minorHAnsi"/>
                <w:b w:val="0"/>
                <w:bCs w:val="0"/>
                <w:sz w:val="20"/>
                <w:szCs w:val="20"/>
              </w:rPr>
              <w:t>5</w:t>
            </w:r>
            <w:r w:rsidRPr="008219C1">
              <w:rPr>
                <w:rFonts w:asciiTheme="minorHAnsi" w:hAnsiTheme="minorHAnsi" w:cstheme="minorHAnsi"/>
                <w:b w:val="0"/>
                <w:bCs w:val="0"/>
                <w:sz w:val="20"/>
                <w:szCs w:val="20"/>
              </w:rPr>
              <w:t xml:space="preserve">, at least annual adjustment of generation, transmission, distribution, and end-user tariffs as per the new tariff methodology and consistent with the targets approved under the Electricity Tariff Paper </w:t>
            </w:r>
            <w:r w:rsidRPr="008219C1">
              <w:rPr>
                <w:rFonts w:asciiTheme="minorHAnsi" w:hAnsiTheme="minorHAnsi" w:cstheme="minorHAnsi"/>
                <w:b w:val="0"/>
                <w:bCs w:val="0"/>
                <w:i/>
                <w:iCs/>
                <w:sz w:val="20"/>
                <w:szCs w:val="20"/>
              </w:rPr>
              <w:t>(revised deadline</w:t>
            </w:r>
            <w:r w:rsidR="00A37F87">
              <w:rPr>
                <w:rFonts w:asciiTheme="minorHAnsi" w:hAnsiTheme="minorHAnsi" w:cstheme="minorHAnsi"/>
                <w:b w:val="0"/>
                <w:bCs w:val="0"/>
                <w:i/>
                <w:iCs/>
                <w:sz w:val="20"/>
                <w:szCs w:val="20"/>
              </w:rPr>
              <w:t xml:space="preserve"> and increased allocation</w:t>
            </w:r>
            <w:r w:rsidRPr="008219C1">
              <w:rPr>
                <w:rFonts w:asciiTheme="minorHAnsi" w:hAnsiTheme="minorHAnsi" w:cstheme="minorHAnsi"/>
                <w:b w:val="0"/>
                <w:bCs w:val="0"/>
                <w:i/>
                <w:iCs/>
                <w:sz w:val="20"/>
                <w:szCs w:val="20"/>
              </w:rPr>
              <w:t>)</w:t>
            </w:r>
          </w:p>
        </w:tc>
        <w:tc>
          <w:tcPr>
            <w:tcW w:w="1890" w:type="dxa"/>
          </w:tcPr>
          <w:p w14:paraId="08BCEC11" w14:textId="00393B6A" w:rsidR="008219C1" w:rsidRPr="00D17C5B" w:rsidRDefault="00506837"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1,000,000</w:t>
            </w:r>
          </w:p>
        </w:tc>
        <w:tc>
          <w:tcPr>
            <w:tcW w:w="1620" w:type="dxa"/>
          </w:tcPr>
          <w:p w14:paraId="52B8F056" w14:textId="1496D0DB" w:rsidR="008219C1" w:rsidRPr="00A37F87" w:rsidRDefault="00A14EDB" w:rsidP="00A37F87">
            <w:pPr>
              <w:pStyle w:val="BodyText"/>
              <w:ind w:left="0"/>
              <w:jc w:val="center"/>
              <w:rPr>
                <w:rFonts w:asciiTheme="minorHAnsi" w:hAnsiTheme="minorHAnsi" w:cstheme="minorHAnsi"/>
                <w:b w:val="0"/>
                <w:bCs w:val="0"/>
                <w:sz w:val="20"/>
                <w:szCs w:val="20"/>
              </w:rPr>
            </w:pPr>
            <w:r>
              <w:rPr>
                <w:rFonts w:asciiTheme="minorHAnsi" w:hAnsiTheme="minorHAnsi" w:cstheme="minorHAnsi"/>
                <w:b w:val="0"/>
                <w:bCs w:val="0"/>
                <w:sz w:val="20"/>
                <w:szCs w:val="20"/>
              </w:rPr>
              <w:t>5</w:t>
            </w:r>
            <w:r w:rsidR="00506837" w:rsidRPr="00A37F87">
              <w:rPr>
                <w:rFonts w:asciiTheme="minorHAnsi" w:hAnsiTheme="minorHAnsi" w:cstheme="minorHAnsi"/>
                <w:b w:val="0"/>
                <w:bCs w:val="0"/>
                <w:sz w:val="20"/>
                <w:szCs w:val="20"/>
              </w:rPr>
              <w:t>00,000</w:t>
            </w:r>
          </w:p>
        </w:tc>
      </w:tr>
      <w:tr w:rsidR="00A37F87" w:rsidRPr="008219C1" w14:paraId="05065BB8" w14:textId="77777777" w:rsidTr="00A64B72">
        <w:tc>
          <w:tcPr>
            <w:tcW w:w="2864" w:type="dxa"/>
          </w:tcPr>
          <w:p w14:paraId="53ECF881"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1E1AEA52" w14:textId="21C97579" w:rsidR="008219C1" w:rsidRPr="002E58D8" w:rsidRDefault="008219C1" w:rsidP="00A64B72">
            <w:pPr>
              <w:pStyle w:val="BodyText"/>
              <w:ind w:left="0"/>
              <w:rPr>
                <w:rFonts w:asciiTheme="minorHAnsi" w:hAnsiTheme="minorHAnsi" w:cstheme="minorHAnsi"/>
                <w:b w:val="0"/>
                <w:bCs w:val="0"/>
                <w:i/>
                <w:iCs/>
                <w:sz w:val="20"/>
                <w:szCs w:val="20"/>
              </w:rPr>
            </w:pPr>
            <w:r w:rsidRPr="008219C1">
              <w:rPr>
                <w:rFonts w:asciiTheme="minorHAnsi" w:hAnsiTheme="minorHAnsi" w:cstheme="minorHAnsi"/>
                <w:b w:val="0"/>
                <w:bCs w:val="0"/>
                <w:sz w:val="20"/>
                <w:szCs w:val="20"/>
              </w:rPr>
              <w:t>DLR 1.5: By December 31, 202</w:t>
            </w:r>
            <w:r w:rsidR="00014F32">
              <w:rPr>
                <w:rFonts w:asciiTheme="minorHAnsi" w:hAnsiTheme="minorHAnsi" w:cstheme="minorHAnsi"/>
                <w:b w:val="0"/>
                <w:bCs w:val="0"/>
                <w:sz w:val="20"/>
                <w:szCs w:val="20"/>
              </w:rPr>
              <w:t>6</w:t>
            </w:r>
            <w:r w:rsidRPr="008219C1">
              <w:rPr>
                <w:rFonts w:asciiTheme="minorHAnsi" w:hAnsiTheme="minorHAnsi" w:cstheme="minorHAnsi"/>
                <w:b w:val="0"/>
                <w:bCs w:val="0"/>
                <w:sz w:val="20"/>
                <w:szCs w:val="20"/>
              </w:rPr>
              <w:t xml:space="preserve">, at least annual adjustment of generation, transmission, distribution, and end-user tariffs as per the new tariff methodology and consistent with the targets approved under the Electricity Tariff Paper </w:t>
            </w:r>
            <w:r w:rsidRPr="008219C1">
              <w:rPr>
                <w:rFonts w:asciiTheme="minorHAnsi" w:hAnsiTheme="minorHAnsi" w:cstheme="minorHAnsi"/>
                <w:b w:val="0"/>
                <w:bCs w:val="0"/>
                <w:i/>
                <w:iCs/>
                <w:sz w:val="20"/>
                <w:szCs w:val="20"/>
              </w:rPr>
              <w:t>(revised deadline</w:t>
            </w:r>
            <w:r w:rsidR="00A37F87">
              <w:rPr>
                <w:rFonts w:asciiTheme="minorHAnsi" w:hAnsiTheme="minorHAnsi" w:cstheme="minorHAnsi"/>
                <w:b w:val="0"/>
                <w:bCs w:val="0"/>
                <w:i/>
                <w:iCs/>
                <w:sz w:val="20"/>
                <w:szCs w:val="20"/>
              </w:rPr>
              <w:t xml:space="preserve"> and increased allocation</w:t>
            </w:r>
            <w:r w:rsidRPr="008219C1">
              <w:rPr>
                <w:rFonts w:asciiTheme="minorHAnsi" w:hAnsiTheme="minorHAnsi" w:cstheme="minorHAnsi"/>
                <w:b w:val="0"/>
                <w:bCs w:val="0"/>
                <w:i/>
                <w:iCs/>
                <w:sz w:val="20"/>
                <w:szCs w:val="20"/>
              </w:rPr>
              <w:t>)</w:t>
            </w:r>
          </w:p>
        </w:tc>
        <w:tc>
          <w:tcPr>
            <w:tcW w:w="1890" w:type="dxa"/>
          </w:tcPr>
          <w:p w14:paraId="099C1BBE" w14:textId="58190724" w:rsidR="008219C1" w:rsidRPr="00D17C5B" w:rsidRDefault="00506837"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1,000,0000</w:t>
            </w:r>
          </w:p>
        </w:tc>
        <w:tc>
          <w:tcPr>
            <w:tcW w:w="1620" w:type="dxa"/>
          </w:tcPr>
          <w:p w14:paraId="44E0F43B" w14:textId="29F7536C" w:rsidR="008219C1" w:rsidRPr="00A37F87" w:rsidRDefault="0050683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500,000</w:t>
            </w:r>
          </w:p>
        </w:tc>
      </w:tr>
      <w:tr w:rsidR="00A37F87" w:rsidRPr="008219C1" w14:paraId="199D9D26" w14:textId="77777777" w:rsidTr="00A64B72">
        <w:tc>
          <w:tcPr>
            <w:tcW w:w="2864" w:type="dxa"/>
          </w:tcPr>
          <w:p w14:paraId="5FF964FA"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0E408769" w14:textId="67E748C1" w:rsidR="008219C1" w:rsidRPr="002E58D8" w:rsidRDefault="008219C1" w:rsidP="00A64B72">
            <w:pPr>
              <w:pStyle w:val="BodyText"/>
              <w:ind w:left="0"/>
              <w:rPr>
                <w:rFonts w:asciiTheme="minorHAnsi" w:hAnsiTheme="minorHAnsi" w:cstheme="minorHAnsi"/>
                <w:b w:val="0"/>
                <w:bCs w:val="0"/>
                <w:i/>
                <w:iCs/>
                <w:sz w:val="20"/>
                <w:szCs w:val="20"/>
              </w:rPr>
            </w:pPr>
            <w:r w:rsidRPr="008219C1">
              <w:rPr>
                <w:rFonts w:asciiTheme="minorHAnsi" w:hAnsiTheme="minorHAnsi" w:cstheme="minorHAnsi"/>
                <w:b w:val="0"/>
                <w:bCs w:val="0"/>
                <w:sz w:val="20"/>
                <w:szCs w:val="20"/>
              </w:rPr>
              <w:t>DLR 1.6: By December 31, 202</w:t>
            </w:r>
            <w:r w:rsidR="00014F32">
              <w:rPr>
                <w:rFonts w:asciiTheme="minorHAnsi" w:hAnsiTheme="minorHAnsi" w:cstheme="minorHAnsi"/>
                <w:b w:val="0"/>
                <w:bCs w:val="0"/>
                <w:sz w:val="20"/>
                <w:szCs w:val="20"/>
              </w:rPr>
              <w:t>7</w:t>
            </w:r>
            <w:r w:rsidRPr="008219C1">
              <w:rPr>
                <w:rFonts w:asciiTheme="minorHAnsi" w:hAnsiTheme="minorHAnsi" w:cstheme="minorHAnsi"/>
                <w:b w:val="0"/>
                <w:bCs w:val="0"/>
                <w:sz w:val="20"/>
                <w:szCs w:val="20"/>
              </w:rPr>
              <w:t xml:space="preserve">, at least annual adjustment of generation, transmission, distribution, and end-user tariffs as per the new tariff methodology and consistent with the targets approved under the Electricity Tariff Paper </w:t>
            </w:r>
            <w:r w:rsidRPr="008219C1">
              <w:rPr>
                <w:rFonts w:asciiTheme="minorHAnsi" w:hAnsiTheme="minorHAnsi" w:cstheme="minorHAnsi"/>
                <w:b w:val="0"/>
                <w:bCs w:val="0"/>
                <w:i/>
                <w:iCs/>
                <w:sz w:val="20"/>
                <w:szCs w:val="20"/>
              </w:rPr>
              <w:t>(revised deadline</w:t>
            </w:r>
            <w:r w:rsidR="00A37F87">
              <w:rPr>
                <w:rFonts w:asciiTheme="minorHAnsi" w:hAnsiTheme="minorHAnsi" w:cstheme="minorHAnsi"/>
                <w:b w:val="0"/>
                <w:bCs w:val="0"/>
                <w:i/>
                <w:iCs/>
                <w:sz w:val="20"/>
                <w:szCs w:val="20"/>
              </w:rPr>
              <w:t xml:space="preserve"> and increased allocation</w:t>
            </w:r>
            <w:r w:rsidRPr="008219C1">
              <w:rPr>
                <w:rFonts w:asciiTheme="minorHAnsi" w:hAnsiTheme="minorHAnsi" w:cstheme="minorHAnsi"/>
                <w:b w:val="0"/>
                <w:bCs w:val="0"/>
                <w:i/>
                <w:iCs/>
                <w:sz w:val="20"/>
                <w:szCs w:val="20"/>
              </w:rPr>
              <w:t>)</w:t>
            </w:r>
          </w:p>
        </w:tc>
        <w:tc>
          <w:tcPr>
            <w:tcW w:w="1890" w:type="dxa"/>
          </w:tcPr>
          <w:p w14:paraId="5C9770BA" w14:textId="30B12C17" w:rsidR="008219C1" w:rsidRPr="00D17C5B" w:rsidRDefault="00506837"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1,000,000</w:t>
            </w:r>
          </w:p>
        </w:tc>
        <w:tc>
          <w:tcPr>
            <w:tcW w:w="1620" w:type="dxa"/>
          </w:tcPr>
          <w:p w14:paraId="38CC8881" w14:textId="076335C4" w:rsidR="008219C1" w:rsidRPr="00A37F87" w:rsidRDefault="00A14EDB" w:rsidP="00A37F87">
            <w:pPr>
              <w:pStyle w:val="BodyText"/>
              <w:ind w:left="0"/>
              <w:jc w:val="center"/>
              <w:rPr>
                <w:rFonts w:asciiTheme="minorHAnsi" w:hAnsiTheme="minorHAnsi" w:cstheme="minorHAnsi"/>
                <w:b w:val="0"/>
                <w:bCs w:val="0"/>
                <w:sz w:val="20"/>
                <w:szCs w:val="20"/>
              </w:rPr>
            </w:pPr>
            <w:r>
              <w:rPr>
                <w:rFonts w:asciiTheme="minorHAnsi" w:hAnsiTheme="minorHAnsi" w:cstheme="minorHAnsi"/>
                <w:b w:val="0"/>
                <w:bCs w:val="0"/>
                <w:sz w:val="20"/>
                <w:szCs w:val="20"/>
              </w:rPr>
              <w:t>2</w:t>
            </w:r>
            <w:r w:rsidR="00506837" w:rsidRPr="00A37F87">
              <w:rPr>
                <w:rFonts w:asciiTheme="minorHAnsi" w:hAnsiTheme="minorHAnsi" w:cstheme="minorHAnsi"/>
                <w:b w:val="0"/>
                <w:bCs w:val="0"/>
                <w:sz w:val="20"/>
                <w:szCs w:val="20"/>
              </w:rPr>
              <w:t>00,000</w:t>
            </w:r>
          </w:p>
        </w:tc>
      </w:tr>
      <w:tr w:rsidR="00A37F87" w:rsidRPr="008219C1" w14:paraId="4B258D1B" w14:textId="77777777" w:rsidTr="00A64B72">
        <w:tc>
          <w:tcPr>
            <w:tcW w:w="2864" w:type="dxa"/>
          </w:tcPr>
          <w:p w14:paraId="4EA27DF1"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35FCBE8E" w14:textId="7C045E0B" w:rsidR="008219C1" w:rsidRPr="002E58D8" w:rsidRDefault="008219C1" w:rsidP="00A64B72">
            <w:pPr>
              <w:pStyle w:val="BodyText"/>
              <w:ind w:left="0"/>
              <w:rPr>
                <w:rFonts w:asciiTheme="minorHAnsi" w:hAnsiTheme="minorHAnsi" w:cstheme="minorHAnsi"/>
                <w:b w:val="0"/>
                <w:bCs w:val="0"/>
                <w:i/>
                <w:iCs/>
                <w:sz w:val="20"/>
                <w:szCs w:val="20"/>
              </w:rPr>
            </w:pPr>
            <w:r w:rsidRPr="008219C1">
              <w:rPr>
                <w:rFonts w:asciiTheme="minorHAnsi" w:hAnsiTheme="minorHAnsi" w:cstheme="minorHAnsi"/>
                <w:b w:val="0"/>
                <w:bCs w:val="0"/>
                <w:sz w:val="20"/>
                <w:szCs w:val="20"/>
              </w:rPr>
              <w:t xml:space="preserve">DLR 1.7:  By September 30, 2022, (a) approval by the Recipient’s government of the Electricity Tariff Paper satisfactory to the Association, with estimated full cost-recovery </w:t>
            </w:r>
            <w:r w:rsidRPr="008219C1">
              <w:rPr>
                <w:rFonts w:asciiTheme="minorHAnsi" w:hAnsiTheme="minorHAnsi" w:cstheme="minorHAnsi"/>
                <w:b w:val="0"/>
                <w:bCs w:val="0"/>
                <w:sz w:val="20"/>
                <w:szCs w:val="20"/>
              </w:rPr>
              <w:lastRenderedPageBreak/>
              <w:t>tariff and tariff adjustment plan to reach full cost-recovery by the end of 20</w:t>
            </w:r>
            <w:r w:rsidR="00502537">
              <w:rPr>
                <w:rFonts w:asciiTheme="minorHAnsi" w:hAnsiTheme="minorHAnsi" w:cstheme="minorHAnsi"/>
                <w:b w:val="0"/>
                <w:bCs w:val="0"/>
                <w:sz w:val="20"/>
                <w:szCs w:val="20"/>
              </w:rPr>
              <w:t>30</w:t>
            </w:r>
            <w:r w:rsidRPr="008219C1">
              <w:rPr>
                <w:rFonts w:asciiTheme="minorHAnsi" w:hAnsiTheme="minorHAnsi" w:cstheme="minorHAnsi"/>
                <w:b w:val="0"/>
                <w:bCs w:val="0"/>
                <w:sz w:val="20"/>
                <w:szCs w:val="20"/>
              </w:rPr>
              <w:t>; and (b) establishment of an adequately staffed Tariff Unit at the AM</w:t>
            </w:r>
            <w:r w:rsidR="00842CA3">
              <w:rPr>
                <w:rFonts w:asciiTheme="minorHAnsi" w:hAnsiTheme="minorHAnsi" w:cstheme="minorHAnsi"/>
                <w:b w:val="0"/>
                <w:bCs w:val="0"/>
                <w:sz w:val="20"/>
                <w:szCs w:val="20"/>
              </w:rPr>
              <w:t>S</w:t>
            </w:r>
            <w:r w:rsidRPr="008219C1">
              <w:rPr>
                <w:rFonts w:asciiTheme="minorHAnsi" w:hAnsiTheme="minorHAnsi" w:cstheme="minorHAnsi"/>
                <w:b w:val="0"/>
                <w:bCs w:val="0"/>
                <w:sz w:val="20"/>
                <w:szCs w:val="20"/>
              </w:rPr>
              <w:t xml:space="preserve"> </w:t>
            </w:r>
            <w:r w:rsidRPr="008219C1">
              <w:rPr>
                <w:rFonts w:asciiTheme="minorHAnsi" w:hAnsiTheme="minorHAnsi" w:cstheme="minorHAnsi"/>
                <w:b w:val="0"/>
                <w:bCs w:val="0"/>
                <w:i/>
                <w:iCs/>
                <w:sz w:val="20"/>
                <w:szCs w:val="20"/>
              </w:rPr>
              <w:t>(revised deadline)</w:t>
            </w:r>
          </w:p>
        </w:tc>
        <w:tc>
          <w:tcPr>
            <w:tcW w:w="1890" w:type="dxa"/>
          </w:tcPr>
          <w:p w14:paraId="3C271D63" w14:textId="5376E33D" w:rsidR="008219C1" w:rsidRPr="00D17C5B" w:rsidRDefault="00506837"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lastRenderedPageBreak/>
              <w:t>3,438,000</w:t>
            </w:r>
          </w:p>
        </w:tc>
        <w:tc>
          <w:tcPr>
            <w:tcW w:w="1620" w:type="dxa"/>
          </w:tcPr>
          <w:p w14:paraId="439F2399" w14:textId="179F649D" w:rsidR="008219C1" w:rsidRPr="00A37F87" w:rsidRDefault="0050683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2</w:t>
            </w:r>
            <w:r w:rsidR="00A14EDB">
              <w:rPr>
                <w:rFonts w:asciiTheme="minorHAnsi" w:hAnsiTheme="minorHAnsi" w:cstheme="minorHAnsi"/>
                <w:b w:val="0"/>
                <w:bCs w:val="0"/>
                <w:sz w:val="20"/>
                <w:szCs w:val="20"/>
              </w:rPr>
              <w:t>0</w:t>
            </w:r>
            <w:r w:rsidRPr="00A37F87">
              <w:rPr>
                <w:rFonts w:asciiTheme="minorHAnsi" w:hAnsiTheme="minorHAnsi" w:cstheme="minorHAnsi"/>
                <w:b w:val="0"/>
                <w:bCs w:val="0"/>
                <w:sz w:val="20"/>
                <w:szCs w:val="20"/>
              </w:rPr>
              <w:t>0,000</w:t>
            </w:r>
          </w:p>
        </w:tc>
      </w:tr>
      <w:tr w:rsidR="00A37F87" w:rsidRPr="008219C1" w14:paraId="16A81C91" w14:textId="77777777" w:rsidTr="00A64B72">
        <w:tc>
          <w:tcPr>
            <w:tcW w:w="2864" w:type="dxa"/>
          </w:tcPr>
          <w:p w14:paraId="7AA32D8E"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4675BD10" w14:textId="0C31D793" w:rsidR="008219C1" w:rsidRPr="002E58D8" w:rsidRDefault="008219C1" w:rsidP="002E58D8">
            <w:pPr>
              <w:pStyle w:val="BodyText"/>
              <w:ind w:left="0"/>
              <w:rPr>
                <w:rFonts w:asciiTheme="minorHAnsi" w:hAnsiTheme="minorHAnsi" w:cstheme="minorHAnsi"/>
                <w:b w:val="0"/>
                <w:bCs w:val="0"/>
                <w:i/>
                <w:iCs/>
                <w:sz w:val="20"/>
                <w:szCs w:val="20"/>
              </w:rPr>
            </w:pPr>
            <w:r w:rsidRPr="008219C1">
              <w:rPr>
                <w:rFonts w:asciiTheme="minorHAnsi" w:hAnsiTheme="minorHAnsi" w:cstheme="minorHAnsi"/>
                <w:b w:val="0"/>
                <w:bCs w:val="0"/>
                <w:sz w:val="20"/>
                <w:szCs w:val="20"/>
              </w:rPr>
              <w:t>DLR 1.8: By December 31, 202</w:t>
            </w:r>
            <w:r w:rsidR="00014F32">
              <w:rPr>
                <w:rFonts w:asciiTheme="minorHAnsi" w:hAnsiTheme="minorHAnsi" w:cstheme="minorHAnsi"/>
                <w:b w:val="0"/>
                <w:bCs w:val="0"/>
                <w:sz w:val="20"/>
                <w:szCs w:val="20"/>
              </w:rPr>
              <w:t>8</w:t>
            </w:r>
            <w:r w:rsidRPr="008219C1">
              <w:rPr>
                <w:rFonts w:asciiTheme="minorHAnsi" w:hAnsiTheme="minorHAnsi" w:cstheme="minorHAnsi"/>
                <w:b w:val="0"/>
                <w:bCs w:val="0"/>
                <w:sz w:val="20"/>
                <w:szCs w:val="20"/>
              </w:rPr>
              <w:t xml:space="preserve">, at least annual adjustment of generation, transmission, distribution, and end-user tariffs as per the new tariff methodology and consistent with the targets approved under the Electricity Tariff Paper </w:t>
            </w:r>
            <w:r w:rsidRPr="008219C1">
              <w:rPr>
                <w:rFonts w:asciiTheme="minorHAnsi" w:hAnsiTheme="minorHAnsi" w:cstheme="minorHAnsi"/>
                <w:b w:val="0"/>
                <w:bCs w:val="0"/>
                <w:i/>
                <w:iCs/>
                <w:sz w:val="20"/>
                <w:szCs w:val="20"/>
              </w:rPr>
              <w:t>(new)</w:t>
            </w:r>
          </w:p>
        </w:tc>
        <w:tc>
          <w:tcPr>
            <w:tcW w:w="1890" w:type="dxa"/>
          </w:tcPr>
          <w:p w14:paraId="2DE2F28B" w14:textId="37182F94" w:rsidR="008219C1" w:rsidRPr="00D17C5B" w:rsidRDefault="00506837"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w:t>
            </w:r>
          </w:p>
        </w:tc>
        <w:tc>
          <w:tcPr>
            <w:tcW w:w="1620" w:type="dxa"/>
          </w:tcPr>
          <w:p w14:paraId="767F8F44" w14:textId="16AE9686" w:rsidR="008219C1" w:rsidRPr="00A37F87" w:rsidRDefault="0050683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2</w:t>
            </w:r>
            <w:r w:rsidR="00A14EDB">
              <w:rPr>
                <w:rFonts w:asciiTheme="minorHAnsi" w:hAnsiTheme="minorHAnsi" w:cstheme="minorHAnsi"/>
                <w:b w:val="0"/>
                <w:bCs w:val="0"/>
                <w:sz w:val="20"/>
                <w:szCs w:val="20"/>
              </w:rPr>
              <w:t>0</w:t>
            </w:r>
            <w:r w:rsidRPr="00A37F87">
              <w:rPr>
                <w:rFonts w:asciiTheme="minorHAnsi" w:hAnsiTheme="minorHAnsi" w:cstheme="minorHAnsi"/>
                <w:b w:val="0"/>
                <w:bCs w:val="0"/>
                <w:sz w:val="20"/>
                <w:szCs w:val="20"/>
              </w:rPr>
              <w:t>0,000</w:t>
            </w:r>
          </w:p>
        </w:tc>
      </w:tr>
      <w:tr w:rsidR="00A37F87" w:rsidRPr="008219C1" w14:paraId="3167BDBF" w14:textId="77777777" w:rsidTr="00A64B72">
        <w:tc>
          <w:tcPr>
            <w:tcW w:w="2864" w:type="dxa"/>
          </w:tcPr>
          <w:p w14:paraId="4A5C99B4"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46CAE527" w14:textId="71E5698A" w:rsidR="008219C1" w:rsidRPr="002E58D8" w:rsidRDefault="008219C1" w:rsidP="00A64B72">
            <w:pPr>
              <w:pStyle w:val="BodyText"/>
              <w:ind w:left="0"/>
              <w:rPr>
                <w:rFonts w:asciiTheme="minorHAnsi" w:hAnsiTheme="minorHAnsi" w:cstheme="minorHAnsi"/>
                <w:b w:val="0"/>
                <w:bCs w:val="0"/>
                <w:i/>
                <w:iCs/>
                <w:sz w:val="20"/>
                <w:szCs w:val="20"/>
              </w:rPr>
            </w:pPr>
            <w:r w:rsidRPr="008219C1">
              <w:rPr>
                <w:rFonts w:asciiTheme="minorHAnsi" w:hAnsiTheme="minorHAnsi" w:cstheme="minorHAnsi"/>
                <w:b w:val="0"/>
                <w:bCs w:val="0"/>
                <w:sz w:val="20"/>
                <w:szCs w:val="20"/>
              </w:rPr>
              <w:t>DLR 1.9: By December 31, 202</w:t>
            </w:r>
            <w:r w:rsidR="00014F32">
              <w:rPr>
                <w:rFonts w:asciiTheme="minorHAnsi" w:hAnsiTheme="minorHAnsi" w:cstheme="minorHAnsi"/>
                <w:b w:val="0"/>
                <w:bCs w:val="0"/>
                <w:sz w:val="20"/>
                <w:szCs w:val="20"/>
              </w:rPr>
              <w:t>9</w:t>
            </w:r>
            <w:r w:rsidRPr="008219C1">
              <w:rPr>
                <w:rFonts w:asciiTheme="minorHAnsi" w:hAnsiTheme="minorHAnsi" w:cstheme="minorHAnsi"/>
                <w:b w:val="0"/>
                <w:bCs w:val="0"/>
                <w:sz w:val="20"/>
                <w:szCs w:val="20"/>
              </w:rPr>
              <w:t xml:space="preserve">, at least annual adjustment of generation, transmission, distribution, and end-user tariffs as per the new tariff methodology and consistent with the targets approved under the Electricity Tariff Paper </w:t>
            </w:r>
            <w:r w:rsidRPr="008219C1">
              <w:rPr>
                <w:rFonts w:asciiTheme="minorHAnsi" w:hAnsiTheme="minorHAnsi" w:cstheme="minorHAnsi"/>
                <w:b w:val="0"/>
                <w:bCs w:val="0"/>
                <w:i/>
                <w:iCs/>
                <w:sz w:val="20"/>
                <w:szCs w:val="20"/>
              </w:rPr>
              <w:t>(new)</w:t>
            </w:r>
          </w:p>
        </w:tc>
        <w:tc>
          <w:tcPr>
            <w:tcW w:w="1890" w:type="dxa"/>
          </w:tcPr>
          <w:p w14:paraId="70C5D525" w14:textId="5002A26E" w:rsidR="008219C1" w:rsidRPr="00D17C5B" w:rsidRDefault="00A33A24"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w:t>
            </w:r>
          </w:p>
        </w:tc>
        <w:tc>
          <w:tcPr>
            <w:tcW w:w="1620" w:type="dxa"/>
          </w:tcPr>
          <w:p w14:paraId="708ECD52" w14:textId="2ACA333C" w:rsidR="008219C1" w:rsidRPr="00A37F87" w:rsidRDefault="0050683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2</w:t>
            </w:r>
            <w:r w:rsidR="00A14EDB">
              <w:rPr>
                <w:rFonts w:asciiTheme="minorHAnsi" w:hAnsiTheme="minorHAnsi" w:cstheme="minorHAnsi"/>
                <w:b w:val="0"/>
                <w:bCs w:val="0"/>
                <w:sz w:val="20"/>
                <w:szCs w:val="20"/>
              </w:rPr>
              <w:t>0</w:t>
            </w:r>
            <w:r w:rsidRPr="00A37F87">
              <w:rPr>
                <w:rFonts w:asciiTheme="minorHAnsi" w:hAnsiTheme="minorHAnsi" w:cstheme="minorHAnsi"/>
                <w:b w:val="0"/>
                <w:bCs w:val="0"/>
                <w:sz w:val="20"/>
                <w:szCs w:val="20"/>
              </w:rPr>
              <w:t>0,000</w:t>
            </w:r>
          </w:p>
        </w:tc>
      </w:tr>
      <w:tr w:rsidR="00A37F87" w:rsidRPr="008219C1" w14:paraId="24132B26" w14:textId="77777777" w:rsidTr="00A64B72">
        <w:tc>
          <w:tcPr>
            <w:tcW w:w="2864" w:type="dxa"/>
          </w:tcPr>
          <w:p w14:paraId="73E72512"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044CF643" w14:textId="2EADACE2" w:rsidR="008219C1" w:rsidRPr="002E58D8" w:rsidRDefault="008219C1" w:rsidP="00A64B72">
            <w:pPr>
              <w:pStyle w:val="BodyText"/>
              <w:ind w:left="0"/>
              <w:rPr>
                <w:rFonts w:asciiTheme="minorHAnsi" w:hAnsiTheme="minorHAnsi" w:cstheme="minorHAnsi"/>
                <w:b w:val="0"/>
                <w:bCs w:val="0"/>
                <w:i/>
                <w:iCs/>
                <w:sz w:val="20"/>
                <w:szCs w:val="20"/>
              </w:rPr>
            </w:pPr>
            <w:r w:rsidRPr="008219C1">
              <w:rPr>
                <w:rFonts w:asciiTheme="minorHAnsi" w:hAnsiTheme="minorHAnsi" w:cstheme="minorHAnsi"/>
                <w:b w:val="0"/>
                <w:bCs w:val="0"/>
                <w:sz w:val="20"/>
                <w:szCs w:val="20"/>
              </w:rPr>
              <w:t>DLR 1.10: By December 31, 20</w:t>
            </w:r>
            <w:r w:rsidR="00014F32">
              <w:rPr>
                <w:rFonts w:asciiTheme="minorHAnsi" w:hAnsiTheme="minorHAnsi" w:cstheme="minorHAnsi"/>
                <w:b w:val="0"/>
                <w:bCs w:val="0"/>
                <w:sz w:val="20"/>
                <w:szCs w:val="20"/>
              </w:rPr>
              <w:t>30</w:t>
            </w:r>
            <w:r w:rsidRPr="008219C1">
              <w:rPr>
                <w:rFonts w:asciiTheme="minorHAnsi" w:hAnsiTheme="minorHAnsi" w:cstheme="minorHAnsi"/>
                <w:b w:val="0"/>
                <w:bCs w:val="0"/>
                <w:sz w:val="20"/>
                <w:szCs w:val="20"/>
              </w:rPr>
              <w:t xml:space="preserve">, at least annual adjustment of generation, transmission, distribution, and end-user tariffs as per the new tariff methodology and consistent with the targets approved under the Electricity Tariff Paper </w:t>
            </w:r>
            <w:r w:rsidRPr="008219C1">
              <w:rPr>
                <w:rFonts w:asciiTheme="minorHAnsi" w:hAnsiTheme="minorHAnsi" w:cstheme="minorHAnsi"/>
                <w:b w:val="0"/>
                <w:bCs w:val="0"/>
                <w:i/>
                <w:iCs/>
                <w:sz w:val="20"/>
                <w:szCs w:val="20"/>
              </w:rPr>
              <w:t>(new)</w:t>
            </w:r>
          </w:p>
        </w:tc>
        <w:tc>
          <w:tcPr>
            <w:tcW w:w="1890" w:type="dxa"/>
          </w:tcPr>
          <w:p w14:paraId="17901E71" w14:textId="3876E55C" w:rsidR="008219C1" w:rsidRPr="00D17C5B" w:rsidRDefault="00A33A24"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w:t>
            </w:r>
          </w:p>
        </w:tc>
        <w:tc>
          <w:tcPr>
            <w:tcW w:w="1620" w:type="dxa"/>
          </w:tcPr>
          <w:p w14:paraId="0EEC8E13" w14:textId="1142F81E" w:rsidR="008219C1" w:rsidRPr="00A37F87" w:rsidRDefault="0050683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2</w:t>
            </w:r>
            <w:r w:rsidR="00A14EDB">
              <w:rPr>
                <w:rFonts w:asciiTheme="minorHAnsi" w:hAnsiTheme="minorHAnsi" w:cstheme="minorHAnsi"/>
                <w:b w:val="0"/>
                <w:bCs w:val="0"/>
                <w:sz w:val="20"/>
                <w:szCs w:val="20"/>
              </w:rPr>
              <w:t>0</w:t>
            </w:r>
            <w:r w:rsidRPr="00A37F87">
              <w:rPr>
                <w:rFonts w:asciiTheme="minorHAnsi" w:hAnsiTheme="minorHAnsi" w:cstheme="minorHAnsi"/>
                <w:b w:val="0"/>
                <w:bCs w:val="0"/>
                <w:sz w:val="20"/>
                <w:szCs w:val="20"/>
              </w:rPr>
              <w:t>0,000</w:t>
            </w:r>
          </w:p>
        </w:tc>
      </w:tr>
      <w:tr w:rsidR="00A37F87" w:rsidRPr="008219C1" w14:paraId="268105CB" w14:textId="77777777" w:rsidTr="00A64B72">
        <w:tc>
          <w:tcPr>
            <w:tcW w:w="2864" w:type="dxa"/>
          </w:tcPr>
          <w:p w14:paraId="0E6B05C8"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613C5737" w14:textId="48417C08" w:rsidR="008219C1" w:rsidRPr="002E58D8" w:rsidRDefault="008219C1" w:rsidP="00A64B72">
            <w:pPr>
              <w:pStyle w:val="BodyText"/>
              <w:ind w:left="0"/>
              <w:rPr>
                <w:rFonts w:asciiTheme="minorHAnsi" w:hAnsiTheme="minorHAnsi" w:cstheme="minorHAnsi"/>
                <w:b w:val="0"/>
                <w:bCs w:val="0"/>
                <w:i/>
                <w:iCs/>
                <w:sz w:val="20"/>
                <w:szCs w:val="20"/>
              </w:rPr>
            </w:pPr>
            <w:r w:rsidRPr="008219C1">
              <w:rPr>
                <w:rFonts w:asciiTheme="minorHAnsi" w:hAnsiTheme="minorHAnsi" w:cstheme="minorHAnsi"/>
                <w:b w:val="0"/>
                <w:bCs w:val="0"/>
                <w:sz w:val="20"/>
                <w:szCs w:val="20"/>
              </w:rPr>
              <w:t>DLR 1.11: By December 31, 20</w:t>
            </w:r>
            <w:r w:rsidR="00014F32">
              <w:rPr>
                <w:rFonts w:asciiTheme="minorHAnsi" w:hAnsiTheme="minorHAnsi" w:cstheme="minorHAnsi"/>
                <w:b w:val="0"/>
                <w:bCs w:val="0"/>
                <w:sz w:val="20"/>
                <w:szCs w:val="20"/>
              </w:rPr>
              <w:t>31</w:t>
            </w:r>
            <w:r w:rsidRPr="008219C1">
              <w:rPr>
                <w:rFonts w:asciiTheme="minorHAnsi" w:hAnsiTheme="minorHAnsi" w:cstheme="minorHAnsi"/>
                <w:b w:val="0"/>
                <w:bCs w:val="0"/>
                <w:sz w:val="20"/>
                <w:szCs w:val="20"/>
              </w:rPr>
              <w:t xml:space="preserve">, at least annual adjustment of generation, transmission, distribution, and end-user tariffs as per the new tariff methodology and consistent with the targets approved under the Electricity Tariff Paper </w:t>
            </w:r>
            <w:r w:rsidRPr="008219C1">
              <w:rPr>
                <w:rFonts w:asciiTheme="minorHAnsi" w:hAnsiTheme="minorHAnsi" w:cstheme="minorHAnsi"/>
                <w:b w:val="0"/>
                <w:bCs w:val="0"/>
                <w:i/>
                <w:iCs/>
                <w:sz w:val="20"/>
                <w:szCs w:val="20"/>
              </w:rPr>
              <w:t>(new)</w:t>
            </w:r>
          </w:p>
        </w:tc>
        <w:tc>
          <w:tcPr>
            <w:tcW w:w="1890" w:type="dxa"/>
          </w:tcPr>
          <w:p w14:paraId="62EAD50F" w14:textId="273563D1" w:rsidR="008219C1" w:rsidRPr="00D17C5B" w:rsidRDefault="00A33A24"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w:t>
            </w:r>
          </w:p>
        </w:tc>
        <w:tc>
          <w:tcPr>
            <w:tcW w:w="1620" w:type="dxa"/>
          </w:tcPr>
          <w:p w14:paraId="65FC98DB" w14:textId="571AD09F" w:rsidR="008219C1" w:rsidRPr="00A37F87" w:rsidRDefault="0050683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2</w:t>
            </w:r>
            <w:r w:rsidR="00A14EDB">
              <w:rPr>
                <w:rFonts w:asciiTheme="minorHAnsi" w:hAnsiTheme="minorHAnsi" w:cstheme="minorHAnsi"/>
                <w:b w:val="0"/>
                <w:bCs w:val="0"/>
                <w:sz w:val="20"/>
                <w:szCs w:val="20"/>
              </w:rPr>
              <w:t>0</w:t>
            </w:r>
            <w:r w:rsidRPr="00A37F87">
              <w:rPr>
                <w:rFonts w:asciiTheme="minorHAnsi" w:hAnsiTheme="minorHAnsi" w:cstheme="minorHAnsi"/>
                <w:b w:val="0"/>
                <w:bCs w:val="0"/>
                <w:sz w:val="20"/>
                <w:szCs w:val="20"/>
              </w:rPr>
              <w:t>0,000</w:t>
            </w:r>
          </w:p>
        </w:tc>
      </w:tr>
      <w:tr w:rsidR="00A37F87" w:rsidRPr="008219C1" w14:paraId="415EA42D" w14:textId="77777777" w:rsidTr="00A64B72">
        <w:tc>
          <w:tcPr>
            <w:tcW w:w="2864" w:type="dxa"/>
          </w:tcPr>
          <w:p w14:paraId="3EC7F65E" w14:textId="77777777" w:rsidR="008219C1" w:rsidRPr="008219C1" w:rsidRDefault="008219C1" w:rsidP="00A64B72">
            <w:pPr>
              <w:pStyle w:val="BodyText"/>
              <w:ind w:left="0"/>
              <w:rPr>
                <w:rFonts w:asciiTheme="minorHAnsi" w:hAnsiTheme="minorHAnsi" w:cstheme="minorHAnsi"/>
                <w:sz w:val="20"/>
                <w:szCs w:val="20"/>
              </w:rPr>
            </w:pPr>
            <w:r w:rsidRPr="008219C1">
              <w:rPr>
                <w:rFonts w:asciiTheme="minorHAnsi" w:hAnsiTheme="minorHAnsi" w:cstheme="minorHAnsi"/>
                <w:sz w:val="20"/>
                <w:szCs w:val="20"/>
              </w:rPr>
              <w:t>DLI #2: Revision of subsidiary agreements between the MOF and BT</w:t>
            </w:r>
          </w:p>
        </w:tc>
        <w:tc>
          <w:tcPr>
            <w:tcW w:w="4066" w:type="dxa"/>
          </w:tcPr>
          <w:p w14:paraId="673F29A9" w14:textId="64AC087C" w:rsidR="008219C1" w:rsidRPr="008219C1" w:rsidRDefault="008219C1" w:rsidP="00A64B72">
            <w:pPr>
              <w:pStyle w:val="BodyText"/>
              <w:ind w:left="0"/>
              <w:rPr>
                <w:rFonts w:asciiTheme="minorHAnsi" w:hAnsiTheme="minorHAnsi" w:cstheme="minorHAnsi"/>
                <w:b w:val="0"/>
                <w:bCs w:val="0"/>
                <w:sz w:val="20"/>
                <w:szCs w:val="20"/>
              </w:rPr>
            </w:pPr>
            <w:r w:rsidRPr="008219C1">
              <w:rPr>
                <w:rFonts w:asciiTheme="minorHAnsi" w:hAnsiTheme="minorHAnsi" w:cstheme="minorHAnsi"/>
                <w:b w:val="0"/>
                <w:bCs w:val="0"/>
                <w:sz w:val="20"/>
                <w:szCs w:val="20"/>
              </w:rPr>
              <w:t>DLR 2.1: By October 30, 2020, the Recipient converts into equity ownership of BT the outstanding principal amounts and interest payable by BT for ten (10) loans under Group 1 Subsidiary Agreements</w:t>
            </w:r>
          </w:p>
        </w:tc>
        <w:tc>
          <w:tcPr>
            <w:tcW w:w="1890" w:type="dxa"/>
          </w:tcPr>
          <w:p w14:paraId="7D2E2556" w14:textId="14EEFAC9" w:rsidR="008219C1" w:rsidRPr="00D17C5B" w:rsidRDefault="009D28AD"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8,000,000</w:t>
            </w:r>
          </w:p>
        </w:tc>
        <w:tc>
          <w:tcPr>
            <w:tcW w:w="1620" w:type="dxa"/>
          </w:tcPr>
          <w:p w14:paraId="6E5B587D" w14:textId="528E594F" w:rsidR="008219C1" w:rsidRPr="00A37F87" w:rsidRDefault="0050683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w:t>
            </w:r>
          </w:p>
        </w:tc>
      </w:tr>
      <w:tr w:rsidR="00A37F87" w:rsidRPr="008219C1" w14:paraId="2A46C5AB" w14:textId="77777777" w:rsidTr="00A64B72">
        <w:tc>
          <w:tcPr>
            <w:tcW w:w="2864" w:type="dxa"/>
          </w:tcPr>
          <w:p w14:paraId="66CD3A6C"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469E45CA" w14:textId="65D3FB21" w:rsidR="008219C1" w:rsidRPr="008219C1" w:rsidRDefault="008219C1" w:rsidP="002E58D8">
            <w:pPr>
              <w:pStyle w:val="BodyText"/>
              <w:ind w:left="0"/>
              <w:rPr>
                <w:rFonts w:asciiTheme="minorHAnsi" w:hAnsiTheme="minorHAnsi" w:cstheme="minorHAnsi"/>
                <w:b w:val="0"/>
                <w:bCs w:val="0"/>
                <w:sz w:val="20"/>
                <w:szCs w:val="20"/>
              </w:rPr>
            </w:pPr>
            <w:r w:rsidRPr="008219C1">
              <w:rPr>
                <w:rFonts w:asciiTheme="minorHAnsi" w:hAnsiTheme="minorHAnsi" w:cstheme="minorHAnsi"/>
                <w:b w:val="0"/>
                <w:bCs w:val="0"/>
                <w:sz w:val="20"/>
                <w:szCs w:val="20"/>
              </w:rPr>
              <w:t>DLR 2.2: By October 30, 2020, the terms of any new financing received by BT from the MOF are aligned with the terms in the respective legal agreements between the Recipient and the financiers</w:t>
            </w:r>
          </w:p>
        </w:tc>
        <w:tc>
          <w:tcPr>
            <w:tcW w:w="1890" w:type="dxa"/>
          </w:tcPr>
          <w:p w14:paraId="40E81F10" w14:textId="558CDE82" w:rsidR="008219C1" w:rsidRPr="00D17C5B" w:rsidRDefault="009D28AD"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2,000,000</w:t>
            </w:r>
          </w:p>
        </w:tc>
        <w:tc>
          <w:tcPr>
            <w:tcW w:w="1620" w:type="dxa"/>
          </w:tcPr>
          <w:p w14:paraId="23FC89FF" w14:textId="0C9C9CB5" w:rsidR="008219C1" w:rsidRPr="00A37F87" w:rsidRDefault="0050683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w:t>
            </w:r>
          </w:p>
        </w:tc>
      </w:tr>
      <w:tr w:rsidR="00A37F87" w:rsidRPr="008219C1" w14:paraId="0F1700B8" w14:textId="77777777" w:rsidTr="00A64B72">
        <w:tc>
          <w:tcPr>
            <w:tcW w:w="2864" w:type="dxa"/>
          </w:tcPr>
          <w:p w14:paraId="7819F647"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73FE9C59" w14:textId="02B16435" w:rsidR="008219C1" w:rsidRPr="008219C1" w:rsidRDefault="008219C1" w:rsidP="00A64B72">
            <w:pPr>
              <w:pStyle w:val="BodyText"/>
              <w:ind w:left="0"/>
              <w:rPr>
                <w:rFonts w:asciiTheme="minorHAnsi" w:hAnsiTheme="minorHAnsi" w:cstheme="minorHAnsi"/>
                <w:b w:val="0"/>
                <w:bCs w:val="0"/>
                <w:sz w:val="20"/>
                <w:szCs w:val="20"/>
              </w:rPr>
            </w:pPr>
            <w:r w:rsidRPr="008219C1">
              <w:rPr>
                <w:rFonts w:asciiTheme="minorHAnsi" w:hAnsiTheme="minorHAnsi" w:cstheme="minorHAnsi"/>
                <w:b w:val="0"/>
                <w:bCs w:val="0"/>
                <w:sz w:val="20"/>
                <w:szCs w:val="20"/>
              </w:rPr>
              <w:t>DLR 2.3: By December 31, 2020, the Recipient converts into equity ownership of BT the outstanding principal amounts and interest payable under additional four (4) Group 1 Subsidiary Agreements</w:t>
            </w:r>
          </w:p>
        </w:tc>
        <w:tc>
          <w:tcPr>
            <w:tcW w:w="1890" w:type="dxa"/>
          </w:tcPr>
          <w:p w14:paraId="09C0EA30" w14:textId="2139E577" w:rsidR="008219C1" w:rsidRPr="00D17C5B" w:rsidRDefault="009D28AD"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2,400,000</w:t>
            </w:r>
          </w:p>
        </w:tc>
        <w:tc>
          <w:tcPr>
            <w:tcW w:w="1620" w:type="dxa"/>
          </w:tcPr>
          <w:p w14:paraId="48E4DD9F" w14:textId="113C4DC7" w:rsidR="008219C1" w:rsidRPr="00A37F87" w:rsidRDefault="0050683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w:t>
            </w:r>
          </w:p>
        </w:tc>
      </w:tr>
      <w:tr w:rsidR="00A37F87" w:rsidRPr="008219C1" w14:paraId="7376DB68" w14:textId="77777777" w:rsidTr="00A64B72">
        <w:tc>
          <w:tcPr>
            <w:tcW w:w="2864" w:type="dxa"/>
          </w:tcPr>
          <w:p w14:paraId="0083522A"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4874A7FB" w14:textId="2F5FB33A" w:rsidR="008219C1" w:rsidRPr="008219C1" w:rsidRDefault="008219C1" w:rsidP="00A64B72">
            <w:pPr>
              <w:pStyle w:val="BodyText"/>
              <w:ind w:left="0"/>
              <w:rPr>
                <w:rFonts w:asciiTheme="minorHAnsi" w:hAnsiTheme="minorHAnsi" w:cstheme="minorHAnsi"/>
                <w:b w:val="0"/>
                <w:bCs w:val="0"/>
                <w:sz w:val="20"/>
                <w:szCs w:val="20"/>
              </w:rPr>
            </w:pPr>
            <w:r w:rsidRPr="008219C1">
              <w:rPr>
                <w:rFonts w:asciiTheme="minorHAnsi" w:hAnsiTheme="minorHAnsi" w:cstheme="minorHAnsi"/>
                <w:b w:val="0"/>
                <w:bCs w:val="0"/>
                <w:sz w:val="20"/>
                <w:szCs w:val="20"/>
              </w:rPr>
              <w:t xml:space="preserve">DLR 2.4: By December 31, 2020, the BT Supervisory Board adopts a formal decision to prohibit BT from receiving new financing from the MOF, unless the terms of such financing </w:t>
            </w:r>
            <w:r w:rsidRPr="008219C1">
              <w:rPr>
                <w:rFonts w:asciiTheme="minorHAnsi" w:hAnsiTheme="minorHAnsi" w:cstheme="minorHAnsi"/>
                <w:b w:val="0"/>
                <w:bCs w:val="0"/>
                <w:sz w:val="20"/>
                <w:szCs w:val="20"/>
              </w:rPr>
              <w:lastRenderedPageBreak/>
              <w:t>are aligned with the terms reflected in the legal documents between the Recipient and the financiers</w:t>
            </w:r>
          </w:p>
        </w:tc>
        <w:tc>
          <w:tcPr>
            <w:tcW w:w="1890" w:type="dxa"/>
          </w:tcPr>
          <w:p w14:paraId="3E5D36B4" w14:textId="3269C69E" w:rsidR="008219C1" w:rsidRPr="00D17C5B" w:rsidRDefault="009D28AD"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lastRenderedPageBreak/>
              <w:t>4,600,000</w:t>
            </w:r>
          </w:p>
        </w:tc>
        <w:tc>
          <w:tcPr>
            <w:tcW w:w="1620" w:type="dxa"/>
          </w:tcPr>
          <w:p w14:paraId="19086E29" w14:textId="52C82DFC" w:rsidR="008219C1" w:rsidRPr="00A37F87" w:rsidRDefault="0050683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w:t>
            </w:r>
          </w:p>
        </w:tc>
      </w:tr>
      <w:tr w:rsidR="00A37F87" w:rsidRPr="008219C1" w14:paraId="6A1CCE2D" w14:textId="77777777" w:rsidTr="00A64B72">
        <w:tc>
          <w:tcPr>
            <w:tcW w:w="2864" w:type="dxa"/>
          </w:tcPr>
          <w:p w14:paraId="31CC0DAF"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32E4FEBD" w14:textId="7B2659D4" w:rsidR="008219C1" w:rsidRPr="008219C1" w:rsidRDefault="008219C1" w:rsidP="00A64B72">
            <w:pPr>
              <w:pStyle w:val="BodyText"/>
              <w:ind w:left="0"/>
              <w:rPr>
                <w:rFonts w:asciiTheme="minorHAnsi" w:hAnsiTheme="minorHAnsi" w:cstheme="minorHAnsi"/>
                <w:b w:val="0"/>
                <w:bCs w:val="0"/>
                <w:sz w:val="20"/>
                <w:szCs w:val="20"/>
              </w:rPr>
            </w:pPr>
            <w:r w:rsidRPr="008219C1">
              <w:rPr>
                <w:rFonts w:asciiTheme="minorHAnsi" w:hAnsiTheme="minorHAnsi" w:cstheme="minorHAnsi"/>
                <w:b w:val="0"/>
                <w:bCs w:val="0"/>
                <w:sz w:val="20"/>
                <w:szCs w:val="20"/>
              </w:rPr>
              <w:t>DLR 2.5: By December 31, 2020, the terms of any new financing received by BT from the MOF are aligned with the terms in the respective legal documents between the Recipient and the financiers</w:t>
            </w:r>
          </w:p>
        </w:tc>
        <w:tc>
          <w:tcPr>
            <w:tcW w:w="1890" w:type="dxa"/>
          </w:tcPr>
          <w:p w14:paraId="160D659D" w14:textId="2859E7FD" w:rsidR="008219C1" w:rsidRPr="00D17C5B" w:rsidRDefault="009D28AD"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2,000,000</w:t>
            </w:r>
          </w:p>
        </w:tc>
        <w:tc>
          <w:tcPr>
            <w:tcW w:w="1620" w:type="dxa"/>
          </w:tcPr>
          <w:p w14:paraId="1B00006B" w14:textId="6110C65C" w:rsidR="008219C1" w:rsidRPr="00A37F87" w:rsidRDefault="0050683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w:t>
            </w:r>
          </w:p>
        </w:tc>
      </w:tr>
      <w:tr w:rsidR="00A37F87" w:rsidRPr="008219C1" w14:paraId="187DB1E7" w14:textId="77777777" w:rsidTr="00A64B72">
        <w:tc>
          <w:tcPr>
            <w:tcW w:w="2864" w:type="dxa"/>
          </w:tcPr>
          <w:p w14:paraId="6E1E9539"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563001AC" w14:textId="595302FE" w:rsidR="008219C1" w:rsidRPr="002E58D8" w:rsidRDefault="008219C1" w:rsidP="00A64B72">
            <w:pPr>
              <w:pStyle w:val="BodyText"/>
              <w:ind w:left="0"/>
              <w:rPr>
                <w:rFonts w:asciiTheme="minorHAnsi" w:hAnsiTheme="minorHAnsi" w:cstheme="minorHAnsi"/>
                <w:b w:val="0"/>
                <w:bCs w:val="0"/>
                <w:i/>
                <w:iCs/>
                <w:sz w:val="20"/>
                <w:szCs w:val="20"/>
              </w:rPr>
            </w:pPr>
            <w:r w:rsidRPr="008219C1">
              <w:rPr>
                <w:rFonts w:asciiTheme="minorHAnsi" w:hAnsiTheme="minorHAnsi" w:cstheme="minorHAnsi"/>
                <w:b w:val="0"/>
                <w:bCs w:val="0"/>
                <w:sz w:val="20"/>
                <w:szCs w:val="20"/>
              </w:rPr>
              <w:t xml:space="preserve">DLR 2.6: By September 30, 2022, (a) the MOF and BT revise the terms of ten (10) loans under Group 2 Subsidiary Agreements to align those with the terms in respective legal agreements between the </w:t>
            </w:r>
            <w:r w:rsidRPr="0085561E">
              <w:rPr>
                <w:rFonts w:asciiTheme="minorHAnsi" w:hAnsiTheme="minorHAnsi" w:cstheme="minorHAnsi"/>
                <w:b w:val="0"/>
                <w:bCs w:val="0"/>
                <w:sz w:val="20"/>
                <w:szCs w:val="20"/>
              </w:rPr>
              <w:t xml:space="preserve">Recipient and the financiers; and (b) the Recipient converts into equity the difference between the original and revised interest payable by BT to the MOF under each of the </w:t>
            </w:r>
            <w:r w:rsidR="0085561E" w:rsidRPr="0085561E">
              <w:rPr>
                <w:rFonts w:asciiTheme="minorHAnsi" w:hAnsiTheme="minorHAnsi" w:cstheme="minorHAnsi"/>
                <w:b w:val="0"/>
                <w:bCs w:val="0"/>
                <w:sz w:val="20"/>
                <w:szCs w:val="20"/>
              </w:rPr>
              <w:t>ten</w:t>
            </w:r>
            <w:r w:rsidRPr="0085561E">
              <w:rPr>
                <w:rFonts w:asciiTheme="minorHAnsi" w:hAnsiTheme="minorHAnsi" w:cstheme="minorHAnsi"/>
                <w:b w:val="0"/>
                <w:bCs w:val="0"/>
                <w:sz w:val="20"/>
                <w:szCs w:val="20"/>
              </w:rPr>
              <w:t xml:space="preserve"> (</w:t>
            </w:r>
            <w:r w:rsidR="0085561E" w:rsidRPr="0085561E">
              <w:rPr>
                <w:rFonts w:asciiTheme="minorHAnsi" w:hAnsiTheme="minorHAnsi" w:cstheme="minorHAnsi"/>
                <w:b w:val="0"/>
                <w:bCs w:val="0"/>
                <w:sz w:val="20"/>
                <w:szCs w:val="20"/>
              </w:rPr>
              <w:t>10</w:t>
            </w:r>
            <w:r w:rsidRPr="0085561E">
              <w:rPr>
                <w:rFonts w:asciiTheme="minorHAnsi" w:hAnsiTheme="minorHAnsi" w:cstheme="minorHAnsi"/>
                <w:b w:val="0"/>
                <w:bCs w:val="0"/>
                <w:sz w:val="20"/>
                <w:szCs w:val="20"/>
              </w:rPr>
              <w:t>) loans from Group 2 Subsidiary Agreements, assuming the</w:t>
            </w:r>
            <w:r w:rsidRPr="008219C1">
              <w:rPr>
                <w:rFonts w:asciiTheme="minorHAnsi" w:hAnsiTheme="minorHAnsi" w:cstheme="minorHAnsi"/>
                <w:b w:val="0"/>
                <w:bCs w:val="0"/>
                <w:sz w:val="20"/>
                <w:szCs w:val="20"/>
              </w:rPr>
              <w:t xml:space="preserve"> revised terms of each such loan were in effect since the effectiveness date of the respective Group 2 Subsidiary Agreements </w:t>
            </w:r>
            <w:r w:rsidRPr="008219C1">
              <w:rPr>
                <w:rFonts w:asciiTheme="minorHAnsi" w:hAnsiTheme="minorHAnsi" w:cstheme="minorHAnsi"/>
                <w:b w:val="0"/>
                <w:bCs w:val="0"/>
                <w:i/>
                <w:iCs/>
                <w:sz w:val="20"/>
                <w:szCs w:val="20"/>
              </w:rPr>
              <w:t>(</w:t>
            </w:r>
            <w:r w:rsidR="00A37F87">
              <w:rPr>
                <w:rFonts w:asciiTheme="minorHAnsi" w:hAnsiTheme="minorHAnsi" w:cstheme="minorHAnsi"/>
                <w:b w:val="0"/>
                <w:bCs w:val="0"/>
                <w:i/>
                <w:iCs/>
                <w:sz w:val="20"/>
                <w:szCs w:val="20"/>
              </w:rPr>
              <w:t xml:space="preserve">revised deadline and </w:t>
            </w:r>
            <w:r w:rsidRPr="008219C1">
              <w:rPr>
                <w:rFonts w:asciiTheme="minorHAnsi" w:hAnsiTheme="minorHAnsi" w:cstheme="minorHAnsi"/>
                <w:b w:val="0"/>
                <w:bCs w:val="0"/>
                <w:i/>
                <w:iCs/>
                <w:sz w:val="20"/>
                <w:szCs w:val="20"/>
              </w:rPr>
              <w:t>increased allocation)</w:t>
            </w:r>
          </w:p>
        </w:tc>
        <w:tc>
          <w:tcPr>
            <w:tcW w:w="1890" w:type="dxa"/>
          </w:tcPr>
          <w:p w14:paraId="0ABCFC0E" w14:textId="6C9212B2" w:rsidR="008219C1" w:rsidRPr="00D17C5B" w:rsidRDefault="009D28AD"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5,600,000</w:t>
            </w:r>
          </w:p>
        </w:tc>
        <w:tc>
          <w:tcPr>
            <w:tcW w:w="1620" w:type="dxa"/>
          </w:tcPr>
          <w:p w14:paraId="0F1E4D07" w14:textId="3C21BBA6" w:rsidR="008219C1" w:rsidRPr="00A37F87" w:rsidRDefault="0050683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1,</w:t>
            </w:r>
            <w:r w:rsidR="009463D9">
              <w:rPr>
                <w:rFonts w:asciiTheme="minorHAnsi" w:hAnsiTheme="minorHAnsi" w:cstheme="minorHAnsi"/>
                <w:b w:val="0"/>
                <w:bCs w:val="0"/>
                <w:sz w:val="20"/>
                <w:szCs w:val="20"/>
              </w:rPr>
              <w:t>5</w:t>
            </w:r>
            <w:r w:rsidRPr="00A37F87">
              <w:rPr>
                <w:rFonts w:asciiTheme="minorHAnsi" w:hAnsiTheme="minorHAnsi" w:cstheme="minorHAnsi"/>
                <w:b w:val="0"/>
                <w:bCs w:val="0"/>
                <w:sz w:val="20"/>
                <w:szCs w:val="20"/>
              </w:rPr>
              <w:t>00,000</w:t>
            </w:r>
          </w:p>
        </w:tc>
      </w:tr>
      <w:tr w:rsidR="00A37F87" w:rsidRPr="008219C1" w14:paraId="2553DB10" w14:textId="77777777" w:rsidTr="00A64B72">
        <w:tc>
          <w:tcPr>
            <w:tcW w:w="2864" w:type="dxa"/>
          </w:tcPr>
          <w:p w14:paraId="291EB2C7"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0AFAFD70" w14:textId="5973567A" w:rsidR="008219C1" w:rsidRPr="002E58D8" w:rsidRDefault="008219C1" w:rsidP="00A64B72">
            <w:pPr>
              <w:pStyle w:val="BodyText"/>
              <w:ind w:left="0"/>
              <w:rPr>
                <w:rFonts w:asciiTheme="minorHAnsi" w:hAnsiTheme="minorHAnsi" w:cstheme="minorHAnsi"/>
                <w:b w:val="0"/>
                <w:bCs w:val="0"/>
                <w:i/>
                <w:iCs/>
                <w:sz w:val="20"/>
                <w:szCs w:val="20"/>
              </w:rPr>
            </w:pPr>
            <w:r w:rsidRPr="008219C1">
              <w:rPr>
                <w:rFonts w:asciiTheme="minorHAnsi" w:hAnsiTheme="minorHAnsi" w:cstheme="minorHAnsi"/>
                <w:b w:val="0"/>
                <w:bCs w:val="0"/>
                <w:sz w:val="20"/>
                <w:szCs w:val="20"/>
              </w:rPr>
              <w:t xml:space="preserve">DLR 2.7: </w:t>
            </w:r>
            <w:r w:rsidRPr="009463D9">
              <w:rPr>
                <w:rFonts w:asciiTheme="minorHAnsi" w:hAnsiTheme="minorHAnsi" w:cstheme="minorHAnsi"/>
                <w:b w:val="0"/>
                <w:bCs w:val="0"/>
                <w:sz w:val="20"/>
                <w:szCs w:val="20"/>
              </w:rPr>
              <w:t xml:space="preserve">By </w:t>
            </w:r>
            <w:r w:rsidR="006B2039" w:rsidRPr="009463D9">
              <w:rPr>
                <w:rFonts w:asciiTheme="minorHAnsi" w:hAnsiTheme="minorHAnsi" w:cstheme="minorHAnsi"/>
                <w:b w:val="0"/>
                <w:bCs w:val="0"/>
                <w:sz w:val="20"/>
                <w:szCs w:val="20"/>
              </w:rPr>
              <w:t>June</w:t>
            </w:r>
            <w:r w:rsidRPr="009463D9">
              <w:rPr>
                <w:rFonts w:asciiTheme="minorHAnsi" w:hAnsiTheme="minorHAnsi" w:cstheme="minorHAnsi"/>
                <w:b w:val="0"/>
                <w:bCs w:val="0"/>
                <w:sz w:val="20"/>
                <w:szCs w:val="20"/>
              </w:rPr>
              <w:t xml:space="preserve"> 30, 202</w:t>
            </w:r>
            <w:r w:rsidR="006B2039" w:rsidRPr="009463D9">
              <w:rPr>
                <w:rFonts w:asciiTheme="minorHAnsi" w:hAnsiTheme="minorHAnsi" w:cstheme="minorHAnsi"/>
                <w:b w:val="0"/>
                <w:bCs w:val="0"/>
                <w:sz w:val="20"/>
                <w:szCs w:val="20"/>
              </w:rPr>
              <w:t>1</w:t>
            </w:r>
            <w:r w:rsidRPr="009463D9">
              <w:rPr>
                <w:rFonts w:asciiTheme="minorHAnsi" w:hAnsiTheme="minorHAnsi" w:cstheme="minorHAnsi"/>
                <w:b w:val="0"/>
                <w:bCs w:val="0"/>
                <w:sz w:val="20"/>
                <w:szCs w:val="20"/>
              </w:rPr>
              <w:t>, the</w:t>
            </w:r>
            <w:r w:rsidRPr="008219C1">
              <w:rPr>
                <w:rFonts w:asciiTheme="minorHAnsi" w:hAnsiTheme="minorHAnsi" w:cstheme="minorHAnsi"/>
                <w:b w:val="0"/>
                <w:bCs w:val="0"/>
                <w:sz w:val="20"/>
                <w:szCs w:val="20"/>
              </w:rPr>
              <w:t xml:space="preserve"> terms of any new financing received by BT from the MOF are aligned with the terms in the respective legal documents between the Recipient and the financiers </w:t>
            </w:r>
            <w:r w:rsidRPr="008219C1">
              <w:rPr>
                <w:rFonts w:asciiTheme="minorHAnsi" w:hAnsiTheme="minorHAnsi" w:cstheme="minorHAnsi"/>
                <w:b w:val="0"/>
                <w:bCs w:val="0"/>
                <w:i/>
                <w:iCs/>
                <w:sz w:val="20"/>
                <w:szCs w:val="20"/>
              </w:rPr>
              <w:t>(</w:t>
            </w:r>
            <w:r w:rsidR="00A37F87">
              <w:rPr>
                <w:rFonts w:asciiTheme="minorHAnsi" w:hAnsiTheme="minorHAnsi" w:cstheme="minorHAnsi"/>
                <w:b w:val="0"/>
                <w:bCs w:val="0"/>
                <w:i/>
                <w:iCs/>
                <w:sz w:val="20"/>
                <w:szCs w:val="20"/>
              </w:rPr>
              <w:t xml:space="preserve">revised deadline and </w:t>
            </w:r>
            <w:r w:rsidRPr="008219C1">
              <w:rPr>
                <w:rFonts w:asciiTheme="minorHAnsi" w:hAnsiTheme="minorHAnsi" w:cstheme="minorHAnsi"/>
                <w:b w:val="0"/>
                <w:bCs w:val="0"/>
                <w:i/>
                <w:iCs/>
                <w:sz w:val="20"/>
                <w:szCs w:val="20"/>
              </w:rPr>
              <w:t>increased allocation)</w:t>
            </w:r>
          </w:p>
        </w:tc>
        <w:tc>
          <w:tcPr>
            <w:tcW w:w="1890" w:type="dxa"/>
          </w:tcPr>
          <w:p w14:paraId="59D972B9" w14:textId="482A21E8" w:rsidR="008219C1" w:rsidRPr="00D17C5B" w:rsidRDefault="009D28AD"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1,400,000</w:t>
            </w:r>
          </w:p>
        </w:tc>
        <w:tc>
          <w:tcPr>
            <w:tcW w:w="1620" w:type="dxa"/>
          </w:tcPr>
          <w:p w14:paraId="06131687" w14:textId="5366D7A0" w:rsidR="008219C1" w:rsidRPr="00A37F87" w:rsidRDefault="00AC3143" w:rsidP="00A37F87">
            <w:pPr>
              <w:pStyle w:val="BodyText"/>
              <w:ind w:left="0"/>
              <w:jc w:val="center"/>
              <w:rPr>
                <w:rFonts w:asciiTheme="minorHAnsi" w:hAnsiTheme="minorHAnsi" w:cstheme="minorHAnsi"/>
                <w:b w:val="0"/>
                <w:bCs w:val="0"/>
                <w:sz w:val="20"/>
                <w:szCs w:val="20"/>
              </w:rPr>
            </w:pPr>
            <w:r>
              <w:rPr>
                <w:rFonts w:asciiTheme="minorHAnsi" w:hAnsiTheme="minorHAnsi" w:cstheme="minorHAnsi"/>
                <w:b w:val="0"/>
                <w:bCs w:val="0"/>
                <w:sz w:val="20"/>
                <w:szCs w:val="20"/>
              </w:rPr>
              <w:t>-</w:t>
            </w:r>
          </w:p>
        </w:tc>
      </w:tr>
      <w:tr w:rsidR="00A37F87" w:rsidRPr="008219C1" w14:paraId="58674D3F" w14:textId="77777777" w:rsidTr="00A64B72">
        <w:tc>
          <w:tcPr>
            <w:tcW w:w="2864" w:type="dxa"/>
          </w:tcPr>
          <w:p w14:paraId="1D07BA20"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4EC2C2F4" w14:textId="4BC4B6FD" w:rsidR="008219C1" w:rsidRPr="002E58D8" w:rsidRDefault="008219C1" w:rsidP="00A64B72">
            <w:pPr>
              <w:pStyle w:val="BodyText"/>
              <w:ind w:left="0"/>
              <w:rPr>
                <w:rFonts w:asciiTheme="minorHAnsi" w:hAnsiTheme="minorHAnsi" w:cstheme="minorHAnsi"/>
                <w:b w:val="0"/>
                <w:bCs w:val="0"/>
                <w:i/>
                <w:iCs/>
                <w:sz w:val="20"/>
                <w:szCs w:val="20"/>
              </w:rPr>
            </w:pPr>
            <w:r w:rsidRPr="008219C1">
              <w:rPr>
                <w:rFonts w:asciiTheme="minorHAnsi" w:hAnsiTheme="minorHAnsi" w:cstheme="minorHAnsi"/>
                <w:b w:val="0"/>
                <w:bCs w:val="0"/>
                <w:sz w:val="20"/>
                <w:szCs w:val="20"/>
              </w:rPr>
              <w:t xml:space="preserve">DLR 2.8: By September 30, 2022:  (a) the MOF and BT revise the terms of nine (9) additional loans under Group 2 Subsidiary Agreements to align those with the terms in respective legal documents between the Recipient and the financiers; and (b) the Recipient converts into equity the difference between the original and revised interest payable by BT to MOF under each of the nine (9) loans from  Group 2 Subsidiary Agreements, assuming the revised terms of each such loan were in effect since the effectiveness date of the respective Group 2 Subsidiary Agreements </w:t>
            </w:r>
            <w:r w:rsidRPr="008219C1">
              <w:rPr>
                <w:rFonts w:asciiTheme="minorHAnsi" w:hAnsiTheme="minorHAnsi" w:cstheme="minorHAnsi"/>
                <w:b w:val="0"/>
                <w:bCs w:val="0"/>
                <w:i/>
                <w:iCs/>
                <w:sz w:val="20"/>
                <w:szCs w:val="20"/>
              </w:rPr>
              <w:t>(</w:t>
            </w:r>
            <w:r w:rsidR="00A37F87">
              <w:rPr>
                <w:rFonts w:asciiTheme="minorHAnsi" w:hAnsiTheme="minorHAnsi" w:cstheme="minorHAnsi"/>
                <w:b w:val="0"/>
                <w:bCs w:val="0"/>
                <w:i/>
                <w:iCs/>
                <w:sz w:val="20"/>
                <w:szCs w:val="20"/>
              </w:rPr>
              <w:t xml:space="preserve">revised deadline and </w:t>
            </w:r>
            <w:r w:rsidRPr="008219C1">
              <w:rPr>
                <w:rFonts w:asciiTheme="minorHAnsi" w:hAnsiTheme="minorHAnsi" w:cstheme="minorHAnsi"/>
                <w:b w:val="0"/>
                <w:bCs w:val="0"/>
                <w:i/>
                <w:iCs/>
                <w:sz w:val="20"/>
                <w:szCs w:val="20"/>
              </w:rPr>
              <w:t>increased allocation)</w:t>
            </w:r>
          </w:p>
        </w:tc>
        <w:tc>
          <w:tcPr>
            <w:tcW w:w="1890" w:type="dxa"/>
          </w:tcPr>
          <w:p w14:paraId="20BDE54E" w14:textId="674FC68A" w:rsidR="008219C1" w:rsidRPr="00D17C5B" w:rsidRDefault="009D28AD"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5,600,000</w:t>
            </w:r>
          </w:p>
        </w:tc>
        <w:tc>
          <w:tcPr>
            <w:tcW w:w="1620" w:type="dxa"/>
          </w:tcPr>
          <w:p w14:paraId="3012B2EF" w14:textId="52B1A800" w:rsidR="008219C1" w:rsidRPr="00A37F87" w:rsidRDefault="0050683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1,</w:t>
            </w:r>
            <w:r w:rsidR="009463D9">
              <w:rPr>
                <w:rFonts w:asciiTheme="minorHAnsi" w:hAnsiTheme="minorHAnsi" w:cstheme="minorHAnsi"/>
                <w:b w:val="0"/>
                <w:bCs w:val="0"/>
                <w:sz w:val="20"/>
                <w:szCs w:val="20"/>
              </w:rPr>
              <w:t>5</w:t>
            </w:r>
            <w:r w:rsidRPr="00A37F87">
              <w:rPr>
                <w:rFonts w:asciiTheme="minorHAnsi" w:hAnsiTheme="minorHAnsi" w:cstheme="minorHAnsi"/>
                <w:b w:val="0"/>
                <w:bCs w:val="0"/>
                <w:sz w:val="20"/>
                <w:szCs w:val="20"/>
              </w:rPr>
              <w:t>00,000</w:t>
            </w:r>
          </w:p>
        </w:tc>
      </w:tr>
      <w:tr w:rsidR="00A37F87" w:rsidRPr="008219C1" w14:paraId="1E001D8F" w14:textId="77777777" w:rsidTr="00A64B72">
        <w:tc>
          <w:tcPr>
            <w:tcW w:w="2864" w:type="dxa"/>
          </w:tcPr>
          <w:p w14:paraId="0E0B3C3C"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43F1AED9" w14:textId="3114086B" w:rsidR="008219C1" w:rsidRPr="002E58D8" w:rsidRDefault="008219C1" w:rsidP="00A64B72">
            <w:pPr>
              <w:pStyle w:val="BodyText"/>
              <w:ind w:left="0"/>
              <w:rPr>
                <w:rFonts w:asciiTheme="minorHAnsi" w:hAnsiTheme="minorHAnsi" w:cstheme="minorHAnsi"/>
                <w:b w:val="0"/>
                <w:bCs w:val="0"/>
                <w:i/>
                <w:iCs/>
                <w:sz w:val="20"/>
                <w:szCs w:val="20"/>
              </w:rPr>
            </w:pPr>
            <w:r w:rsidRPr="008219C1">
              <w:rPr>
                <w:rFonts w:asciiTheme="minorHAnsi" w:hAnsiTheme="minorHAnsi" w:cstheme="minorHAnsi"/>
                <w:b w:val="0"/>
                <w:bCs w:val="0"/>
                <w:sz w:val="20"/>
                <w:szCs w:val="20"/>
              </w:rPr>
              <w:t xml:space="preserve">DLR 2.9: By December 31, 2021, the terms of any new financing received by BT from the MOF are aligned with the terms in the respective legal documents between the Recipient and the financiers </w:t>
            </w:r>
            <w:r w:rsidRPr="008219C1">
              <w:rPr>
                <w:rFonts w:asciiTheme="minorHAnsi" w:hAnsiTheme="minorHAnsi" w:cstheme="minorHAnsi"/>
                <w:b w:val="0"/>
                <w:bCs w:val="0"/>
                <w:i/>
                <w:iCs/>
                <w:sz w:val="20"/>
                <w:szCs w:val="20"/>
              </w:rPr>
              <w:t xml:space="preserve">(increased </w:t>
            </w:r>
            <w:r w:rsidRPr="008219C1">
              <w:rPr>
                <w:rFonts w:asciiTheme="minorHAnsi" w:hAnsiTheme="minorHAnsi" w:cstheme="minorHAnsi"/>
                <w:b w:val="0"/>
                <w:bCs w:val="0"/>
                <w:i/>
                <w:iCs/>
                <w:sz w:val="20"/>
                <w:szCs w:val="20"/>
              </w:rPr>
              <w:lastRenderedPageBreak/>
              <w:t>allocation)</w:t>
            </w:r>
          </w:p>
        </w:tc>
        <w:tc>
          <w:tcPr>
            <w:tcW w:w="1890" w:type="dxa"/>
          </w:tcPr>
          <w:p w14:paraId="29CD89F5" w14:textId="0F8990CB" w:rsidR="008219C1" w:rsidRPr="00D17C5B" w:rsidRDefault="009D28AD"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lastRenderedPageBreak/>
              <w:t>1,400,000</w:t>
            </w:r>
          </w:p>
        </w:tc>
        <w:tc>
          <w:tcPr>
            <w:tcW w:w="1620" w:type="dxa"/>
          </w:tcPr>
          <w:p w14:paraId="4D324EA6" w14:textId="3308E6CD" w:rsidR="008219C1" w:rsidRPr="00A37F87" w:rsidRDefault="00506837" w:rsidP="0043018B">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w:t>
            </w:r>
          </w:p>
        </w:tc>
      </w:tr>
      <w:tr w:rsidR="00A37F87" w:rsidRPr="008219C1" w14:paraId="15AE0782" w14:textId="77777777" w:rsidTr="00A64B72">
        <w:tc>
          <w:tcPr>
            <w:tcW w:w="2864" w:type="dxa"/>
          </w:tcPr>
          <w:p w14:paraId="057AB5F8" w14:textId="77777777" w:rsidR="008219C1" w:rsidRPr="008219C1" w:rsidRDefault="008219C1" w:rsidP="00A64B72">
            <w:pPr>
              <w:pStyle w:val="BodyText"/>
              <w:ind w:left="0"/>
              <w:rPr>
                <w:rFonts w:asciiTheme="minorHAnsi" w:hAnsiTheme="minorHAnsi" w:cstheme="minorHAnsi"/>
                <w:sz w:val="20"/>
                <w:szCs w:val="20"/>
              </w:rPr>
            </w:pPr>
            <w:r w:rsidRPr="008219C1">
              <w:rPr>
                <w:rFonts w:asciiTheme="minorHAnsi" w:hAnsiTheme="minorHAnsi" w:cstheme="minorHAnsi"/>
                <w:sz w:val="20"/>
                <w:szCs w:val="20"/>
              </w:rPr>
              <w:t>DLI #3: Electricity Sector's Cash Deficit</w:t>
            </w:r>
          </w:p>
        </w:tc>
        <w:tc>
          <w:tcPr>
            <w:tcW w:w="4066" w:type="dxa"/>
          </w:tcPr>
          <w:p w14:paraId="51A5889E" w14:textId="71C931EE" w:rsidR="008219C1" w:rsidRPr="002E58D8" w:rsidRDefault="008219C1" w:rsidP="00A64B72">
            <w:pPr>
              <w:pStyle w:val="BodyText"/>
              <w:ind w:left="0"/>
              <w:rPr>
                <w:rFonts w:asciiTheme="minorHAnsi" w:hAnsiTheme="minorHAnsi" w:cstheme="minorHAnsi"/>
                <w:b w:val="0"/>
                <w:bCs w:val="0"/>
                <w:i/>
                <w:iCs/>
                <w:sz w:val="20"/>
                <w:szCs w:val="20"/>
              </w:rPr>
            </w:pPr>
            <w:r w:rsidRPr="008219C1">
              <w:rPr>
                <w:rFonts w:asciiTheme="minorHAnsi" w:hAnsiTheme="minorHAnsi" w:cstheme="minorHAnsi"/>
                <w:b w:val="0"/>
                <w:bCs w:val="0"/>
                <w:sz w:val="20"/>
                <w:szCs w:val="20"/>
              </w:rPr>
              <w:t xml:space="preserve">DLR 3.1: By December 31, 2022, the Electricity Sector’s Cash Deficit does not exceed TJS 14 billion </w:t>
            </w:r>
            <w:r w:rsidRPr="008219C1">
              <w:rPr>
                <w:rFonts w:asciiTheme="minorHAnsi" w:hAnsiTheme="minorHAnsi" w:cstheme="minorHAnsi"/>
                <w:b w:val="0"/>
                <w:bCs w:val="0"/>
                <w:i/>
                <w:iCs/>
                <w:sz w:val="20"/>
                <w:szCs w:val="20"/>
              </w:rPr>
              <w:t>(</w:t>
            </w:r>
            <w:r w:rsidR="00D17C5B">
              <w:rPr>
                <w:rFonts w:asciiTheme="minorHAnsi" w:hAnsiTheme="minorHAnsi" w:cstheme="minorHAnsi"/>
                <w:b w:val="0"/>
                <w:bCs w:val="0"/>
                <w:i/>
                <w:iCs/>
                <w:sz w:val="20"/>
                <w:szCs w:val="20"/>
              </w:rPr>
              <w:t>revised and increased allocation</w:t>
            </w:r>
            <w:r w:rsidRPr="008219C1">
              <w:rPr>
                <w:rFonts w:asciiTheme="minorHAnsi" w:hAnsiTheme="minorHAnsi" w:cstheme="minorHAnsi"/>
                <w:b w:val="0"/>
                <w:bCs w:val="0"/>
                <w:i/>
                <w:iCs/>
                <w:sz w:val="20"/>
                <w:szCs w:val="20"/>
              </w:rPr>
              <w:t>)</w:t>
            </w:r>
          </w:p>
        </w:tc>
        <w:tc>
          <w:tcPr>
            <w:tcW w:w="1890" w:type="dxa"/>
          </w:tcPr>
          <w:p w14:paraId="5676F6F4" w14:textId="31054BFD" w:rsidR="008219C1" w:rsidRPr="00D17C5B" w:rsidRDefault="009D28AD"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1,960,000</w:t>
            </w:r>
          </w:p>
        </w:tc>
        <w:tc>
          <w:tcPr>
            <w:tcW w:w="1620" w:type="dxa"/>
          </w:tcPr>
          <w:p w14:paraId="2CECDB83" w14:textId="01FEB71B" w:rsidR="008219C1" w:rsidRPr="00A37F87" w:rsidRDefault="00A14EDB" w:rsidP="00A37F87">
            <w:pPr>
              <w:pStyle w:val="BodyText"/>
              <w:ind w:left="0"/>
              <w:jc w:val="center"/>
              <w:rPr>
                <w:rFonts w:asciiTheme="minorHAnsi" w:hAnsiTheme="minorHAnsi" w:cstheme="minorHAnsi"/>
                <w:b w:val="0"/>
                <w:bCs w:val="0"/>
                <w:sz w:val="20"/>
                <w:szCs w:val="20"/>
              </w:rPr>
            </w:pPr>
            <w:r>
              <w:rPr>
                <w:rFonts w:asciiTheme="minorHAnsi" w:hAnsiTheme="minorHAnsi" w:cstheme="minorHAnsi"/>
                <w:b w:val="0"/>
                <w:bCs w:val="0"/>
                <w:sz w:val="20"/>
                <w:szCs w:val="20"/>
              </w:rPr>
              <w:t>3</w:t>
            </w:r>
            <w:r w:rsidR="00506837" w:rsidRPr="00A37F87">
              <w:rPr>
                <w:rFonts w:asciiTheme="minorHAnsi" w:hAnsiTheme="minorHAnsi" w:cstheme="minorHAnsi"/>
                <w:b w:val="0"/>
                <w:bCs w:val="0"/>
                <w:sz w:val="20"/>
                <w:szCs w:val="20"/>
              </w:rPr>
              <w:t>,000,000</w:t>
            </w:r>
          </w:p>
        </w:tc>
      </w:tr>
      <w:tr w:rsidR="00A37F87" w:rsidRPr="008219C1" w14:paraId="739170B9" w14:textId="77777777" w:rsidTr="00A64B72">
        <w:tc>
          <w:tcPr>
            <w:tcW w:w="2864" w:type="dxa"/>
          </w:tcPr>
          <w:p w14:paraId="5062D4AD"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7AC327D6" w14:textId="0122395E" w:rsidR="008219C1" w:rsidRPr="002E58D8" w:rsidRDefault="008219C1" w:rsidP="00A64B72">
            <w:pPr>
              <w:pStyle w:val="BodyText"/>
              <w:ind w:left="0"/>
              <w:rPr>
                <w:rFonts w:asciiTheme="minorHAnsi" w:hAnsiTheme="minorHAnsi" w:cstheme="minorHAnsi"/>
                <w:b w:val="0"/>
                <w:bCs w:val="0"/>
                <w:i/>
                <w:iCs/>
                <w:sz w:val="20"/>
                <w:szCs w:val="20"/>
              </w:rPr>
            </w:pPr>
            <w:r w:rsidRPr="008219C1">
              <w:rPr>
                <w:rFonts w:asciiTheme="minorHAnsi" w:hAnsiTheme="minorHAnsi" w:cstheme="minorHAnsi"/>
                <w:b w:val="0"/>
                <w:bCs w:val="0"/>
                <w:sz w:val="20"/>
                <w:szCs w:val="20"/>
              </w:rPr>
              <w:t>DLR 3.2: By December 31, 2023, the Electricity Sector’s Cash Deficit does not exceed TJS 16 billion</w:t>
            </w:r>
            <w:r w:rsidR="00D17C5B">
              <w:rPr>
                <w:rFonts w:asciiTheme="minorHAnsi" w:hAnsiTheme="minorHAnsi" w:cstheme="minorHAnsi"/>
                <w:b w:val="0"/>
                <w:bCs w:val="0"/>
                <w:sz w:val="20"/>
                <w:szCs w:val="20"/>
              </w:rPr>
              <w:t xml:space="preserve"> </w:t>
            </w:r>
            <w:r w:rsidR="00D17C5B" w:rsidRPr="008219C1">
              <w:rPr>
                <w:rFonts w:asciiTheme="minorHAnsi" w:hAnsiTheme="minorHAnsi" w:cstheme="minorHAnsi"/>
                <w:b w:val="0"/>
                <w:bCs w:val="0"/>
                <w:i/>
                <w:iCs/>
                <w:sz w:val="20"/>
                <w:szCs w:val="20"/>
              </w:rPr>
              <w:t>(</w:t>
            </w:r>
            <w:r w:rsidR="00D17C5B">
              <w:rPr>
                <w:rFonts w:asciiTheme="minorHAnsi" w:hAnsiTheme="minorHAnsi" w:cstheme="minorHAnsi"/>
                <w:b w:val="0"/>
                <w:bCs w:val="0"/>
                <w:i/>
                <w:iCs/>
                <w:sz w:val="20"/>
                <w:szCs w:val="20"/>
              </w:rPr>
              <w:t>revised and increased allocation</w:t>
            </w:r>
            <w:r w:rsidR="00D17C5B" w:rsidRPr="008219C1">
              <w:rPr>
                <w:rFonts w:asciiTheme="minorHAnsi" w:hAnsiTheme="minorHAnsi" w:cstheme="minorHAnsi"/>
                <w:b w:val="0"/>
                <w:bCs w:val="0"/>
                <w:i/>
                <w:iCs/>
                <w:sz w:val="20"/>
                <w:szCs w:val="20"/>
              </w:rPr>
              <w:t>)</w:t>
            </w:r>
          </w:p>
        </w:tc>
        <w:tc>
          <w:tcPr>
            <w:tcW w:w="1890" w:type="dxa"/>
          </w:tcPr>
          <w:p w14:paraId="2BDC4530" w14:textId="1DB65F65" w:rsidR="008219C1" w:rsidRPr="00D17C5B" w:rsidRDefault="009D28AD"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4,200,000</w:t>
            </w:r>
          </w:p>
        </w:tc>
        <w:tc>
          <w:tcPr>
            <w:tcW w:w="1620" w:type="dxa"/>
          </w:tcPr>
          <w:p w14:paraId="3C57136F" w14:textId="5CB808B8" w:rsidR="008219C1" w:rsidRPr="00A37F87" w:rsidRDefault="00A14EDB" w:rsidP="00A37F87">
            <w:pPr>
              <w:pStyle w:val="BodyText"/>
              <w:ind w:left="0"/>
              <w:jc w:val="center"/>
              <w:rPr>
                <w:rFonts w:asciiTheme="minorHAnsi" w:hAnsiTheme="minorHAnsi" w:cstheme="minorHAnsi"/>
                <w:b w:val="0"/>
                <w:bCs w:val="0"/>
                <w:sz w:val="20"/>
                <w:szCs w:val="20"/>
              </w:rPr>
            </w:pPr>
            <w:r>
              <w:rPr>
                <w:rFonts w:asciiTheme="minorHAnsi" w:hAnsiTheme="minorHAnsi" w:cstheme="minorHAnsi"/>
                <w:b w:val="0"/>
                <w:bCs w:val="0"/>
                <w:sz w:val="20"/>
                <w:szCs w:val="20"/>
              </w:rPr>
              <w:t>3</w:t>
            </w:r>
            <w:r w:rsidR="00506837" w:rsidRPr="00A37F87">
              <w:rPr>
                <w:rFonts w:asciiTheme="minorHAnsi" w:hAnsiTheme="minorHAnsi" w:cstheme="minorHAnsi"/>
                <w:b w:val="0"/>
                <w:bCs w:val="0"/>
                <w:sz w:val="20"/>
                <w:szCs w:val="20"/>
              </w:rPr>
              <w:t>,000,000</w:t>
            </w:r>
          </w:p>
        </w:tc>
      </w:tr>
      <w:tr w:rsidR="00A37F87" w:rsidRPr="008219C1" w14:paraId="1EB68AAD" w14:textId="77777777" w:rsidTr="00A64B72">
        <w:tc>
          <w:tcPr>
            <w:tcW w:w="2864" w:type="dxa"/>
          </w:tcPr>
          <w:p w14:paraId="2D9E5C86"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36128FFE" w14:textId="65805E47" w:rsidR="008219C1" w:rsidRPr="002E58D8" w:rsidRDefault="008219C1" w:rsidP="00A64B72">
            <w:pPr>
              <w:pStyle w:val="BodyText"/>
              <w:ind w:left="0"/>
              <w:rPr>
                <w:rFonts w:asciiTheme="minorHAnsi" w:hAnsiTheme="minorHAnsi" w:cstheme="minorHAnsi"/>
                <w:b w:val="0"/>
                <w:bCs w:val="0"/>
                <w:i/>
                <w:iCs/>
                <w:sz w:val="20"/>
                <w:szCs w:val="20"/>
              </w:rPr>
            </w:pPr>
            <w:r w:rsidRPr="008219C1">
              <w:rPr>
                <w:rFonts w:asciiTheme="minorHAnsi" w:hAnsiTheme="minorHAnsi" w:cstheme="minorHAnsi"/>
                <w:b w:val="0"/>
                <w:bCs w:val="0"/>
                <w:sz w:val="20"/>
                <w:szCs w:val="20"/>
              </w:rPr>
              <w:t>DLR 3.3: By December 31, 2024, the Electricity Sector’s Cash Deficit does not exceed TJS 16 billion</w:t>
            </w:r>
            <w:r w:rsidR="00D17C5B">
              <w:rPr>
                <w:rFonts w:asciiTheme="minorHAnsi" w:hAnsiTheme="minorHAnsi" w:cstheme="minorHAnsi"/>
                <w:b w:val="0"/>
                <w:bCs w:val="0"/>
                <w:sz w:val="20"/>
                <w:szCs w:val="20"/>
              </w:rPr>
              <w:t xml:space="preserve"> </w:t>
            </w:r>
            <w:r w:rsidR="00D17C5B" w:rsidRPr="008219C1">
              <w:rPr>
                <w:rFonts w:asciiTheme="minorHAnsi" w:hAnsiTheme="minorHAnsi" w:cstheme="minorHAnsi"/>
                <w:b w:val="0"/>
                <w:bCs w:val="0"/>
                <w:i/>
                <w:iCs/>
                <w:sz w:val="20"/>
                <w:szCs w:val="20"/>
              </w:rPr>
              <w:t>(</w:t>
            </w:r>
            <w:r w:rsidR="00D17C5B">
              <w:rPr>
                <w:rFonts w:asciiTheme="minorHAnsi" w:hAnsiTheme="minorHAnsi" w:cstheme="minorHAnsi"/>
                <w:b w:val="0"/>
                <w:bCs w:val="0"/>
                <w:i/>
                <w:iCs/>
                <w:sz w:val="20"/>
                <w:szCs w:val="20"/>
              </w:rPr>
              <w:t>revised and increased allocation</w:t>
            </w:r>
            <w:r w:rsidR="00D17C5B" w:rsidRPr="008219C1">
              <w:rPr>
                <w:rFonts w:asciiTheme="minorHAnsi" w:hAnsiTheme="minorHAnsi" w:cstheme="minorHAnsi"/>
                <w:b w:val="0"/>
                <w:bCs w:val="0"/>
                <w:i/>
                <w:iCs/>
                <w:sz w:val="20"/>
                <w:szCs w:val="20"/>
              </w:rPr>
              <w:t>)</w:t>
            </w:r>
          </w:p>
        </w:tc>
        <w:tc>
          <w:tcPr>
            <w:tcW w:w="1890" w:type="dxa"/>
          </w:tcPr>
          <w:p w14:paraId="012AD9AB" w14:textId="580A61BA" w:rsidR="008219C1" w:rsidRPr="00D17C5B" w:rsidRDefault="009D28AD"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3,640,000</w:t>
            </w:r>
          </w:p>
        </w:tc>
        <w:tc>
          <w:tcPr>
            <w:tcW w:w="1620" w:type="dxa"/>
          </w:tcPr>
          <w:p w14:paraId="63ED3927" w14:textId="5C361833" w:rsidR="008219C1" w:rsidRPr="00A37F87" w:rsidRDefault="00A14EDB" w:rsidP="00A37F87">
            <w:pPr>
              <w:pStyle w:val="BodyText"/>
              <w:ind w:left="0"/>
              <w:jc w:val="center"/>
              <w:rPr>
                <w:rFonts w:asciiTheme="minorHAnsi" w:hAnsiTheme="minorHAnsi" w:cstheme="minorHAnsi"/>
                <w:b w:val="0"/>
                <w:bCs w:val="0"/>
                <w:sz w:val="20"/>
                <w:szCs w:val="20"/>
              </w:rPr>
            </w:pPr>
            <w:r>
              <w:rPr>
                <w:rFonts w:asciiTheme="minorHAnsi" w:hAnsiTheme="minorHAnsi" w:cstheme="minorHAnsi"/>
                <w:b w:val="0"/>
                <w:bCs w:val="0"/>
                <w:sz w:val="20"/>
                <w:szCs w:val="20"/>
              </w:rPr>
              <w:t>2</w:t>
            </w:r>
            <w:r w:rsidR="00506837" w:rsidRPr="00A37F87">
              <w:rPr>
                <w:rFonts w:asciiTheme="minorHAnsi" w:hAnsiTheme="minorHAnsi" w:cstheme="minorHAnsi"/>
                <w:b w:val="0"/>
                <w:bCs w:val="0"/>
                <w:sz w:val="20"/>
                <w:szCs w:val="20"/>
              </w:rPr>
              <w:t>,000,000</w:t>
            </w:r>
          </w:p>
        </w:tc>
      </w:tr>
      <w:tr w:rsidR="00A37F87" w:rsidRPr="008219C1" w14:paraId="1B11FDBA" w14:textId="77777777" w:rsidTr="00A64B72">
        <w:tc>
          <w:tcPr>
            <w:tcW w:w="2864" w:type="dxa"/>
          </w:tcPr>
          <w:p w14:paraId="5BF2D74D"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78D7386D" w14:textId="44647FF8" w:rsidR="008219C1" w:rsidRPr="002E58D8" w:rsidRDefault="008219C1" w:rsidP="00A64B72">
            <w:pPr>
              <w:pStyle w:val="BodyText"/>
              <w:ind w:left="0"/>
              <w:rPr>
                <w:rFonts w:asciiTheme="minorHAnsi" w:hAnsiTheme="minorHAnsi" w:cstheme="minorHAnsi"/>
                <w:b w:val="0"/>
                <w:bCs w:val="0"/>
                <w:i/>
                <w:iCs/>
                <w:sz w:val="20"/>
                <w:szCs w:val="20"/>
              </w:rPr>
            </w:pPr>
            <w:r w:rsidRPr="008219C1">
              <w:rPr>
                <w:rFonts w:asciiTheme="minorHAnsi" w:hAnsiTheme="minorHAnsi" w:cstheme="minorHAnsi"/>
                <w:b w:val="0"/>
                <w:bCs w:val="0"/>
                <w:sz w:val="20"/>
                <w:szCs w:val="20"/>
              </w:rPr>
              <w:t>DLR 3.4:  By December 31, 2025, the Electricity Sector’s Cash Deficit does not exceed TJS 16 billion</w:t>
            </w:r>
            <w:r w:rsidR="00D17C5B">
              <w:rPr>
                <w:rFonts w:asciiTheme="minorHAnsi" w:hAnsiTheme="minorHAnsi" w:cstheme="minorHAnsi"/>
                <w:b w:val="0"/>
                <w:bCs w:val="0"/>
                <w:sz w:val="20"/>
                <w:szCs w:val="20"/>
              </w:rPr>
              <w:t xml:space="preserve"> </w:t>
            </w:r>
            <w:r w:rsidR="00D17C5B" w:rsidRPr="008219C1">
              <w:rPr>
                <w:rFonts w:asciiTheme="minorHAnsi" w:hAnsiTheme="minorHAnsi" w:cstheme="minorHAnsi"/>
                <w:b w:val="0"/>
                <w:bCs w:val="0"/>
                <w:i/>
                <w:iCs/>
                <w:sz w:val="20"/>
                <w:szCs w:val="20"/>
              </w:rPr>
              <w:t>(</w:t>
            </w:r>
            <w:r w:rsidR="00D17C5B">
              <w:rPr>
                <w:rFonts w:asciiTheme="minorHAnsi" w:hAnsiTheme="minorHAnsi" w:cstheme="minorHAnsi"/>
                <w:b w:val="0"/>
                <w:bCs w:val="0"/>
                <w:i/>
                <w:iCs/>
                <w:sz w:val="20"/>
                <w:szCs w:val="20"/>
              </w:rPr>
              <w:t>revised and increased allocation</w:t>
            </w:r>
            <w:r w:rsidR="00D17C5B" w:rsidRPr="008219C1">
              <w:rPr>
                <w:rFonts w:asciiTheme="minorHAnsi" w:hAnsiTheme="minorHAnsi" w:cstheme="minorHAnsi"/>
                <w:b w:val="0"/>
                <w:bCs w:val="0"/>
                <w:i/>
                <w:iCs/>
                <w:sz w:val="20"/>
                <w:szCs w:val="20"/>
              </w:rPr>
              <w:t>)</w:t>
            </w:r>
          </w:p>
        </w:tc>
        <w:tc>
          <w:tcPr>
            <w:tcW w:w="1890" w:type="dxa"/>
          </w:tcPr>
          <w:p w14:paraId="739C97FE" w14:textId="1B32A7FD" w:rsidR="008219C1" w:rsidRPr="00D17C5B" w:rsidRDefault="009D28AD"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4,200,000</w:t>
            </w:r>
          </w:p>
        </w:tc>
        <w:tc>
          <w:tcPr>
            <w:tcW w:w="1620" w:type="dxa"/>
          </w:tcPr>
          <w:p w14:paraId="597FE8C7" w14:textId="1F5F8585" w:rsidR="008219C1" w:rsidRPr="00A37F87" w:rsidRDefault="0050683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1,000,000</w:t>
            </w:r>
          </w:p>
        </w:tc>
      </w:tr>
      <w:tr w:rsidR="00A37F87" w:rsidRPr="008219C1" w14:paraId="5EF99356" w14:textId="77777777" w:rsidTr="00A64B72">
        <w:tc>
          <w:tcPr>
            <w:tcW w:w="2864" w:type="dxa"/>
          </w:tcPr>
          <w:p w14:paraId="1C3F7D79"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5A6FAA38" w14:textId="3568D2CB" w:rsidR="008219C1" w:rsidRPr="002E58D8" w:rsidRDefault="008219C1" w:rsidP="00A64B72">
            <w:pPr>
              <w:pStyle w:val="BodyText"/>
              <w:ind w:left="0"/>
              <w:rPr>
                <w:rFonts w:asciiTheme="minorHAnsi" w:hAnsiTheme="minorHAnsi" w:cstheme="minorHAnsi"/>
                <w:b w:val="0"/>
                <w:bCs w:val="0"/>
                <w:i/>
                <w:iCs/>
                <w:sz w:val="20"/>
                <w:szCs w:val="20"/>
              </w:rPr>
            </w:pPr>
            <w:r w:rsidRPr="008219C1">
              <w:rPr>
                <w:rFonts w:asciiTheme="minorHAnsi" w:hAnsiTheme="minorHAnsi" w:cstheme="minorHAnsi"/>
                <w:b w:val="0"/>
                <w:bCs w:val="0"/>
                <w:sz w:val="20"/>
                <w:szCs w:val="20"/>
              </w:rPr>
              <w:t>DLR 3.5:  By December 31, 2026, the Electricity Sector’s Cash Deficit does not exceed TJS 15 billion</w:t>
            </w:r>
            <w:r w:rsidR="00D17C5B">
              <w:rPr>
                <w:rFonts w:asciiTheme="minorHAnsi" w:hAnsiTheme="minorHAnsi" w:cstheme="minorHAnsi"/>
                <w:b w:val="0"/>
                <w:bCs w:val="0"/>
                <w:sz w:val="20"/>
                <w:szCs w:val="20"/>
              </w:rPr>
              <w:t xml:space="preserve"> </w:t>
            </w:r>
            <w:r w:rsidR="00D17C5B" w:rsidRPr="008219C1">
              <w:rPr>
                <w:rFonts w:asciiTheme="minorHAnsi" w:hAnsiTheme="minorHAnsi" w:cstheme="minorHAnsi"/>
                <w:b w:val="0"/>
                <w:bCs w:val="0"/>
                <w:i/>
                <w:iCs/>
                <w:sz w:val="20"/>
                <w:szCs w:val="20"/>
              </w:rPr>
              <w:t>(</w:t>
            </w:r>
            <w:r w:rsidR="00D17C5B">
              <w:rPr>
                <w:rFonts w:asciiTheme="minorHAnsi" w:hAnsiTheme="minorHAnsi" w:cstheme="minorHAnsi"/>
                <w:b w:val="0"/>
                <w:bCs w:val="0"/>
                <w:i/>
                <w:iCs/>
                <w:sz w:val="20"/>
                <w:szCs w:val="20"/>
              </w:rPr>
              <w:t>revised and increased allocation</w:t>
            </w:r>
            <w:r w:rsidR="00D17C5B" w:rsidRPr="008219C1">
              <w:rPr>
                <w:rFonts w:asciiTheme="minorHAnsi" w:hAnsiTheme="minorHAnsi" w:cstheme="minorHAnsi"/>
                <w:b w:val="0"/>
                <w:bCs w:val="0"/>
                <w:i/>
                <w:iCs/>
                <w:sz w:val="20"/>
                <w:szCs w:val="20"/>
              </w:rPr>
              <w:t>)</w:t>
            </w:r>
          </w:p>
        </w:tc>
        <w:tc>
          <w:tcPr>
            <w:tcW w:w="1890" w:type="dxa"/>
          </w:tcPr>
          <w:p w14:paraId="08E1FBB1" w14:textId="7BEA706F" w:rsidR="008219C1" w:rsidRPr="00D17C5B" w:rsidRDefault="009D28AD"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8,400,000</w:t>
            </w:r>
          </w:p>
        </w:tc>
        <w:tc>
          <w:tcPr>
            <w:tcW w:w="1620" w:type="dxa"/>
          </w:tcPr>
          <w:p w14:paraId="60816481" w14:textId="210C856E" w:rsidR="008219C1" w:rsidRPr="00A37F87" w:rsidRDefault="0050683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1,000,000</w:t>
            </w:r>
          </w:p>
        </w:tc>
      </w:tr>
      <w:tr w:rsidR="00A37F87" w:rsidRPr="008219C1" w14:paraId="3FE5AE1D" w14:textId="77777777" w:rsidTr="00A64B72">
        <w:tc>
          <w:tcPr>
            <w:tcW w:w="2864" w:type="dxa"/>
          </w:tcPr>
          <w:p w14:paraId="2796285B"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25B2F622" w14:textId="52CA7BBE" w:rsidR="008219C1" w:rsidRPr="002E58D8" w:rsidRDefault="008219C1" w:rsidP="00A64B72">
            <w:pPr>
              <w:pStyle w:val="BodyText"/>
              <w:ind w:left="0"/>
              <w:rPr>
                <w:rFonts w:asciiTheme="minorHAnsi" w:hAnsiTheme="minorHAnsi" w:cstheme="minorHAnsi"/>
                <w:b w:val="0"/>
                <w:bCs w:val="0"/>
                <w:i/>
                <w:iCs/>
                <w:sz w:val="20"/>
                <w:szCs w:val="20"/>
              </w:rPr>
            </w:pPr>
            <w:r w:rsidRPr="008219C1">
              <w:rPr>
                <w:rFonts w:asciiTheme="minorHAnsi" w:hAnsiTheme="minorHAnsi" w:cstheme="minorHAnsi"/>
                <w:b w:val="0"/>
                <w:bCs w:val="0"/>
                <w:sz w:val="20"/>
                <w:szCs w:val="20"/>
              </w:rPr>
              <w:t>DLR 3.6:  By December 31, 2027, the Electricity Sector’s Cash Deficit does not exceed TJS 13 billion</w:t>
            </w:r>
            <w:r w:rsidR="00D17C5B">
              <w:rPr>
                <w:rFonts w:asciiTheme="minorHAnsi" w:hAnsiTheme="minorHAnsi" w:cstheme="minorHAnsi"/>
                <w:b w:val="0"/>
                <w:bCs w:val="0"/>
                <w:sz w:val="20"/>
                <w:szCs w:val="20"/>
              </w:rPr>
              <w:t xml:space="preserve"> </w:t>
            </w:r>
            <w:r w:rsidR="00D17C5B" w:rsidRPr="008219C1">
              <w:rPr>
                <w:rFonts w:asciiTheme="minorHAnsi" w:hAnsiTheme="minorHAnsi" w:cstheme="minorHAnsi"/>
                <w:b w:val="0"/>
                <w:bCs w:val="0"/>
                <w:i/>
                <w:iCs/>
                <w:sz w:val="20"/>
                <w:szCs w:val="20"/>
              </w:rPr>
              <w:t>(</w:t>
            </w:r>
            <w:r w:rsidR="00D17C5B">
              <w:rPr>
                <w:rFonts w:asciiTheme="minorHAnsi" w:hAnsiTheme="minorHAnsi" w:cstheme="minorHAnsi"/>
                <w:b w:val="0"/>
                <w:bCs w:val="0"/>
                <w:i/>
                <w:iCs/>
                <w:sz w:val="20"/>
                <w:szCs w:val="20"/>
              </w:rPr>
              <w:t>revised and increased allocation</w:t>
            </w:r>
            <w:r w:rsidR="00D17C5B" w:rsidRPr="008219C1">
              <w:rPr>
                <w:rFonts w:asciiTheme="minorHAnsi" w:hAnsiTheme="minorHAnsi" w:cstheme="minorHAnsi"/>
                <w:b w:val="0"/>
                <w:bCs w:val="0"/>
                <w:i/>
                <w:iCs/>
                <w:sz w:val="20"/>
                <w:szCs w:val="20"/>
              </w:rPr>
              <w:t>)</w:t>
            </w:r>
          </w:p>
        </w:tc>
        <w:tc>
          <w:tcPr>
            <w:tcW w:w="1890" w:type="dxa"/>
          </w:tcPr>
          <w:p w14:paraId="5D993391" w14:textId="217B2D55" w:rsidR="008219C1" w:rsidRPr="00D17C5B" w:rsidRDefault="009D28AD"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5,600,000</w:t>
            </w:r>
          </w:p>
        </w:tc>
        <w:tc>
          <w:tcPr>
            <w:tcW w:w="1620" w:type="dxa"/>
          </w:tcPr>
          <w:p w14:paraId="595C2AE0" w14:textId="3B6BBEC5" w:rsidR="008219C1" w:rsidRPr="00A37F87" w:rsidRDefault="00A14EDB" w:rsidP="00A37F87">
            <w:pPr>
              <w:pStyle w:val="BodyText"/>
              <w:ind w:left="0"/>
              <w:jc w:val="center"/>
              <w:rPr>
                <w:rFonts w:asciiTheme="minorHAnsi" w:hAnsiTheme="minorHAnsi" w:cstheme="minorHAnsi"/>
                <w:b w:val="0"/>
                <w:bCs w:val="0"/>
                <w:sz w:val="20"/>
                <w:szCs w:val="20"/>
              </w:rPr>
            </w:pPr>
            <w:r>
              <w:rPr>
                <w:rFonts w:asciiTheme="minorHAnsi" w:hAnsiTheme="minorHAnsi" w:cstheme="minorHAnsi"/>
                <w:b w:val="0"/>
                <w:bCs w:val="0"/>
                <w:sz w:val="20"/>
                <w:szCs w:val="20"/>
              </w:rPr>
              <w:t>1</w:t>
            </w:r>
            <w:r w:rsidR="00506837" w:rsidRPr="00A37F87">
              <w:rPr>
                <w:rFonts w:asciiTheme="minorHAnsi" w:hAnsiTheme="minorHAnsi" w:cstheme="minorHAnsi"/>
                <w:b w:val="0"/>
                <w:bCs w:val="0"/>
                <w:sz w:val="20"/>
                <w:szCs w:val="20"/>
              </w:rPr>
              <w:t>,000,000</w:t>
            </w:r>
          </w:p>
        </w:tc>
      </w:tr>
      <w:tr w:rsidR="00A37F87" w:rsidRPr="008219C1" w14:paraId="1C89A49F" w14:textId="77777777" w:rsidTr="00A64B72">
        <w:tc>
          <w:tcPr>
            <w:tcW w:w="2864" w:type="dxa"/>
          </w:tcPr>
          <w:p w14:paraId="69556719"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04E5581D" w14:textId="29D30B19" w:rsidR="008219C1" w:rsidRPr="008219C1" w:rsidRDefault="008219C1" w:rsidP="00A64B72">
            <w:pPr>
              <w:pStyle w:val="BodyText"/>
              <w:ind w:left="0"/>
              <w:rPr>
                <w:rFonts w:asciiTheme="minorHAnsi" w:hAnsiTheme="minorHAnsi" w:cstheme="minorHAnsi"/>
                <w:b w:val="0"/>
                <w:bCs w:val="0"/>
                <w:sz w:val="20"/>
                <w:szCs w:val="20"/>
              </w:rPr>
            </w:pPr>
            <w:r w:rsidRPr="008219C1">
              <w:rPr>
                <w:rFonts w:asciiTheme="minorHAnsi" w:hAnsiTheme="minorHAnsi" w:cstheme="minorHAnsi"/>
                <w:b w:val="0"/>
                <w:bCs w:val="0"/>
                <w:sz w:val="20"/>
                <w:szCs w:val="20"/>
              </w:rPr>
              <w:t>DLR 3.7: By December 31, 2028, the Electricity Sector’s Cash Deficit does not exceed TJS 11 billion</w:t>
            </w:r>
            <w:r w:rsidR="00D17C5B">
              <w:rPr>
                <w:rFonts w:asciiTheme="minorHAnsi" w:hAnsiTheme="minorHAnsi" w:cstheme="minorHAnsi"/>
                <w:b w:val="0"/>
                <w:bCs w:val="0"/>
                <w:sz w:val="20"/>
                <w:szCs w:val="20"/>
              </w:rPr>
              <w:t xml:space="preserve"> </w:t>
            </w:r>
            <w:r w:rsidR="00D17C5B" w:rsidRPr="00D17C5B">
              <w:rPr>
                <w:rFonts w:asciiTheme="minorHAnsi" w:hAnsiTheme="minorHAnsi" w:cstheme="minorHAnsi"/>
                <w:b w:val="0"/>
                <w:bCs w:val="0"/>
                <w:i/>
                <w:iCs/>
                <w:sz w:val="20"/>
                <w:szCs w:val="20"/>
              </w:rPr>
              <w:t>(new)</w:t>
            </w:r>
          </w:p>
        </w:tc>
        <w:tc>
          <w:tcPr>
            <w:tcW w:w="1890" w:type="dxa"/>
          </w:tcPr>
          <w:p w14:paraId="6D71F207" w14:textId="0A487D05" w:rsidR="008219C1" w:rsidRPr="00D17C5B" w:rsidRDefault="009D28AD"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w:t>
            </w:r>
          </w:p>
        </w:tc>
        <w:tc>
          <w:tcPr>
            <w:tcW w:w="1620" w:type="dxa"/>
          </w:tcPr>
          <w:p w14:paraId="475ED7CD" w14:textId="5DDA3BF0" w:rsidR="008219C1" w:rsidRPr="00A37F87" w:rsidRDefault="00A14EDB" w:rsidP="00A37F87">
            <w:pPr>
              <w:pStyle w:val="BodyText"/>
              <w:ind w:left="0"/>
              <w:jc w:val="center"/>
              <w:rPr>
                <w:rFonts w:asciiTheme="minorHAnsi" w:hAnsiTheme="minorHAnsi" w:cstheme="minorHAnsi"/>
                <w:b w:val="0"/>
                <w:bCs w:val="0"/>
                <w:sz w:val="20"/>
                <w:szCs w:val="20"/>
              </w:rPr>
            </w:pPr>
            <w:r>
              <w:rPr>
                <w:rFonts w:asciiTheme="minorHAnsi" w:hAnsiTheme="minorHAnsi" w:cstheme="minorHAnsi"/>
                <w:b w:val="0"/>
                <w:bCs w:val="0"/>
                <w:sz w:val="20"/>
                <w:szCs w:val="20"/>
              </w:rPr>
              <w:t>1</w:t>
            </w:r>
            <w:r w:rsidR="00506837" w:rsidRPr="00A37F87">
              <w:rPr>
                <w:rFonts w:asciiTheme="minorHAnsi" w:hAnsiTheme="minorHAnsi" w:cstheme="minorHAnsi"/>
                <w:b w:val="0"/>
                <w:bCs w:val="0"/>
                <w:sz w:val="20"/>
                <w:szCs w:val="20"/>
              </w:rPr>
              <w:t>,000,000</w:t>
            </w:r>
          </w:p>
        </w:tc>
      </w:tr>
      <w:tr w:rsidR="00A37F87" w:rsidRPr="008219C1" w14:paraId="573EE324" w14:textId="77777777" w:rsidTr="00A64B72">
        <w:tc>
          <w:tcPr>
            <w:tcW w:w="2864" w:type="dxa"/>
          </w:tcPr>
          <w:p w14:paraId="677D36BC"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0E9FC6A5" w14:textId="250F42FD" w:rsidR="008219C1" w:rsidRPr="008219C1" w:rsidRDefault="008219C1" w:rsidP="00A64B72">
            <w:pPr>
              <w:pStyle w:val="BodyText"/>
              <w:ind w:left="0"/>
              <w:rPr>
                <w:rFonts w:asciiTheme="minorHAnsi" w:hAnsiTheme="minorHAnsi" w:cstheme="minorHAnsi"/>
                <w:b w:val="0"/>
                <w:bCs w:val="0"/>
                <w:sz w:val="20"/>
                <w:szCs w:val="20"/>
              </w:rPr>
            </w:pPr>
            <w:r w:rsidRPr="008219C1">
              <w:rPr>
                <w:rFonts w:asciiTheme="minorHAnsi" w:hAnsiTheme="minorHAnsi" w:cstheme="minorHAnsi"/>
                <w:b w:val="0"/>
                <w:bCs w:val="0"/>
                <w:sz w:val="20"/>
                <w:szCs w:val="20"/>
              </w:rPr>
              <w:t>DLR 3.8: By December 31, 2029, the Electricity Sector’s Cash Deficit does not exceed TJS 7 billion</w:t>
            </w:r>
            <w:r w:rsidR="00D17C5B">
              <w:rPr>
                <w:rFonts w:asciiTheme="minorHAnsi" w:hAnsiTheme="minorHAnsi" w:cstheme="minorHAnsi"/>
                <w:b w:val="0"/>
                <w:bCs w:val="0"/>
                <w:sz w:val="20"/>
                <w:szCs w:val="20"/>
              </w:rPr>
              <w:t xml:space="preserve"> </w:t>
            </w:r>
            <w:r w:rsidR="00D17C5B" w:rsidRPr="00D17C5B">
              <w:rPr>
                <w:rFonts w:asciiTheme="minorHAnsi" w:hAnsiTheme="minorHAnsi" w:cstheme="minorHAnsi"/>
                <w:b w:val="0"/>
                <w:bCs w:val="0"/>
                <w:i/>
                <w:iCs/>
                <w:sz w:val="20"/>
                <w:szCs w:val="20"/>
              </w:rPr>
              <w:t>(new)</w:t>
            </w:r>
          </w:p>
        </w:tc>
        <w:tc>
          <w:tcPr>
            <w:tcW w:w="1890" w:type="dxa"/>
          </w:tcPr>
          <w:p w14:paraId="22946635" w14:textId="5683C6EB" w:rsidR="008219C1" w:rsidRPr="00D17C5B" w:rsidRDefault="009D28AD"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w:t>
            </w:r>
          </w:p>
        </w:tc>
        <w:tc>
          <w:tcPr>
            <w:tcW w:w="1620" w:type="dxa"/>
          </w:tcPr>
          <w:p w14:paraId="3221D6EC" w14:textId="48C68283" w:rsidR="008219C1" w:rsidRPr="00A37F87" w:rsidRDefault="00A14EDB" w:rsidP="00A37F87">
            <w:pPr>
              <w:pStyle w:val="BodyText"/>
              <w:ind w:left="0"/>
              <w:jc w:val="center"/>
              <w:rPr>
                <w:rFonts w:asciiTheme="minorHAnsi" w:hAnsiTheme="minorHAnsi" w:cstheme="minorHAnsi"/>
                <w:b w:val="0"/>
                <w:bCs w:val="0"/>
                <w:sz w:val="20"/>
                <w:szCs w:val="20"/>
              </w:rPr>
            </w:pPr>
            <w:r>
              <w:rPr>
                <w:rFonts w:asciiTheme="minorHAnsi" w:hAnsiTheme="minorHAnsi" w:cstheme="minorHAnsi"/>
                <w:b w:val="0"/>
                <w:bCs w:val="0"/>
                <w:sz w:val="20"/>
                <w:szCs w:val="20"/>
              </w:rPr>
              <w:t>1</w:t>
            </w:r>
            <w:r w:rsidR="00506837" w:rsidRPr="00A37F87">
              <w:rPr>
                <w:rFonts w:asciiTheme="minorHAnsi" w:hAnsiTheme="minorHAnsi" w:cstheme="minorHAnsi"/>
                <w:b w:val="0"/>
                <w:bCs w:val="0"/>
                <w:sz w:val="20"/>
                <w:szCs w:val="20"/>
              </w:rPr>
              <w:t>,000,000</w:t>
            </w:r>
          </w:p>
        </w:tc>
      </w:tr>
      <w:tr w:rsidR="00A37F87" w:rsidRPr="008219C1" w14:paraId="287BA163" w14:textId="77777777" w:rsidTr="00A64B72">
        <w:tc>
          <w:tcPr>
            <w:tcW w:w="2864" w:type="dxa"/>
          </w:tcPr>
          <w:p w14:paraId="229CB9E4"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5B16CD97" w14:textId="2E54B8D7" w:rsidR="008219C1" w:rsidRPr="008219C1" w:rsidRDefault="008219C1" w:rsidP="00A64B72">
            <w:pPr>
              <w:pStyle w:val="BodyText"/>
              <w:ind w:left="0"/>
              <w:rPr>
                <w:rFonts w:asciiTheme="minorHAnsi" w:hAnsiTheme="minorHAnsi" w:cstheme="minorHAnsi"/>
                <w:b w:val="0"/>
                <w:bCs w:val="0"/>
                <w:sz w:val="20"/>
                <w:szCs w:val="20"/>
              </w:rPr>
            </w:pPr>
            <w:r w:rsidRPr="008219C1">
              <w:rPr>
                <w:rFonts w:asciiTheme="minorHAnsi" w:hAnsiTheme="minorHAnsi" w:cstheme="minorHAnsi"/>
                <w:b w:val="0"/>
                <w:bCs w:val="0"/>
                <w:sz w:val="20"/>
                <w:szCs w:val="20"/>
              </w:rPr>
              <w:t>DLR 3.9: By December 31, 2030, the Electricity Sector’s Cash Deficit does not exceed TJS 2 billion</w:t>
            </w:r>
            <w:r w:rsidR="00D17C5B">
              <w:rPr>
                <w:rFonts w:asciiTheme="minorHAnsi" w:hAnsiTheme="minorHAnsi" w:cstheme="minorHAnsi"/>
                <w:b w:val="0"/>
                <w:bCs w:val="0"/>
                <w:sz w:val="20"/>
                <w:szCs w:val="20"/>
              </w:rPr>
              <w:t xml:space="preserve"> </w:t>
            </w:r>
            <w:r w:rsidR="00D17C5B" w:rsidRPr="00D17C5B">
              <w:rPr>
                <w:rFonts w:asciiTheme="minorHAnsi" w:hAnsiTheme="minorHAnsi" w:cstheme="minorHAnsi"/>
                <w:b w:val="0"/>
                <w:bCs w:val="0"/>
                <w:i/>
                <w:iCs/>
                <w:sz w:val="20"/>
                <w:szCs w:val="20"/>
              </w:rPr>
              <w:t>(new)</w:t>
            </w:r>
          </w:p>
        </w:tc>
        <w:tc>
          <w:tcPr>
            <w:tcW w:w="1890" w:type="dxa"/>
          </w:tcPr>
          <w:p w14:paraId="14D9FC17" w14:textId="1A6D9327" w:rsidR="008219C1" w:rsidRPr="00D17C5B" w:rsidRDefault="009D28AD"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w:t>
            </w:r>
          </w:p>
        </w:tc>
        <w:tc>
          <w:tcPr>
            <w:tcW w:w="1620" w:type="dxa"/>
          </w:tcPr>
          <w:p w14:paraId="09A8B6DB" w14:textId="283EB59E" w:rsidR="008219C1" w:rsidRPr="00A37F87" w:rsidRDefault="00A14EDB" w:rsidP="00A37F87">
            <w:pPr>
              <w:pStyle w:val="BodyText"/>
              <w:ind w:left="0"/>
              <w:jc w:val="center"/>
              <w:rPr>
                <w:rFonts w:asciiTheme="minorHAnsi" w:hAnsiTheme="minorHAnsi" w:cstheme="minorHAnsi"/>
                <w:b w:val="0"/>
                <w:bCs w:val="0"/>
                <w:sz w:val="20"/>
                <w:szCs w:val="20"/>
              </w:rPr>
            </w:pPr>
            <w:r>
              <w:rPr>
                <w:rFonts w:asciiTheme="minorHAnsi" w:hAnsiTheme="minorHAnsi" w:cstheme="minorHAnsi"/>
                <w:b w:val="0"/>
                <w:bCs w:val="0"/>
                <w:sz w:val="20"/>
                <w:szCs w:val="20"/>
              </w:rPr>
              <w:t>1</w:t>
            </w:r>
            <w:r w:rsidR="00506837" w:rsidRPr="00A37F87">
              <w:rPr>
                <w:rFonts w:asciiTheme="minorHAnsi" w:hAnsiTheme="minorHAnsi" w:cstheme="minorHAnsi"/>
                <w:b w:val="0"/>
                <w:bCs w:val="0"/>
                <w:sz w:val="20"/>
                <w:szCs w:val="20"/>
              </w:rPr>
              <w:t>,000,000</w:t>
            </w:r>
          </w:p>
        </w:tc>
      </w:tr>
      <w:tr w:rsidR="00A37F87" w:rsidRPr="008219C1" w14:paraId="6041C0BA" w14:textId="77777777" w:rsidTr="00A64B72">
        <w:tc>
          <w:tcPr>
            <w:tcW w:w="2864" w:type="dxa"/>
          </w:tcPr>
          <w:p w14:paraId="29EB24CA"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3BD28E51" w14:textId="0F5724B3" w:rsidR="008219C1" w:rsidRPr="008219C1" w:rsidRDefault="008219C1" w:rsidP="00A64B72">
            <w:pPr>
              <w:pStyle w:val="BodyText"/>
              <w:ind w:left="0"/>
              <w:rPr>
                <w:rFonts w:asciiTheme="minorHAnsi" w:hAnsiTheme="minorHAnsi" w:cstheme="minorHAnsi"/>
                <w:b w:val="0"/>
                <w:bCs w:val="0"/>
                <w:sz w:val="20"/>
                <w:szCs w:val="20"/>
              </w:rPr>
            </w:pPr>
            <w:r w:rsidRPr="008219C1">
              <w:rPr>
                <w:rFonts w:asciiTheme="minorHAnsi" w:hAnsiTheme="minorHAnsi" w:cstheme="minorHAnsi"/>
                <w:b w:val="0"/>
                <w:bCs w:val="0"/>
                <w:sz w:val="20"/>
                <w:szCs w:val="20"/>
              </w:rPr>
              <w:t>DLR 3.10: By December 31, 2031, the Electricity Sector does not have a Cash Deficit</w:t>
            </w:r>
            <w:r w:rsidR="00D17C5B">
              <w:rPr>
                <w:rFonts w:asciiTheme="minorHAnsi" w:hAnsiTheme="minorHAnsi" w:cstheme="minorHAnsi"/>
                <w:b w:val="0"/>
                <w:bCs w:val="0"/>
                <w:sz w:val="20"/>
                <w:szCs w:val="20"/>
              </w:rPr>
              <w:t xml:space="preserve"> </w:t>
            </w:r>
            <w:r w:rsidR="00D17C5B" w:rsidRPr="00D17C5B">
              <w:rPr>
                <w:rFonts w:asciiTheme="minorHAnsi" w:hAnsiTheme="minorHAnsi" w:cstheme="minorHAnsi"/>
                <w:b w:val="0"/>
                <w:bCs w:val="0"/>
                <w:i/>
                <w:iCs/>
                <w:sz w:val="20"/>
                <w:szCs w:val="20"/>
              </w:rPr>
              <w:t>(new)</w:t>
            </w:r>
          </w:p>
        </w:tc>
        <w:tc>
          <w:tcPr>
            <w:tcW w:w="1890" w:type="dxa"/>
          </w:tcPr>
          <w:p w14:paraId="17AA85EE" w14:textId="47D1C243" w:rsidR="008219C1" w:rsidRPr="00D17C5B" w:rsidRDefault="009D28AD"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w:t>
            </w:r>
          </w:p>
        </w:tc>
        <w:tc>
          <w:tcPr>
            <w:tcW w:w="1620" w:type="dxa"/>
          </w:tcPr>
          <w:p w14:paraId="03E0C066" w14:textId="1CD6C614" w:rsidR="008219C1" w:rsidRPr="00A37F87" w:rsidRDefault="00A14EDB" w:rsidP="00A37F87">
            <w:pPr>
              <w:pStyle w:val="BodyText"/>
              <w:ind w:left="0"/>
              <w:jc w:val="center"/>
              <w:rPr>
                <w:rFonts w:asciiTheme="minorHAnsi" w:hAnsiTheme="minorHAnsi" w:cstheme="minorHAnsi"/>
                <w:b w:val="0"/>
                <w:bCs w:val="0"/>
                <w:sz w:val="20"/>
                <w:szCs w:val="20"/>
              </w:rPr>
            </w:pPr>
            <w:r>
              <w:rPr>
                <w:rFonts w:asciiTheme="minorHAnsi" w:hAnsiTheme="minorHAnsi" w:cstheme="minorHAnsi"/>
                <w:b w:val="0"/>
                <w:bCs w:val="0"/>
                <w:sz w:val="20"/>
                <w:szCs w:val="20"/>
              </w:rPr>
              <w:t>1</w:t>
            </w:r>
            <w:r w:rsidR="00506837" w:rsidRPr="00A37F87">
              <w:rPr>
                <w:rFonts w:asciiTheme="minorHAnsi" w:hAnsiTheme="minorHAnsi" w:cstheme="minorHAnsi"/>
                <w:b w:val="0"/>
                <w:bCs w:val="0"/>
                <w:sz w:val="20"/>
                <w:szCs w:val="20"/>
              </w:rPr>
              <w:t>,000,000</w:t>
            </w:r>
          </w:p>
        </w:tc>
      </w:tr>
      <w:tr w:rsidR="00A37F87" w:rsidRPr="008219C1" w14:paraId="437A01AC" w14:textId="77777777" w:rsidTr="00A64B72">
        <w:tc>
          <w:tcPr>
            <w:tcW w:w="2864" w:type="dxa"/>
          </w:tcPr>
          <w:p w14:paraId="558B77D6" w14:textId="77777777" w:rsidR="008219C1" w:rsidRPr="008219C1" w:rsidRDefault="008219C1" w:rsidP="00A64B72">
            <w:pPr>
              <w:pStyle w:val="BodyText"/>
              <w:ind w:left="0"/>
              <w:rPr>
                <w:rFonts w:asciiTheme="minorHAnsi" w:hAnsiTheme="minorHAnsi" w:cstheme="minorHAnsi"/>
                <w:sz w:val="20"/>
                <w:szCs w:val="20"/>
              </w:rPr>
            </w:pPr>
            <w:r w:rsidRPr="008219C1">
              <w:rPr>
                <w:rFonts w:asciiTheme="minorHAnsi" w:hAnsiTheme="minorHAnsi" w:cstheme="minorHAnsi"/>
                <w:sz w:val="20"/>
                <w:szCs w:val="20"/>
              </w:rPr>
              <w:t xml:space="preserve">DLI #5: Adequate electricity supply is received by BT or the Designated Off-Taker from Sangtuda-1  </w:t>
            </w:r>
          </w:p>
        </w:tc>
        <w:tc>
          <w:tcPr>
            <w:tcW w:w="4066" w:type="dxa"/>
          </w:tcPr>
          <w:p w14:paraId="62812588" w14:textId="77777777" w:rsidR="008219C1" w:rsidRPr="008219C1" w:rsidRDefault="008219C1" w:rsidP="00A64B72">
            <w:pPr>
              <w:pStyle w:val="BodyText"/>
              <w:ind w:left="0"/>
              <w:rPr>
                <w:rFonts w:asciiTheme="minorHAnsi" w:hAnsiTheme="minorHAnsi" w:cstheme="minorHAnsi"/>
                <w:b w:val="0"/>
                <w:bCs w:val="0"/>
                <w:sz w:val="20"/>
                <w:szCs w:val="20"/>
              </w:rPr>
            </w:pPr>
            <w:r w:rsidRPr="008219C1">
              <w:rPr>
                <w:rFonts w:asciiTheme="minorHAnsi" w:hAnsiTheme="minorHAnsi" w:cstheme="minorHAnsi"/>
                <w:b w:val="0"/>
                <w:bCs w:val="0"/>
                <w:sz w:val="20"/>
                <w:szCs w:val="20"/>
              </w:rPr>
              <w:t>DLR 5.1: By June 30, 2020, at least 1,000 GWh is received by BT</w:t>
            </w:r>
          </w:p>
        </w:tc>
        <w:tc>
          <w:tcPr>
            <w:tcW w:w="1890" w:type="dxa"/>
          </w:tcPr>
          <w:p w14:paraId="0F89B59D" w14:textId="60813756" w:rsidR="008219C1" w:rsidRPr="00D17C5B" w:rsidRDefault="00E47B21"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3,000,000</w:t>
            </w:r>
          </w:p>
        </w:tc>
        <w:tc>
          <w:tcPr>
            <w:tcW w:w="1620" w:type="dxa"/>
          </w:tcPr>
          <w:p w14:paraId="31090E65" w14:textId="65E9171B" w:rsidR="008219C1" w:rsidRPr="00A37F87" w:rsidRDefault="0050683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w:t>
            </w:r>
          </w:p>
        </w:tc>
      </w:tr>
      <w:tr w:rsidR="00A37F87" w:rsidRPr="008219C1" w14:paraId="337EDEAA" w14:textId="77777777" w:rsidTr="00A64B72">
        <w:tc>
          <w:tcPr>
            <w:tcW w:w="2864" w:type="dxa"/>
          </w:tcPr>
          <w:p w14:paraId="3A9EFA2D"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460F5AA2" w14:textId="727BF148" w:rsidR="008219C1" w:rsidRPr="008219C1" w:rsidRDefault="008219C1" w:rsidP="00A64B72">
            <w:pPr>
              <w:pStyle w:val="BodyText"/>
              <w:ind w:left="0"/>
              <w:rPr>
                <w:rFonts w:asciiTheme="minorHAnsi" w:hAnsiTheme="minorHAnsi" w:cstheme="minorHAnsi"/>
                <w:b w:val="0"/>
                <w:bCs w:val="0"/>
                <w:sz w:val="20"/>
                <w:szCs w:val="20"/>
              </w:rPr>
            </w:pPr>
            <w:r w:rsidRPr="008219C1">
              <w:rPr>
                <w:rFonts w:asciiTheme="minorHAnsi" w:hAnsiTheme="minorHAnsi" w:cstheme="minorHAnsi"/>
                <w:b w:val="0"/>
                <w:bCs w:val="0"/>
                <w:sz w:val="20"/>
                <w:szCs w:val="20"/>
              </w:rPr>
              <w:t>DLR 5.2: By December 31, 2020, at least 800 GWh is received by BT</w:t>
            </w:r>
          </w:p>
        </w:tc>
        <w:tc>
          <w:tcPr>
            <w:tcW w:w="1890" w:type="dxa"/>
          </w:tcPr>
          <w:p w14:paraId="5614DDC7" w14:textId="419A1E06" w:rsidR="008219C1" w:rsidRPr="00D17C5B" w:rsidRDefault="00E47B21"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3,000,000</w:t>
            </w:r>
          </w:p>
        </w:tc>
        <w:tc>
          <w:tcPr>
            <w:tcW w:w="1620" w:type="dxa"/>
          </w:tcPr>
          <w:p w14:paraId="798D0ED4" w14:textId="144BB0E4" w:rsidR="008219C1" w:rsidRPr="00A37F87" w:rsidRDefault="0050683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w:t>
            </w:r>
          </w:p>
        </w:tc>
      </w:tr>
      <w:tr w:rsidR="00A37F87" w:rsidRPr="008219C1" w14:paraId="2F8CBABA" w14:textId="77777777" w:rsidTr="00A64B72">
        <w:tc>
          <w:tcPr>
            <w:tcW w:w="2864" w:type="dxa"/>
          </w:tcPr>
          <w:p w14:paraId="2530FF25"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481016E9" w14:textId="20076DA3" w:rsidR="008219C1" w:rsidRPr="008219C1" w:rsidRDefault="008219C1" w:rsidP="00A64B72">
            <w:pPr>
              <w:pStyle w:val="BodyText"/>
              <w:ind w:left="0"/>
              <w:rPr>
                <w:rFonts w:asciiTheme="minorHAnsi" w:hAnsiTheme="minorHAnsi" w:cstheme="minorHAnsi"/>
                <w:b w:val="0"/>
                <w:bCs w:val="0"/>
                <w:sz w:val="20"/>
                <w:szCs w:val="20"/>
              </w:rPr>
            </w:pPr>
            <w:r w:rsidRPr="008219C1">
              <w:rPr>
                <w:rFonts w:asciiTheme="minorHAnsi" w:hAnsiTheme="minorHAnsi" w:cstheme="minorHAnsi"/>
                <w:b w:val="0"/>
                <w:bCs w:val="0"/>
                <w:sz w:val="20"/>
                <w:szCs w:val="20"/>
              </w:rPr>
              <w:t>DLR 5.3: By June 30, 2021, at least 1,000 GWh is received by BT</w:t>
            </w:r>
          </w:p>
        </w:tc>
        <w:tc>
          <w:tcPr>
            <w:tcW w:w="1890" w:type="dxa"/>
          </w:tcPr>
          <w:p w14:paraId="2C4BD298" w14:textId="221F96D9" w:rsidR="008219C1" w:rsidRPr="00D17C5B" w:rsidRDefault="00E47B21"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3,000,000</w:t>
            </w:r>
          </w:p>
        </w:tc>
        <w:tc>
          <w:tcPr>
            <w:tcW w:w="1620" w:type="dxa"/>
          </w:tcPr>
          <w:p w14:paraId="73DAE4E9" w14:textId="21421DBC" w:rsidR="008219C1" w:rsidRPr="00A37F87" w:rsidRDefault="0050683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w:t>
            </w:r>
          </w:p>
        </w:tc>
      </w:tr>
      <w:tr w:rsidR="00A37F87" w:rsidRPr="008219C1" w14:paraId="4CE9B2F1" w14:textId="77777777" w:rsidTr="00A64B72">
        <w:tc>
          <w:tcPr>
            <w:tcW w:w="2864" w:type="dxa"/>
          </w:tcPr>
          <w:p w14:paraId="44E4439E"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7C7C42AF" w14:textId="4BC78C50" w:rsidR="008219C1" w:rsidRPr="008219C1" w:rsidRDefault="008219C1" w:rsidP="00A64B72">
            <w:pPr>
              <w:pStyle w:val="BodyText"/>
              <w:ind w:left="0"/>
              <w:rPr>
                <w:rFonts w:asciiTheme="minorHAnsi" w:hAnsiTheme="minorHAnsi" w:cstheme="minorHAnsi"/>
                <w:b w:val="0"/>
                <w:bCs w:val="0"/>
                <w:sz w:val="20"/>
                <w:szCs w:val="20"/>
              </w:rPr>
            </w:pPr>
            <w:r w:rsidRPr="008219C1">
              <w:rPr>
                <w:rFonts w:asciiTheme="minorHAnsi" w:hAnsiTheme="minorHAnsi" w:cstheme="minorHAnsi"/>
                <w:b w:val="0"/>
                <w:bCs w:val="0"/>
                <w:sz w:val="20"/>
                <w:szCs w:val="20"/>
              </w:rPr>
              <w:t>DLR 5.4: By December 31, 2021, at least 800 GWh is received by BT</w:t>
            </w:r>
          </w:p>
        </w:tc>
        <w:tc>
          <w:tcPr>
            <w:tcW w:w="1890" w:type="dxa"/>
          </w:tcPr>
          <w:p w14:paraId="46172790" w14:textId="54C568A1" w:rsidR="008219C1" w:rsidRPr="00D17C5B" w:rsidRDefault="00E47B21"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3,000,000</w:t>
            </w:r>
          </w:p>
        </w:tc>
        <w:tc>
          <w:tcPr>
            <w:tcW w:w="1620" w:type="dxa"/>
          </w:tcPr>
          <w:p w14:paraId="0155A00D" w14:textId="78E75367" w:rsidR="008219C1" w:rsidRPr="00A37F87" w:rsidRDefault="0050683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w:t>
            </w:r>
          </w:p>
        </w:tc>
      </w:tr>
      <w:tr w:rsidR="00A37F87" w:rsidRPr="008219C1" w14:paraId="227E82DC" w14:textId="77777777" w:rsidTr="00A64B72">
        <w:tc>
          <w:tcPr>
            <w:tcW w:w="2864" w:type="dxa"/>
          </w:tcPr>
          <w:p w14:paraId="3C82A570"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6BBA3AB2" w14:textId="2DEBB114" w:rsidR="008219C1" w:rsidRPr="002E58D8" w:rsidRDefault="008219C1" w:rsidP="00A64B72">
            <w:pPr>
              <w:pStyle w:val="BodyText"/>
              <w:ind w:left="0"/>
              <w:rPr>
                <w:rFonts w:asciiTheme="minorHAnsi" w:hAnsiTheme="minorHAnsi" w:cstheme="minorHAnsi"/>
                <w:b w:val="0"/>
                <w:bCs w:val="0"/>
                <w:i/>
                <w:iCs/>
                <w:sz w:val="20"/>
                <w:szCs w:val="20"/>
              </w:rPr>
            </w:pPr>
            <w:r w:rsidRPr="008219C1">
              <w:rPr>
                <w:rFonts w:asciiTheme="minorHAnsi" w:hAnsiTheme="minorHAnsi" w:cstheme="minorHAnsi"/>
                <w:b w:val="0"/>
                <w:bCs w:val="0"/>
                <w:sz w:val="20"/>
                <w:szCs w:val="20"/>
              </w:rPr>
              <w:t xml:space="preserve">DLR 5.5: By December 31, 2022, at least 1,800 GWh is received by BT or the new Designated Off-taker </w:t>
            </w:r>
            <w:r w:rsidRPr="008219C1">
              <w:rPr>
                <w:rFonts w:asciiTheme="minorHAnsi" w:hAnsiTheme="minorHAnsi" w:cstheme="minorHAnsi"/>
                <w:b w:val="0"/>
                <w:bCs w:val="0"/>
                <w:i/>
                <w:iCs/>
                <w:sz w:val="20"/>
                <w:szCs w:val="20"/>
              </w:rPr>
              <w:t>(revised)</w:t>
            </w:r>
          </w:p>
        </w:tc>
        <w:tc>
          <w:tcPr>
            <w:tcW w:w="1890" w:type="dxa"/>
          </w:tcPr>
          <w:p w14:paraId="626AB6C6" w14:textId="68E317A3" w:rsidR="008219C1" w:rsidRPr="00D17C5B" w:rsidRDefault="00E47B21"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2,000,000</w:t>
            </w:r>
          </w:p>
        </w:tc>
        <w:tc>
          <w:tcPr>
            <w:tcW w:w="1620" w:type="dxa"/>
          </w:tcPr>
          <w:p w14:paraId="32F2AA5D" w14:textId="01199E8E" w:rsidR="008219C1" w:rsidRPr="00A37F87" w:rsidRDefault="00A14EDB" w:rsidP="00A37F87">
            <w:pPr>
              <w:pStyle w:val="BodyText"/>
              <w:ind w:left="0"/>
              <w:jc w:val="center"/>
              <w:rPr>
                <w:rFonts w:asciiTheme="minorHAnsi" w:hAnsiTheme="minorHAnsi" w:cstheme="minorHAnsi"/>
                <w:b w:val="0"/>
                <w:bCs w:val="0"/>
                <w:sz w:val="20"/>
                <w:szCs w:val="20"/>
              </w:rPr>
            </w:pPr>
            <w:r>
              <w:rPr>
                <w:rFonts w:asciiTheme="minorHAnsi" w:hAnsiTheme="minorHAnsi" w:cstheme="minorHAnsi"/>
                <w:b w:val="0"/>
                <w:bCs w:val="0"/>
                <w:sz w:val="20"/>
                <w:szCs w:val="20"/>
              </w:rPr>
              <w:t>500,000</w:t>
            </w:r>
          </w:p>
        </w:tc>
      </w:tr>
      <w:tr w:rsidR="00A37F87" w:rsidRPr="008219C1" w14:paraId="254A989E" w14:textId="77777777" w:rsidTr="00A64B72">
        <w:tc>
          <w:tcPr>
            <w:tcW w:w="2864" w:type="dxa"/>
          </w:tcPr>
          <w:p w14:paraId="6A6EF9ED"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72BA4E00" w14:textId="0AE99A8B" w:rsidR="008219C1" w:rsidRPr="002E58D8" w:rsidRDefault="008219C1" w:rsidP="00A64B72">
            <w:pPr>
              <w:pStyle w:val="BodyText"/>
              <w:ind w:left="0"/>
              <w:rPr>
                <w:rFonts w:asciiTheme="minorHAnsi" w:hAnsiTheme="minorHAnsi" w:cstheme="minorHAnsi"/>
                <w:b w:val="0"/>
                <w:bCs w:val="0"/>
                <w:i/>
                <w:iCs/>
                <w:sz w:val="20"/>
                <w:szCs w:val="20"/>
              </w:rPr>
            </w:pPr>
            <w:r w:rsidRPr="008219C1">
              <w:rPr>
                <w:rFonts w:asciiTheme="minorHAnsi" w:hAnsiTheme="minorHAnsi" w:cstheme="minorHAnsi"/>
                <w:b w:val="0"/>
                <w:bCs w:val="0"/>
                <w:sz w:val="20"/>
                <w:szCs w:val="20"/>
              </w:rPr>
              <w:t xml:space="preserve">DLR 5.6: By December 31, 2023, at least 1,800 GWh is received by BT or the new Designated </w:t>
            </w:r>
            <w:r w:rsidRPr="008219C1">
              <w:rPr>
                <w:rFonts w:asciiTheme="minorHAnsi" w:hAnsiTheme="minorHAnsi" w:cstheme="minorHAnsi"/>
                <w:b w:val="0"/>
                <w:bCs w:val="0"/>
                <w:sz w:val="20"/>
                <w:szCs w:val="20"/>
              </w:rPr>
              <w:lastRenderedPageBreak/>
              <w:t xml:space="preserve">Off-taker </w:t>
            </w:r>
            <w:r w:rsidRPr="008219C1">
              <w:rPr>
                <w:rFonts w:asciiTheme="minorHAnsi" w:hAnsiTheme="minorHAnsi" w:cstheme="minorHAnsi"/>
                <w:b w:val="0"/>
                <w:bCs w:val="0"/>
                <w:i/>
                <w:iCs/>
                <w:sz w:val="20"/>
                <w:szCs w:val="20"/>
              </w:rPr>
              <w:t>(revised)</w:t>
            </w:r>
          </w:p>
        </w:tc>
        <w:tc>
          <w:tcPr>
            <w:tcW w:w="1890" w:type="dxa"/>
          </w:tcPr>
          <w:p w14:paraId="704F3E26" w14:textId="7503B4C0" w:rsidR="008219C1" w:rsidRPr="00D17C5B" w:rsidRDefault="00E47B21"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lastRenderedPageBreak/>
              <w:t>1,000,000</w:t>
            </w:r>
          </w:p>
        </w:tc>
        <w:tc>
          <w:tcPr>
            <w:tcW w:w="1620" w:type="dxa"/>
          </w:tcPr>
          <w:p w14:paraId="2B10243A" w14:textId="2C8C8B53" w:rsidR="008219C1" w:rsidRPr="00A37F87" w:rsidRDefault="00A14EDB" w:rsidP="00A37F87">
            <w:pPr>
              <w:pStyle w:val="BodyText"/>
              <w:ind w:left="0"/>
              <w:jc w:val="center"/>
              <w:rPr>
                <w:rFonts w:asciiTheme="minorHAnsi" w:hAnsiTheme="minorHAnsi" w:cstheme="minorHAnsi"/>
                <w:b w:val="0"/>
                <w:bCs w:val="0"/>
                <w:sz w:val="20"/>
                <w:szCs w:val="20"/>
              </w:rPr>
            </w:pPr>
            <w:r>
              <w:rPr>
                <w:rFonts w:asciiTheme="minorHAnsi" w:hAnsiTheme="minorHAnsi" w:cstheme="minorHAnsi"/>
                <w:b w:val="0"/>
                <w:bCs w:val="0"/>
                <w:sz w:val="20"/>
                <w:szCs w:val="20"/>
              </w:rPr>
              <w:t>500,000</w:t>
            </w:r>
          </w:p>
        </w:tc>
      </w:tr>
      <w:tr w:rsidR="00A37F87" w:rsidRPr="008219C1" w14:paraId="4977D006" w14:textId="77777777" w:rsidTr="00A64B72">
        <w:tc>
          <w:tcPr>
            <w:tcW w:w="2864" w:type="dxa"/>
          </w:tcPr>
          <w:p w14:paraId="39CDAD2E"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2DC90D1F" w14:textId="3578AFF4" w:rsidR="008219C1" w:rsidRPr="002E58D8" w:rsidRDefault="008219C1" w:rsidP="00A64B72">
            <w:pPr>
              <w:pStyle w:val="BodyText"/>
              <w:ind w:left="0"/>
              <w:rPr>
                <w:rFonts w:asciiTheme="minorHAnsi" w:hAnsiTheme="minorHAnsi" w:cstheme="minorHAnsi"/>
                <w:b w:val="0"/>
                <w:bCs w:val="0"/>
                <w:i/>
                <w:iCs/>
                <w:sz w:val="20"/>
                <w:szCs w:val="20"/>
              </w:rPr>
            </w:pPr>
            <w:r w:rsidRPr="008219C1">
              <w:rPr>
                <w:rFonts w:asciiTheme="minorHAnsi" w:hAnsiTheme="minorHAnsi" w:cstheme="minorHAnsi"/>
                <w:b w:val="0"/>
                <w:bCs w:val="0"/>
                <w:sz w:val="20"/>
                <w:szCs w:val="20"/>
              </w:rPr>
              <w:t xml:space="preserve">DLR 5.7: By December 31, 2024, at least 1,800 GWh is received by BT or the new Designated Off-taker </w:t>
            </w:r>
            <w:r w:rsidRPr="008219C1">
              <w:rPr>
                <w:rFonts w:asciiTheme="minorHAnsi" w:hAnsiTheme="minorHAnsi" w:cstheme="minorHAnsi"/>
                <w:b w:val="0"/>
                <w:bCs w:val="0"/>
                <w:i/>
                <w:iCs/>
                <w:sz w:val="20"/>
                <w:szCs w:val="20"/>
              </w:rPr>
              <w:t>(revised)</w:t>
            </w:r>
          </w:p>
        </w:tc>
        <w:tc>
          <w:tcPr>
            <w:tcW w:w="1890" w:type="dxa"/>
          </w:tcPr>
          <w:p w14:paraId="15091EEE" w14:textId="17226BE4" w:rsidR="008219C1" w:rsidRPr="00D17C5B" w:rsidRDefault="00E47B21"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1,000,000</w:t>
            </w:r>
          </w:p>
        </w:tc>
        <w:tc>
          <w:tcPr>
            <w:tcW w:w="1620" w:type="dxa"/>
          </w:tcPr>
          <w:p w14:paraId="19F43A93" w14:textId="3136C00C" w:rsidR="008219C1" w:rsidRPr="00A37F87" w:rsidRDefault="00A14EDB" w:rsidP="00A37F87">
            <w:pPr>
              <w:pStyle w:val="BodyText"/>
              <w:ind w:left="0"/>
              <w:jc w:val="center"/>
              <w:rPr>
                <w:rFonts w:asciiTheme="minorHAnsi" w:hAnsiTheme="minorHAnsi" w:cstheme="minorHAnsi"/>
                <w:b w:val="0"/>
                <w:bCs w:val="0"/>
                <w:sz w:val="20"/>
                <w:szCs w:val="20"/>
              </w:rPr>
            </w:pPr>
            <w:r>
              <w:rPr>
                <w:rFonts w:asciiTheme="minorHAnsi" w:hAnsiTheme="minorHAnsi" w:cstheme="minorHAnsi"/>
                <w:b w:val="0"/>
                <w:bCs w:val="0"/>
                <w:sz w:val="20"/>
                <w:szCs w:val="20"/>
              </w:rPr>
              <w:t>500,000</w:t>
            </w:r>
          </w:p>
        </w:tc>
      </w:tr>
      <w:tr w:rsidR="00A37F87" w:rsidRPr="008219C1" w14:paraId="1D4960B5" w14:textId="77777777" w:rsidTr="00A64B72">
        <w:tc>
          <w:tcPr>
            <w:tcW w:w="2864" w:type="dxa"/>
          </w:tcPr>
          <w:p w14:paraId="14745FFB"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518C2C83" w14:textId="6228F474" w:rsidR="008219C1" w:rsidRPr="002E58D8" w:rsidRDefault="008219C1" w:rsidP="00A64B72">
            <w:pPr>
              <w:pStyle w:val="BodyText"/>
              <w:ind w:left="0"/>
              <w:rPr>
                <w:rFonts w:asciiTheme="minorHAnsi" w:hAnsiTheme="minorHAnsi" w:cstheme="minorHAnsi"/>
                <w:b w:val="0"/>
                <w:bCs w:val="0"/>
                <w:i/>
                <w:iCs/>
                <w:sz w:val="20"/>
                <w:szCs w:val="20"/>
              </w:rPr>
            </w:pPr>
            <w:r w:rsidRPr="008219C1">
              <w:rPr>
                <w:rFonts w:asciiTheme="minorHAnsi" w:hAnsiTheme="minorHAnsi" w:cstheme="minorHAnsi"/>
                <w:b w:val="0"/>
                <w:bCs w:val="0"/>
                <w:sz w:val="20"/>
                <w:szCs w:val="20"/>
              </w:rPr>
              <w:t xml:space="preserve">DLR 5.8: By December 31, 2025, at least 1,800 GWh is received by BT or the new Designated Off-taker </w:t>
            </w:r>
            <w:r w:rsidRPr="008219C1">
              <w:rPr>
                <w:rFonts w:asciiTheme="minorHAnsi" w:hAnsiTheme="minorHAnsi" w:cstheme="minorHAnsi"/>
                <w:b w:val="0"/>
                <w:bCs w:val="0"/>
                <w:i/>
                <w:iCs/>
                <w:sz w:val="20"/>
                <w:szCs w:val="20"/>
              </w:rPr>
              <w:t>(revised)</w:t>
            </w:r>
          </w:p>
        </w:tc>
        <w:tc>
          <w:tcPr>
            <w:tcW w:w="1890" w:type="dxa"/>
          </w:tcPr>
          <w:p w14:paraId="09946EE4" w14:textId="7DD2A893" w:rsidR="008219C1" w:rsidRPr="00D17C5B" w:rsidRDefault="00E47B21"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1,000,000</w:t>
            </w:r>
          </w:p>
        </w:tc>
        <w:tc>
          <w:tcPr>
            <w:tcW w:w="1620" w:type="dxa"/>
          </w:tcPr>
          <w:p w14:paraId="1E6ED761" w14:textId="7A87EC48" w:rsidR="008219C1" w:rsidRPr="00A37F87" w:rsidRDefault="00A14EDB" w:rsidP="00A37F87">
            <w:pPr>
              <w:pStyle w:val="BodyText"/>
              <w:ind w:left="0"/>
              <w:jc w:val="center"/>
              <w:rPr>
                <w:rFonts w:asciiTheme="minorHAnsi" w:hAnsiTheme="minorHAnsi" w:cstheme="minorHAnsi"/>
                <w:b w:val="0"/>
                <w:bCs w:val="0"/>
                <w:sz w:val="20"/>
                <w:szCs w:val="20"/>
              </w:rPr>
            </w:pPr>
            <w:r>
              <w:rPr>
                <w:rFonts w:asciiTheme="minorHAnsi" w:hAnsiTheme="minorHAnsi" w:cstheme="minorHAnsi"/>
                <w:b w:val="0"/>
                <w:bCs w:val="0"/>
                <w:sz w:val="20"/>
                <w:szCs w:val="20"/>
              </w:rPr>
              <w:t>500,000</w:t>
            </w:r>
          </w:p>
        </w:tc>
      </w:tr>
      <w:tr w:rsidR="00A37F87" w:rsidRPr="008219C1" w14:paraId="370E5BA7" w14:textId="77777777" w:rsidTr="00A64B72">
        <w:tc>
          <w:tcPr>
            <w:tcW w:w="2864" w:type="dxa"/>
          </w:tcPr>
          <w:p w14:paraId="230FC9A3"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20BD8282" w14:textId="549C686A" w:rsidR="008219C1" w:rsidRPr="002E58D8" w:rsidRDefault="008219C1" w:rsidP="00A64B72">
            <w:pPr>
              <w:pStyle w:val="BodyText"/>
              <w:ind w:left="0"/>
              <w:rPr>
                <w:rFonts w:asciiTheme="minorHAnsi" w:hAnsiTheme="minorHAnsi" w:cstheme="minorHAnsi"/>
                <w:b w:val="0"/>
                <w:bCs w:val="0"/>
                <w:i/>
                <w:iCs/>
                <w:sz w:val="20"/>
                <w:szCs w:val="20"/>
              </w:rPr>
            </w:pPr>
            <w:r w:rsidRPr="008219C1">
              <w:rPr>
                <w:rFonts w:asciiTheme="minorHAnsi" w:hAnsiTheme="minorHAnsi" w:cstheme="minorHAnsi"/>
                <w:b w:val="0"/>
                <w:bCs w:val="0"/>
                <w:sz w:val="20"/>
                <w:szCs w:val="20"/>
              </w:rPr>
              <w:t xml:space="preserve">DLR 5.9: By December 31, 2026, at least 1,800 GWh is received by BT or the new Designated Off-taker </w:t>
            </w:r>
            <w:r w:rsidRPr="008219C1">
              <w:rPr>
                <w:rFonts w:asciiTheme="minorHAnsi" w:hAnsiTheme="minorHAnsi" w:cstheme="minorHAnsi"/>
                <w:b w:val="0"/>
                <w:bCs w:val="0"/>
                <w:i/>
                <w:iCs/>
                <w:sz w:val="20"/>
                <w:szCs w:val="20"/>
              </w:rPr>
              <w:t>(new)</w:t>
            </w:r>
          </w:p>
        </w:tc>
        <w:tc>
          <w:tcPr>
            <w:tcW w:w="1890" w:type="dxa"/>
          </w:tcPr>
          <w:p w14:paraId="21448062" w14:textId="4E8AD168" w:rsidR="008219C1" w:rsidRPr="00D17C5B" w:rsidRDefault="00E47B21"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w:t>
            </w:r>
          </w:p>
        </w:tc>
        <w:tc>
          <w:tcPr>
            <w:tcW w:w="1620" w:type="dxa"/>
          </w:tcPr>
          <w:p w14:paraId="5BFDEA32" w14:textId="21B38F32" w:rsidR="008219C1" w:rsidRPr="00A37F87" w:rsidRDefault="0050683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200,000</w:t>
            </w:r>
          </w:p>
        </w:tc>
      </w:tr>
      <w:tr w:rsidR="00A37F87" w:rsidRPr="008219C1" w14:paraId="57A825BD" w14:textId="77777777" w:rsidTr="00A64B72">
        <w:tc>
          <w:tcPr>
            <w:tcW w:w="2864" w:type="dxa"/>
          </w:tcPr>
          <w:p w14:paraId="3CDEE731"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2327AA15" w14:textId="3FD58A35" w:rsidR="008219C1" w:rsidRPr="002E58D8" w:rsidRDefault="008219C1" w:rsidP="00A64B72">
            <w:pPr>
              <w:pStyle w:val="BodyText"/>
              <w:ind w:left="0"/>
              <w:rPr>
                <w:rFonts w:asciiTheme="minorHAnsi" w:hAnsiTheme="minorHAnsi" w:cstheme="minorHAnsi"/>
                <w:b w:val="0"/>
                <w:bCs w:val="0"/>
                <w:i/>
                <w:iCs/>
                <w:sz w:val="20"/>
                <w:szCs w:val="20"/>
              </w:rPr>
            </w:pPr>
            <w:r w:rsidRPr="008219C1">
              <w:rPr>
                <w:rFonts w:asciiTheme="minorHAnsi" w:hAnsiTheme="minorHAnsi" w:cstheme="minorHAnsi"/>
                <w:b w:val="0"/>
                <w:bCs w:val="0"/>
                <w:sz w:val="20"/>
                <w:szCs w:val="20"/>
              </w:rPr>
              <w:t xml:space="preserve">DLR 5.10: By December 31, 2027, at least 1,800 GWh is received by BT or the new Designated Off-taker </w:t>
            </w:r>
            <w:r w:rsidRPr="008219C1">
              <w:rPr>
                <w:rFonts w:asciiTheme="minorHAnsi" w:hAnsiTheme="minorHAnsi" w:cstheme="minorHAnsi"/>
                <w:b w:val="0"/>
                <w:bCs w:val="0"/>
                <w:i/>
                <w:iCs/>
                <w:sz w:val="20"/>
                <w:szCs w:val="20"/>
              </w:rPr>
              <w:t>(new)</w:t>
            </w:r>
          </w:p>
        </w:tc>
        <w:tc>
          <w:tcPr>
            <w:tcW w:w="1890" w:type="dxa"/>
          </w:tcPr>
          <w:p w14:paraId="43B4B2A2" w14:textId="68FA33EE" w:rsidR="008219C1" w:rsidRPr="00D17C5B" w:rsidRDefault="00E47B21"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w:t>
            </w:r>
          </w:p>
        </w:tc>
        <w:tc>
          <w:tcPr>
            <w:tcW w:w="1620" w:type="dxa"/>
          </w:tcPr>
          <w:p w14:paraId="0635C3E0" w14:textId="3ADF1CD4" w:rsidR="008219C1" w:rsidRPr="00A37F87" w:rsidRDefault="0050683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200,000</w:t>
            </w:r>
          </w:p>
        </w:tc>
      </w:tr>
      <w:tr w:rsidR="00A37F87" w:rsidRPr="008219C1" w14:paraId="78D3F4EB" w14:textId="77777777" w:rsidTr="00A64B72">
        <w:tc>
          <w:tcPr>
            <w:tcW w:w="2864" w:type="dxa"/>
          </w:tcPr>
          <w:p w14:paraId="68BCBACB"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423F71A0" w14:textId="33821BF5" w:rsidR="008219C1" w:rsidRPr="002E58D8" w:rsidRDefault="008219C1" w:rsidP="00A64B72">
            <w:pPr>
              <w:pStyle w:val="BodyText"/>
              <w:ind w:left="0"/>
              <w:rPr>
                <w:rFonts w:asciiTheme="minorHAnsi" w:hAnsiTheme="minorHAnsi" w:cstheme="minorHAnsi"/>
                <w:b w:val="0"/>
                <w:bCs w:val="0"/>
                <w:i/>
                <w:iCs/>
                <w:sz w:val="20"/>
                <w:szCs w:val="20"/>
              </w:rPr>
            </w:pPr>
            <w:r w:rsidRPr="008219C1">
              <w:rPr>
                <w:rFonts w:asciiTheme="minorHAnsi" w:hAnsiTheme="minorHAnsi" w:cstheme="minorHAnsi"/>
                <w:b w:val="0"/>
                <w:bCs w:val="0"/>
                <w:sz w:val="20"/>
                <w:szCs w:val="20"/>
              </w:rPr>
              <w:t xml:space="preserve">DLR 5.11: By December 31, 2028, at least 1,800 GWh is received by BT or the new Designated Off-taker </w:t>
            </w:r>
            <w:r w:rsidRPr="008219C1">
              <w:rPr>
                <w:rFonts w:asciiTheme="minorHAnsi" w:hAnsiTheme="minorHAnsi" w:cstheme="minorHAnsi"/>
                <w:b w:val="0"/>
                <w:bCs w:val="0"/>
                <w:i/>
                <w:iCs/>
                <w:sz w:val="20"/>
                <w:szCs w:val="20"/>
              </w:rPr>
              <w:t>(new)</w:t>
            </w:r>
          </w:p>
        </w:tc>
        <w:tc>
          <w:tcPr>
            <w:tcW w:w="1890" w:type="dxa"/>
          </w:tcPr>
          <w:p w14:paraId="16F6CE62" w14:textId="76E8C4C5" w:rsidR="008219C1" w:rsidRPr="00D17C5B" w:rsidRDefault="00E47B21"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w:t>
            </w:r>
          </w:p>
        </w:tc>
        <w:tc>
          <w:tcPr>
            <w:tcW w:w="1620" w:type="dxa"/>
          </w:tcPr>
          <w:p w14:paraId="1558557A" w14:textId="006609B3" w:rsidR="008219C1" w:rsidRPr="00A37F87" w:rsidRDefault="0050683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200,000</w:t>
            </w:r>
          </w:p>
        </w:tc>
      </w:tr>
      <w:tr w:rsidR="00A37F87" w:rsidRPr="008219C1" w14:paraId="354B5A2E" w14:textId="77777777" w:rsidTr="00A64B72">
        <w:tc>
          <w:tcPr>
            <w:tcW w:w="2864" w:type="dxa"/>
          </w:tcPr>
          <w:p w14:paraId="7667E623"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68F0CCF3" w14:textId="3A89BA6C" w:rsidR="008219C1" w:rsidRPr="002E58D8" w:rsidRDefault="008219C1" w:rsidP="00A64B72">
            <w:pPr>
              <w:pStyle w:val="BodyText"/>
              <w:ind w:left="0"/>
              <w:rPr>
                <w:rFonts w:asciiTheme="minorHAnsi" w:hAnsiTheme="minorHAnsi" w:cstheme="minorHAnsi"/>
                <w:b w:val="0"/>
                <w:bCs w:val="0"/>
                <w:i/>
                <w:iCs/>
                <w:sz w:val="20"/>
                <w:szCs w:val="20"/>
              </w:rPr>
            </w:pPr>
            <w:r w:rsidRPr="008219C1">
              <w:rPr>
                <w:rFonts w:asciiTheme="minorHAnsi" w:hAnsiTheme="minorHAnsi" w:cstheme="minorHAnsi"/>
                <w:b w:val="0"/>
                <w:bCs w:val="0"/>
                <w:sz w:val="20"/>
                <w:szCs w:val="20"/>
              </w:rPr>
              <w:t>DLR 5.12: By December 31, 202</w:t>
            </w:r>
            <w:r w:rsidR="00014F32">
              <w:rPr>
                <w:rFonts w:asciiTheme="minorHAnsi" w:hAnsiTheme="minorHAnsi" w:cstheme="minorHAnsi"/>
                <w:b w:val="0"/>
                <w:bCs w:val="0"/>
                <w:sz w:val="20"/>
                <w:szCs w:val="20"/>
              </w:rPr>
              <w:t>9</w:t>
            </w:r>
            <w:r w:rsidRPr="008219C1">
              <w:rPr>
                <w:rFonts w:asciiTheme="minorHAnsi" w:hAnsiTheme="minorHAnsi" w:cstheme="minorHAnsi"/>
                <w:b w:val="0"/>
                <w:bCs w:val="0"/>
                <w:sz w:val="20"/>
                <w:szCs w:val="20"/>
              </w:rPr>
              <w:t xml:space="preserve">, at least 1,800 GWh is received by BT or the new Designated Off-taker </w:t>
            </w:r>
            <w:r w:rsidRPr="008219C1">
              <w:rPr>
                <w:rFonts w:asciiTheme="minorHAnsi" w:hAnsiTheme="minorHAnsi" w:cstheme="minorHAnsi"/>
                <w:b w:val="0"/>
                <w:bCs w:val="0"/>
                <w:i/>
                <w:iCs/>
                <w:sz w:val="20"/>
                <w:szCs w:val="20"/>
              </w:rPr>
              <w:t>(new)</w:t>
            </w:r>
          </w:p>
        </w:tc>
        <w:tc>
          <w:tcPr>
            <w:tcW w:w="1890" w:type="dxa"/>
          </w:tcPr>
          <w:p w14:paraId="78F369EE" w14:textId="77D147CF" w:rsidR="008219C1" w:rsidRPr="00D17C5B" w:rsidRDefault="00E47B21"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w:t>
            </w:r>
          </w:p>
        </w:tc>
        <w:tc>
          <w:tcPr>
            <w:tcW w:w="1620" w:type="dxa"/>
          </w:tcPr>
          <w:p w14:paraId="2D33BFA1" w14:textId="7482F0BC" w:rsidR="008219C1" w:rsidRPr="00A37F87" w:rsidRDefault="0050683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200,000</w:t>
            </w:r>
          </w:p>
        </w:tc>
      </w:tr>
      <w:tr w:rsidR="00A37F87" w:rsidRPr="008219C1" w14:paraId="594BBF64" w14:textId="77777777" w:rsidTr="00A64B72">
        <w:tc>
          <w:tcPr>
            <w:tcW w:w="2864" w:type="dxa"/>
          </w:tcPr>
          <w:p w14:paraId="26CF769F"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134685BA" w14:textId="11D218BD" w:rsidR="008219C1" w:rsidRPr="002E58D8" w:rsidRDefault="008219C1" w:rsidP="00A64B72">
            <w:pPr>
              <w:pStyle w:val="BodyText"/>
              <w:ind w:left="0"/>
              <w:rPr>
                <w:rFonts w:asciiTheme="minorHAnsi" w:hAnsiTheme="minorHAnsi" w:cstheme="minorHAnsi"/>
                <w:b w:val="0"/>
                <w:bCs w:val="0"/>
                <w:i/>
                <w:iCs/>
                <w:sz w:val="20"/>
                <w:szCs w:val="20"/>
              </w:rPr>
            </w:pPr>
            <w:r w:rsidRPr="008219C1">
              <w:rPr>
                <w:rFonts w:asciiTheme="minorHAnsi" w:hAnsiTheme="minorHAnsi" w:cstheme="minorHAnsi"/>
                <w:b w:val="0"/>
                <w:bCs w:val="0"/>
                <w:sz w:val="20"/>
                <w:szCs w:val="20"/>
              </w:rPr>
              <w:t>DLR 5.13: By December 31, 20</w:t>
            </w:r>
            <w:r w:rsidR="00014F32">
              <w:rPr>
                <w:rFonts w:asciiTheme="minorHAnsi" w:hAnsiTheme="minorHAnsi" w:cstheme="minorHAnsi"/>
                <w:b w:val="0"/>
                <w:bCs w:val="0"/>
                <w:sz w:val="20"/>
                <w:szCs w:val="20"/>
              </w:rPr>
              <w:t>30</w:t>
            </w:r>
            <w:r w:rsidRPr="008219C1">
              <w:rPr>
                <w:rFonts w:asciiTheme="minorHAnsi" w:hAnsiTheme="minorHAnsi" w:cstheme="minorHAnsi"/>
                <w:b w:val="0"/>
                <w:bCs w:val="0"/>
                <w:sz w:val="20"/>
                <w:szCs w:val="20"/>
              </w:rPr>
              <w:t xml:space="preserve">, at least 1,800 GWh is received by BT or the new Designated Off-taker </w:t>
            </w:r>
            <w:r w:rsidRPr="008219C1">
              <w:rPr>
                <w:rFonts w:asciiTheme="minorHAnsi" w:hAnsiTheme="minorHAnsi" w:cstheme="minorHAnsi"/>
                <w:b w:val="0"/>
                <w:bCs w:val="0"/>
                <w:i/>
                <w:iCs/>
                <w:sz w:val="20"/>
                <w:szCs w:val="20"/>
              </w:rPr>
              <w:t>(new)</w:t>
            </w:r>
          </w:p>
        </w:tc>
        <w:tc>
          <w:tcPr>
            <w:tcW w:w="1890" w:type="dxa"/>
          </w:tcPr>
          <w:p w14:paraId="1384F6C8" w14:textId="37EB7DF5" w:rsidR="008219C1" w:rsidRPr="00D17C5B" w:rsidRDefault="00E47B21"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w:t>
            </w:r>
          </w:p>
        </w:tc>
        <w:tc>
          <w:tcPr>
            <w:tcW w:w="1620" w:type="dxa"/>
          </w:tcPr>
          <w:p w14:paraId="6EFC1F5A" w14:textId="333E4620" w:rsidR="008219C1" w:rsidRPr="00A37F87" w:rsidRDefault="0050683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200,000</w:t>
            </w:r>
          </w:p>
        </w:tc>
      </w:tr>
      <w:tr w:rsidR="00A37F87" w:rsidRPr="008219C1" w14:paraId="2F8E725D" w14:textId="77777777" w:rsidTr="00A64B72">
        <w:tc>
          <w:tcPr>
            <w:tcW w:w="2864" w:type="dxa"/>
          </w:tcPr>
          <w:p w14:paraId="18078608" w14:textId="77777777" w:rsidR="008219C1" w:rsidRPr="008219C1" w:rsidRDefault="008219C1" w:rsidP="00A64B72">
            <w:pPr>
              <w:pStyle w:val="BodyText"/>
              <w:ind w:left="0"/>
              <w:rPr>
                <w:rFonts w:asciiTheme="minorHAnsi" w:hAnsiTheme="minorHAnsi" w:cstheme="minorHAnsi"/>
                <w:sz w:val="20"/>
                <w:szCs w:val="20"/>
              </w:rPr>
            </w:pPr>
            <w:r w:rsidRPr="008219C1">
              <w:rPr>
                <w:rFonts w:asciiTheme="minorHAnsi" w:hAnsiTheme="minorHAnsi" w:cstheme="minorHAnsi"/>
                <w:sz w:val="20"/>
                <w:szCs w:val="20"/>
              </w:rPr>
              <w:t>DLI #7: Use of technically, economically, and financially sound principles for the Recipient’s investment decision-making in electricity generation, transmission, and distribution</w:t>
            </w:r>
          </w:p>
        </w:tc>
        <w:tc>
          <w:tcPr>
            <w:tcW w:w="4066" w:type="dxa"/>
          </w:tcPr>
          <w:p w14:paraId="73ADA084" w14:textId="1987454E" w:rsidR="008219C1" w:rsidRPr="008219C1" w:rsidRDefault="008219C1" w:rsidP="00A64B72">
            <w:pPr>
              <w:pStyle w:val="BodyText"/>
              <w:ind w:left="0"/>
              <w:rPr>
                <w:rFonts w:asciiTheme="minorHAnsi" w:hAnsiTheme="minorHAnsi" w:cstheme="minorHAnsi"/>
                <w:b w:val="0"/>
                <w:bCs w:val="0"/>
                <w:sz w:val="20"/>
                <w:szCs w:val="20"/>
              </w:rPr>
            </w:pPr>
            <w:r w:rsidRPr="008219C1">
              <w:rPr>
                <w:rFonts w:asciiTheme="minorHAnsi" w:hAnsiTheme="minorHAnsi" w:cstheme="minorHAnsi"/>
                <w:b w:val="0"/>
                <w:bCs w:val="0"/>
                <w:sz w:val="20"/>
                <w:szCs w:val="20"/>
              </w:rPr>
              <w:t xml:space="preserve">DLR 7.1: By October 30, 2022, MEWR completes the update of GEP </w:t>
            </w:r>
            <w:r w:rsidRPr="008219C1">
              <w:rPr>
                <w:rFonts w:asciiTheme="minorHAnsi" w:hAnsiTheme="minorHAnsi" w:cstheme="minorHAnsi"/>
                <w:b w:val="0"/>
                <w:bCs w:val="0"/>
                <w:i/>
                <w:iCs/>
                <w:sz w:val="20"/>
                <w:szCs w:val="20"/>
              </w:rPr>
              <w:t>(revised deadline</w:t>
            </w:r>
            <w:r w:rsidR="00D17C5B">
              <w:rPr>
                <w:rFonts w:asciiTheme="minorHAnsi" w:hAnsiTheme="minorHAnsi" w:cstheme="minorHAnsi"/>
                <w:b w:val="0"/>
                <w:bCs w:val="0"/>
                <w:i/>
                <w:iCs/>
                <w:sz w:val="20"/>
                <w:szCs w:val="20"/>
              </w:rPr>
              <w:t xml:space="preserve"> and increased allocation</w:t>
            </w:r>
            <w:r w:rsidRPr="008219C1">
              <w:rPr>
                <w:rFonts w:asciiTheme="minorHAnsi" w:hAnsiTheme="minorHAnsi" w:cstheme="minorHAnsi"/>
                <w:b w:val="0"/>
                <w:bCs w:val="0"/>
                <w:i/>
                <w:iCs/>
                <w:sz w:val="20"/>
                <w:szCs w:val="20"/>
              </w:rPr>
              <w:t>)</w:t>
            </w:r>
          </w:p>
        </w:tc>
        <w:tc>
          <w:tcPr>
            <w:tcW w:w="1890" w:type="dxa"/>
          </w:tcPr>
          <w:p w14:paraId="66F3F052" w14:textId="51847D93" w:rsidR="008219C1" w:rsidRPr="00D17C5B" w:rsidRDefault="00E47B21"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3,900,000</w:t>
            </w:r>
          </w:p>
        </w:tc>
        <w:tc>
          <w:tcPr>
            <w:tcW w:w="1620" w:type="dxa"/>
          </w:tcPr>
          <w:p w14:paraId="37576A1C" w14:textId="52F970D3" w:rsidR="008219C1" w:rsidRPr="00A37F87" w:rsidRDefault="0050683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1,</w:t>
            </w:r>
            <w:r w:rsidR="00A14EDB">
              <w:rPr>
                <w:rFonts w:asciiTheme="minorHAnsi" w:hAnsiTheme="minorHAnsi" w:cstheme="minorHAnsi"/>
                <w:b w:val="0"/>
                <w:bCs w:val="0"/>
                <w:sz w:val="20"/>
                <w:szCs w:val="20"/>
              </w:rPr>
              <w:t>1</w:t>
            </w:r>
            <w:r w:rsidRPr="00A37F87">
              <w:rPr>
                <w:rFonts w:asciiTheme="minorHAnsi" w:hAnsiTheme="minorHAnsi" w:cstheme="minorHAnsi"/>
                <w:b w:val="0"/>
                <w:bCs w:val="0"/>
                <w:sz w:val="20"/>
                <w:szCs w:val="20"/>
              </w:rPr>
              <w:t>00,000</w:t>
            </w:r>
          </w:p>
        </w:tc>
      </w:tr>
      <w:tr w:rsidR="00A37F87" w:rsidRPr="008219C1" w14:paraId="550DC76F" w14:textId="77777777" w:rsidTr="00A64B72">
        <w:tc>
          <w:tcPr>
            <w:tcW w:w="2864" w:type="dxa"/>
          </w:tcPr>
          <w:p w14:paraId="06C62A7D"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1261BED7" w14:textId="64D23E51" w:rsidR="008219C1" w:rsidRPr="002E58D8" w:rsidRDefault="008219C1" w:rsidP="00A64B72">
            <w:pPr>
              <w:pStyle w:val="BodyText"/>
              <w:ind w:left="0"/>
              <w:rPr>
                <w:rFonts w:asciiTheme="minorHAnsi" w:hAnsiTheme="minorHAnsi" w:cstheme="minorHAnsi"/>
                <w:b w:val="0"/>
                <w:bCs w:val="0"/>
                <w:i/>
                <w:iCs/>
                <w:sz w:val="20"/>
                <w:szCs w:val="20"/>
              </w:rPr>
            </w:pPr>
            <w:r w:rsidRPr="008219C1">
              <w:rPr>
                <w:rFonts w:asciiTheme="minorHAnsi" w:hAnsiTheme="minorHAnsi" w:cstheme="minorHAnsi"/>
                <w:b w:val="0"/>
                <w:bCs w:val="0"/>
                <w:sz w:val="20"/>
                <w:szCs w:val="20"/>
              </w:rPr>
              <w:t xml:space="preserve">DLR 7.2:  By February 28, 2023, MEWR approves the updated GEP </w:t>
            </w:r>
            <w:r w:rsidRPr="008219C1">
              <w:rPr>
                <w:rFonts w:asciiTheme="minorHAnsi" w:hAnsiTheme="minorHAnsi" w:cstheme="minorHAnsi"/>
                <w:b w:val="0"/>
                <w:bCs w:val="0"/>
                <w:i/>
                <w:iCs/>
                <w:sz w:val="20"/>
                <w:szCs w:val="20"/>
              </w:rPr>
              <w:t>(revised deadline</w:t>
            </w:r>
            <w:r w:rsidR="00D17C5B">
              <w:rPr>
                <w:rFonts w:asciiTheme="minorHAnsi" w:hAnsiTheme="minorHAnsi" w:cstheme="minorHAnsi"/>
                <w:b w:val="0"/>
                <w:bCs w:val="0"/>
                <w:i/>
                <w:iCs/>
                <w:sz w:val="20"/>
                <w:szCs w:val="20"/>
              </w:rPr>
              <w:t xml:space="preserve"> and increase allocation</w:t>
            </w:r>
            <w:r w:rsidRPr="008219C1">
              <w:rPr>
                <w:rFonts w:asciiTheme="minorHAnsi" w:hAnsiTheme="minorHAnsi" w:cstheme="minorHAnsi"/>
                <w:b w:val="0"/>
                <w:bCs w:val="0"/>
                <w:i/>
                <w:iCs/>
                <w:sz w:val="20"/>
                <w:szCs w:val="20"/>
              </w:rPr>
              <w:t>)</w:t>
            </w:r>
          </w:p>
        </w:tc>
        <w:tc>
          <w:tcPr>
            <w:tcW w:w="1890" w:type="dxa"/>
          </w:tcPr>
          <w:p w14:paraId="4AE30510" w14:textId="348AD696" w:rsidR="008219C1" w:rsidRPr="00D17C5B" w:rsidRDefault="00E47B21"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5,000,000</w:t>
            </w:r>
          </w:p>
        </w:tc>
        <w:tc>
          <w:tcPr>
            <w:tcW w:w="1620" w:type="dxa"/>
          </w:tcPr>
          <w:p w14:paraId="0246112E" w14:textId="20E8D383" w:rsidR="008219C1" w:rsidRPr="00A37F87" w:rsidRDefault="0050683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600,000</w:t>
            </w:r>
          </w:p>
        </w:tc>
      </w:tr>
      <w:tr w:rsidR="00A37F87" w:rsidRPr="008219C1" w14:paraId="3BA314D9" w14:textId="77777777" w:rsidTr="00A64B72">
        <w:tc>
          <w:tcPr>
            <w:tcW w:w="2864" w:type="dxa"/>
          </w:tcPr>
          <w:p w14:paraId="0CA8D03C"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6E7373EA" w14:textId="327C8D16" w:rsidR="008219C1" w:rsidRPr="002E58D8" w:rsidRDefault="008219C1" w:rsidP="00A64B72">
            <w:pPr>
              <w:pStyle w:val="BodyText"/>
              <w:ind w:left="0"/>
              <w:rPr>
                <w:rFonts w:asciiTheme="minorHAnsi" w:hAnsiTheme="minorHAnsi" w:cstheme="minorHAnsi"/>
                <w:b w:val="0"/>
                <w:bCs w:val="0"/>
                <w:i/>
                <w:iCs/>
                <w:sz w:val="20"/>
                <w:szCs w:val="20"/>
              </w:rPr>
            </w:pPr>
            <w:r w:rsidRPr="008219C1">
              <w:rPr>
                <w:rFonts w:asciiTheme="minorHAnsi" w:hAnsiTheme="minorHAnsi" w:cstheme="minorHAnsi"/>
                <w:b w:val="0"/>
                <w:bCs w:val="0"/>
                <w:sz w:val="20"/>
                <w:szCs w:val="20"/>
              </w:rPr>
              <w:t xml:space="preserve">DLR 7.3: By December 31, 2023, new generation investment decisions are made by the Recipient in accordance with the updated GEP, and transmission and distribution network development plans based on the GEP are prepared by </w:t>
            </w:r>
            <w:r w:rsidR="00014F32">
              <w:rPr>
                <w:rFonts w:asciiTheme="minorHAnsi" w:hAnsiTheme="minorHAnsi" w:cstheme="minorHAnsi"/>
                <w:b w:val="0"/>
                <w:bCs w:val="0"/>
                <w:sz w:val="20"/>
                <w:szCs w:val="20"/>
              </w:rPr>
              <w:t>SIB and STB respectively</w:t>
            </w:r>
            <w:r w:rsidRPr="008219C1">
              <w:rPr>
                <w:rFonts w:asciiTheme="minorHAnsi" w:hAnsiTheme="minorHAnsi" w:cstheme="minorHAnsi"/>
                <w:b w:val="0"/>
                <w:bCs w:val="0"/>
                <w:sz w:val="20"/>
                <w:szCs w:val="20"/>
              </w:rPr>
              <w:t xml:space="preserve">, and are approved by MEWR </w:t>
            </w:r>
            <w:r w:rsidRPr="008219C1">
              <w:rPr>
                <w:rFonts w:asciiTheme="minorHAnsi" w:hAnsiTheme="minorHAnsi" w:cstheme="minorHAnsi"/>
                <w:b w:val="0"/>
                <w:bCs w:val="0"/>
                <w:i/>
                <w:iCs/>
                <w:sz w:val="20"/>
                <w:szCs w:val="20"/>
              </w:rPr>
              <w:t>(revised deadline</w:t>
            </w:r>
            <w:r w:rsidR="00D17C5B">
              <w:rPr>
                <w:rFonts w:asciiTheme="minorHAnsi" w:hAnsiTheme="minorHAnsi" w:cstheme="minorHAnsi"/>
                <w:b w:val="0"/>
                <w:bCs w:val="0"/>
                <w:i/>
                <w:iCs/>
                <w:sz w:val="20"/>
                <w:szCs w:val="20"/>
              </w:rPr>
              <w:t xml:space="preserve"> and increased allocation</w:t>
            </w:r>
            <w:r w:rsidRPr="008219C1">
              <w:rPr>
                <w:rFonts w:asciiTheme="minorHAnsi" w:hAnsiTheme="minorHAnsi" w:cstheme="minorHAnsi"/>
                <w:b w:val="0"/>
                <w:bCs w:val="0"/>
                <w:i/>
                <w:iCs/>
                <w:sz w:val="20"/>
                <w:szCs w:val="20"/>
              </w:rPr>
              <w:t>)</w:t>
            </w:r>
          </w:p>
        </w:tc>
        <w:tc>
          <w:tcPr>
            <w:tcW w:w="1890" w:type="dxa"/>
          </w:tcPr>
          <w:p w14:paraId="5E32D463" w14:textId="25D0857D" w:rsidR="008219C1" w:rsidRPr="00D17C5B" w:rsidRDefault="00E47B21"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4,000,000</w:t>
            </w:r>
          </w:p>
        </w:tc>
        <w:tc>
          <w:tcPr>
            <w:tcW w:w="1620" w:type="dxa"/>
          </w:tcPr>
          <w:p w14:paraId="5F0AC7E2" w14:textId="0C811BEE" w:rsidR="008219C1" w:rsidRPr="00A37F87" w:rsidRDefault="0050683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300,000</w:t>
            </w:r>
          </w:p>
        </w:tc>
      </w:tr>
      <w:tr w:rsidR="00A37F87" w:rsidRPr="008219C1" w14:paraId="6CB686B2" w14:textId="77777777" w:rsidTr="00A64B72">
        <w:tc>
          <w:tcPr>
            <w:tcW w:w="2864" w:type="dxa"/>
          </w:tcPr>
          <w:p w14:paraId="7A63AA4F"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278A72C5" w14:textId="5479B716" w:rsidR="008219C1" w:rsidRPr="008219C1" w:rsidRDefault="008219C1" w:rsidP="00A64B72">
            <w:pPr>
              <w:pStyle w:val="BodyText"/>
              <w:ind w:left="0"/>
              <w:rPr>
                <w:rFonts w:asciiTheme="minorHAnsi" w:hAnsiTheme="minorHAnsi" w:cstheme="minorHAnsi"/>
                <w:b w:val="0"/>
                <w:bCs w:val="0"/>
                <w:sz w:val="20"/>
                <w:szCs w:val="20"/>
              </w:rPr>
            </w:pPr>
            <w:r w:rsidRPr="008219C1">
              <w:rPr>
                <w:rFonts w:asciiTheme="minorHAnsi" w:hAnsiTheme="minorHAnsi" w:cstheme="minorHAnsi"/>
                <w:b w:val="0"/>
                <w:bCs w:val="0"/>
                <w:sz w:val="20"/>
                <w:szCs w:val="20"/>
              </w:rPr>
              <w:t>DLR 7.4: By December 31, 2024,</w:t>
            </w:r>
            <w:r w:rsidR="00772C0C">
              <w:rPr>
                <w:rFonts w:asciiTheme="minorHAnsi" w:hAnsiTheme="minorHAnsi" w:cstheme="minorHAnsi"/>
                <w:b w:val="0"/>
                <w:bCs w:val="0"/>
                <w:sz w:val="20"/>
                <w:szCs w:val="20"/>
              </w:rPr>
              <w:t xml:space="preserve"> </w:t>
            </w:r>
            <w:r w:rsidR="00772C0C" w:rsidRPr="00772C0C">
              <w:rPr>
                <w:rFonts w:asciiTheme="minorHAnsi" w:hAnsiTheme="minorHAnsi" w:cstheme="minorHAnsi"/>
                <w:b w:val="0"/>
                <w:bCs w:val="0"/>
                <w:sz w:val="20"/>
                <w:szCs w:val="20"/>
              </w:rPr>
              <w:t>n</w:t>
            </w:r>
            <w:r w:rsidR="00772C0C" w:rsidRPr="00772C0C">
              <w:rPr>
                <w:rFonts w:ascii="Calibri" w:hAnsi="Calibri" w:cs="Calibri"/>
                <w:b w:val="0"/>
                <w:bCs w:val="0"/>
                <w:sz w:val="20"/>
                <w:szCs w:val="20"/>
              </w:rPr>
              <w:t>ew generation, transmission, and distribution projects initiated by BT, SIB, STB respectively or the Recipient’s government are consistent with the approved plans</w:t>
            </w:r>
            <w:r w:rsidR="00772C0C">
              <w:rPr>
                <w:rFonts w:ascii="Calibri" w:hAnsi="Calibri" w:cs="Calibri"/>
                <w:sz w:val="18"/>
                <w:szCs w:val="18"/>
              </w:rPr>
              <w:t xml:space="preserve"> </w:t>
            </w:r>
            <w:r w:rsidRPr="008219C1">
              <w:rPr>
                <w:rFonts w:asciiTheme="minorHAnsi" w:hAnsiTheme="minorHAnsi" w:cstheme="minorHAnsi"/>
                <w:b w:val="0"/>
                <w:bCs w:val="0"/>
                <w:i/>
                <w:iCs/>
                <w:sz w:val="20"/>
                <w:szCs w:val="20"/>
              </w:rPr>
              <w:t>(revised deadline</w:t>
            </w:r>
            <w:r w:rsidR="00D17C5B">
              <w:rPr>
                <w:rFonts w:asciiTheme="minorHAnsi" w:hAnsiTheme="minorHAnsi" w:cstheme="minorHAnsi"/>
                <w:b w:val="0"/>
                <w:bCs w:val="0"/>
                <w:i/>
                <w:iCs/>
                <w:sz w:val="20"/>
                <w:szCs w:val="20"/>
              </w:rPr>
              <w:t xml:space="preserve"> and increased allocation</w:t>
            </w:r>
            <w:r w:rsidRPr="008219C1">
              <w:rPr>
                <w:rFonts w:asciiTheme="minorHAnsi" w:hAnsiTheme="minorHAnsi" w:cstheme="minorHAnsi"/>
                <w:b w:val="0"/>
                <w:bCs w:val="0"/>
                <w:i/>
                <w:iCs/>
                <w:sz w:val="20"/>
                <w:szCs w:val="20"/>
              </w:rPr>
              <w:t>)</w:t>
            </w:r>
          </w:p>
        </w:tc>
        <w:tc>
          <w:tcPr>
            <w:tcW w:w="1890" w:type="dxa"/>
          </w:tcPr>
          <w:p w14:paraId="0561BDA5" w14:textId="4AB9D834" w:rsidR="008219C1" w:rsidRPr="00D17C5B" w:rsidRDefault="00E47B21"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1,000,000</w:t>
            </w:r>
          </w:p>
        </w:tc>
        <w:tc>
          <w:tcPr>
            <w:tcW w:w="1620" w:type="dxa"/>
          </w:tcPr>
          <w:p w14:paraId="11B520C3" w14:textId="6B42B7C9" w:rsidR="008219C1" w:rsidRPr="00A37F87" w:rsidRDefault="0050683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300,000</w:t>
            </w:r>
          </w:p>
        </w:tc>
      </w:tr>
      <w:tr w:rsidR="00A37F87" w:rsidRPr="008219C1" w14:paraId="61D6EBB8" w14:textId="77777777" w:rsidTr="00A64B72">
        <w:tc>
          <w:tcPr>
            <w:tcW w:w="2864" w:type="dxa"/>
          </w:tcPr>
          <w:p w14:paraId="315A3ACC"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0EC7A1D9" w14:textId="1F1A65E7" w:rsidR="008219C1" w:rsidRPr="002E58D8" w:rsidRDefault="008219C1" w:rsidP="00A64B72">
            <w:pPr>
              <w:pStyle w:val="BodyText"/>
              <w:ind w:left="0"/>
              <w:rPr>
                <w:rFonts w:asciiTheme="minorHAnsi" w:hAnsiTheme="minorHAnsi" w:cstheme="minorHAnsi"/>
                <w:b w:val="0"/>
                <w:bCs w:val="0"/>
                <w:i/>
                <w:iCs/>
                <w:sz w:val="20"/>
                <w:szCs w:val="20"/>
              </w:rPr>
            </w:pPr>
            <w:r w:rsidRPr="008219C1">
              <w:rPr>
                <w:rFonts w:asciiTheme="minorHAnsi" w:hAnsiTheme="minorHAnsi" w:cstheme="minorHAnsi"/>
                <w:b w:val="0"/>
                <w:bCs w:val="0"/>
                <w:sz w:val="20"/>
                <w:szCs w:val="20"/>
              </w:rPr>
              <w:t xml:space="preserve">DLR 7.5: By December 31, 2025, </w:t>
            </w:r>
            <w:r w:rsidR="00772C0C" w:rsidRPr="00772C0C">
              <w:rPr>
                <w:rFonts w:asciiTheme="minorHAnsi" w:hAnsiTheme="minorHAnsi" w:cstheme="minorHAnsi"/>
                <w:b w:val="0"/>
                <w:bCs w:val="0"/>
                <w:sz w:val="20"/>
                <w:szCs w:val="20"/>
              </w:rPr>
              <w:t>n</w:t>
            </w:r>
            <w:r w:rsidR="00772C0C" w:rsidRPr="00772C0C">
              <w:rPr>
                <w:rFonts w:ascii="Calibri" w:hAnsi="Calibri" w:cs="Calibri"/>
                <w:b w:val="0"/>
                <w:bCs w:val="0"/>
                <w:sz w:val="20"/>
                <w:szCs w:val="20"/>
              </w:rPr>
              <w:t>ew generation, transmission, and distribution projects initiated by BT, SIB, STB respectively or the Recipient’s government are consistent with the approved plans</w:t>
            </w:r>
            <w:r w:rsidR="00772C0C" w:rsidRPr="008219C1">
              <w:rPr>
                <w:rFonts w:asciiTheme="minorHAnsi" w:hAnsiTheme="minorHAnsi" w:cstheme="minorHAnsi"/>
                <w:b w:val="0"/>
                <w:bCs w:val="0"/>
                <w:i/>
                <w:iCs/>
                <w:sz w:val="20"/>
                <w:szCs w:val="20"/>
              </w:rPr>
              <w:t xml:space="preserve"> </w:t>
            </w:r>
            <w:r w:rsidRPr="008219C1">
              <w:rPr>
                <w:rFonts w:asciiTheme="minorHAnsi" w:hAnsiTheme="minorHAnsi" w:cstheme="minorHAnsi"/>
                <w:b w:val="0"/>
                <w:bCs w:val="0"/>
                <w:i/>
                <w:iCs/>
                <w:sz w:val="20"/>
                <w:szCs w:val="20"/>
              </w:rPr>
              <w:t>(revised deadline</w:t>
            </w:r>
            <w:r w:rsidR="00D17C5B">
              <w:rPr>
                <w:rFonts w:asciiTheme="minorHAnsi" w:hAnsiTheme="minorHAnsi" w:cstheme="minorHAnsi"/>
                <w:b w:val="0"/>
                <w:bCs w:val="0"/>
                <w:i/>
                <w:iCs/>
                <w:sz w:val="20"/>
                <w:szCs w:val="20"/>
              </w:rPr>
              <w:t xml:space="preserve"> and increased allocation</w:t>
            </w:r>
            <w:r w:rsidRPr="008219C1">
              <w:rPr>
                <w:rFonts w:asciiTheme="minorHAnsi" w:hAnsiTheme="minorHAnsi" w:cstheme="minorHAnsi"/>
                <w:b w:val="0"/>
                <w:bCs w:val="0"/>
                <w:i/>
                <w:iCs/>
                <w:sz w:val="20"/>
                <w:szCs w:val="20"/>
              </w:rPr>
              <w:t>)</w:t>
            </w:r>
          </w:p>
        </w:tc>
        <w:tc>
          <w:tcPr>
            <w:tcW w:w="1890" w:type="dxa"/>
          </w:tcPr>
          <w:p w14:paraId="1B98C532" w14:textId="2BD80011" w:rsidR="008219C1" w:rsidRPr="00D17C5B" w:rsidRDefault="00E47B21"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500,000</w:t>
            </w:r>
          </w:p>
        </w:tc>
        <w:tc>
          <w:tcPr>
            <w:tcW w:w="1620" w:type="dxa"/>
          </w:tcPr>
          <w:p w14:paraId="4ED1CDF4" w14:textId="042FC141" w:rsidR="008219C1" w:rsidRPr="00A37F87" w:rsidRDefault="0050683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200,000</w:t>
            </w:r>
          </w:p>
        </w:tc>
      </w:tr>
      <w:tr w:rsidR="00A37F87" w:rsidRPr="008219C1" w14:paraId="6874C03F" w14:textId="77777777" w:rsidTr="00A64B72">
        <w:tc>
          <w:tcPr>
            <w:tcW w:w="2864" w:type="dxa"/>
          </w:tcPr>
          <w:p w14:paraId="0D1DE922"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4E433B4E" w14:textId="3393F583" w:rsidR="008219C1" w:rsidRPr="002E58D8" w:rsidRDefault="008219C1" w:rsidP="00A64B72">
            <w:pPr>
              <w:pStyle w:val="BodyText"/>
              <w:ind w:left="0"/>
              <w:rPr>
                <w:rFonts w:asciiTheme="minorHAnsi" w:hAnsiTheme="minorHAnsi" w:cstheme="minorHAnsi"/>
                <w:b w:val="0"/>
                <w:bCs w:val="0"/>
                <w:i/>
                <w:iCs/>
                <w:sz w:val="20"/>
                <w:szCs w:val="20"/>
              </w:rPr>
            </w:pPr>
            <w:r w:rsidRPr="008219C1">
              <w:rPr>
                <w:rFonts w:asciiTheme="minorHAnsi" w:hAnsiTheme="minorHAnsi" w:cstheme="minorHAnsi"/>
                <w:b w:val="0"/>
                <w:bCs w:val="0"/>
                <w:sz w:val="20"/>
                <w:szCs w:val="20"/>
              </w:rPr>
              <w:t xml:space="preserve">DLR 7.6: By December 31, 2026, </w:t>
            </w:r>
            <w:r w:rsidR="00772C0C" w:rsidRPr="00772C0C">
              <w:rPr>
                <w:rFonts w:asciiTheme="minorHAnsi" w:hAnsiTheme="minorHAnsi" w:cstheme="minorHAnsi"/>
                <w:b w:val="0"/>
                <w:bCs w:val="0"/>
                <w:sz w:val="20"/>
                <w:szCs w:val="20"/>
              </w:rPr>
              <w:t>n</w:t>
            </w:r>
            <w:r w:rsidR="00772C0C" w:rsidRPr="00772C0C">
              <w:rPr>
                <w:rFonts w:ascii="Calibri" w:hAnsi="Calibri" w:cs="Calibri"/>
                <w:b w:val="0"/>
                <w:bCs w:val="0"/>
                <w:sz w:val="20"/>
                <w:szCs w:val="20"/>
              </w:rPr>
              <w:t>ew generation, transmission, and distribution projects initiated by BT, SIB, STB respectively or the Recipient’s government are consistent with the approved plans</w:t>
            </w:r>
            <w:r w:rsidRPr="008219C1">
              <w:rPr>
                <w:rFonts w:asciiTheme="minorHAnsi" w:hAnsiTheme="minorHAnsi" w:cstheme="minorHAnsi"/>
                <w:b w:val="0"/>
                <w:bCs w:val="0"/>
                <w:sz w:val="20"/>
                <w:szCs w:val="20"/>
              </w:rPr>
              <w:t xml:space="preserve"> </w:t>
            </w:r>
            <w:r w:rsidRPr="008219C1">
              <w:rPr>
                <w:rFonts w:asciiTheme="minorHAnsi" w:hAnsiTheme="minorHAnsi" w:cstheme="minorHAnsi"/>
                <w:b w:val="0"/>
                <w:bCs w:val="0"/>
                <w:i/>
                <w:iCs/>
                <w:sz w:val="20"/>
                <w:szCs w:val="20"/>
              </w:rPr>
              <w:t>(revised deadline</w:t>
            </w:r>
            <w:r w:rsidR="00D17C5B">
              <w:rPr>
                <w:rFonts w:asciiTheme="minorHAnsi" w:hAnsiTheme="minorHAnsi" w:cstheme="minorHAnsi"/>
                <w:b w:val="0"/>
                <w:bCs w:val="0"/>
                <w:i/>
                <w:iCs/>
                <w:sz w:val="20"/>
                <w:szCs w:val="20"/>
              </w:rPr>
              <w:t xml:space="preserve"> and increased allocation</w:t>
            </w:r>
            <w:r w:rsidRPr="008219C1">
              <w:rPr>
                <w:rFonts w:asciiTheme="minorHAnsi" w:hAnsiTheme="minorHAnsi" w:cstheme="minorHAnsi"/>
                <w:b w:val="0"/>
                <w:bCs w:val="0"/>
                <w:i/>
                <w:iCs/>
                <w:sz w:val="20"/>
                <w:szCs w:val="20"/>
              </w:rPr>
              <w:t>)</w:t>
            </w:r>
          </w:p>
        </w:tc>
        <w:tc>
          <w:tcPr>
            <w:tcW w:w="1890" w:type="dxa"/>
          </w:tcPr>
          <w:p w14:paraId="04470DB6" w14:textId="0CD6953C" w:rsidR="008219C1" w:rsidRPr="00D17C5B" w:rsidRDefault="00E47B21"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500,000</w:t>
            </w:r>
          </w:p>
        </w:tc>
        <w:tc>
          <w:tcPr>
            <w:tcW w:w="1620" w:type="dxa"/>
          </w:tcPr>
          <w:p w14:paraId="34E5A196" w14:textId="2BD649A1" w:rsidR="008219C1" w:rsidRPr="00A37F87" w:rsidRDefault="0050683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200,000</w:t>
            </w:r>
          </w:p>
        </w:tc>
      </w:tr>
      <w:tr w:rsidR="00A37F87" w:rsidRPr="008219C1" w14:paraId="27FE6655" w14:textId="77777777" w:rsidTr="00A64B72">
        <w:tc>
          <w:tcPr>
            <w:tcW w:w="2864" w:type="dxa"/>
          </w:tcPr>
          <w:p w14:paraId="62001909"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39174C08" w14:textId="42B29CF8" w:rsidR="008219C1" w:rsidRPr="002E58D8" w:rsidRDefault="008219C1" w:rsidP="00A64B72">
            <w:pPr>
              <w:pStyle w:val="BodyText"/>
              <w:ind w:left="0"/>
              <w:rPr>
                <w:rFonts w:asciiTheme="minorHAnsi" w:hAnsiTheme="minorHAnsi" w:cstheme="minorHAnsi"/>
                <w:b w:val="0"/>
                <w:bCs w:val="0"/>
                <w:i/>
                <w:iCs/>
                <w:sz w:val="20"/>
                <w:szCs w:val="20"/>
              </w:rPr>
            </w:pPr>
            <w:r w:rsidRPr="008219C1">
              <w:rPr>
                <w:rFonts w:asciiTheme="minorHAnsi" w:hAnsiTheme="minorHAnsi" w:cstheme="minorHAnsi"/>
                <w:b w:val="0"/>
                <w:bCs w:val="0"/>
                <w:sz w:val="20"/>
                <w:szCs w:val="20"/>
              </w:rPr>
              <w:t xml:space="preserve">DLR 7.7: By December 31, 2027, </w:t>
            </w:r>
            <w:r w:rsidR="00772C0C" w:rsidRPr="00772C0C">
              <w:rPr>
                <w:rFonts w:asciiTheme="minorHAnsi" w:hAnsiTheme="minorHAnsi" w:cstheme="minorHAnsi"/>
                <w:b w:val="0"/>
                <w:bCs w:val="0"/>
                <w:sz w:val="20"/>
                <w:szCs w:val="20"/>
              </w:rPr>
              <w:t>n</w:t>
            </w:r>
            <w:r w:rsidR="00772C0C" w:rsidRPr="00772C0C">
              <w:rPr>
                <w:rFonts w:ascii="Calibri" w:hAnsi="Calibri" w:cs="Calibri"/>
                <w:b w:val="0"/>
                <w:bCs w:val="0"/>
                <w:sz w:val="20"/>
                <w:szCs w:val="20"/>
              </w:rPr>
              <w:t>ew generation, transmission, and distribution projects initiated by BT, SIB, STB respectively or the Recipient’s government are consistent with the approved plans</w:t>
            </w:r>
            <w:r w:rsidRPr="008219C1">
              <w:rPr>
                <w:rFonts w:asciiTheme="minorHAnsi" w:hAnsiTheme="minorHAnsi" w:cstheme="minorHAnsi"/>
                <w:b w:val="0"/>
                <w:bCs w:val="0"/>
                <w:sz w:val="20"/>
                <w:szCs w:val="20"/>
              </w:rPr>
              <w:t xml:space="preserve"> </w:t>
            </w:r>
            <w:r w:rsidRPr="008219C1">
              <w:rPr>
                <w:rFonts w:asciiTheme="minorHAnsi" w:hAnsiTheme="minorHAnsi" w:cstheme="minorHAnsi"/>
                <w:b w:val="0"/>
                <w:bCs w:val="0"/>
                <w:i/>
                <w:iCs/>
                <w:sz w:val="20"/>
                <w:szCs w:val="20"/>
              </w:rPr>
              <w:t>(new)</w:t>
            </w:r>
          </w:p>
        </w:tc>
        <w:tc>
          <w:tcPr>
            <w:tcW w:w="1890" w:type="dxa"/>
          </w:tcPr>
          <w:p w14:paraId="4DCC97F6" w14:textId="103F92F6" w:rsidR="008219C1" w:rsidRPr="00D17C5B" w:rsidRDefault="00E47B21"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w:t>
            </w:r>
          </w:p>
        </w:tc>
        <w:tc>
          <w:tcPr>
            <w:tcW w:w="1620" w:type="dxa"/>
          </w:tcPr>
          <w:p w14:paraId="3CEE9607" w14:textId="5084D3EA" w:rsidR="008219C1" w:rsidRPr="00A37F87" w:rsidRDefault="0050683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200,000</w:t>
            </w:r>
          </w:p>
        </w:tc>
      </w:tr>
      <w:tr w:rsidR="00A37F87" w:rsidRPr="008219C1" w14:paraId="043FF9D6" w14:textId="77777777" w:rsidTr="00A64B72">
        <w:tc>
          <w:tcPr>
            <w:tcW w:w="2864" w:type="dxa"/>
          </w:tcPr>
          <w:p w14:paraId="65A891E9"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0717E6CA" w14:textId="681ADF39" w:rsidR="008219C1" w:rsidRPr="002E58D8" w:rsidRDefault="008219C1" w:rsidP="00A64B72">
            <w:pPr>
              <w:pStyle w:val="BodyText"/>
              <w:ind w:left="0"/>
              <w:rPr>
                <w:rFonts w:asciiTheme="minorHAnsi" w:hAnsiTheme="minorHAnsi" w:cstheme="minorHAnsi"/>
                <w:b w:val="0"/>
                <w:bCs w:val="0"/>
                <w:i/>
                <w:iCs/>
                <w:sz w:val="20"/>
                <w:szCs w:val="20"/>
              </w:rPr>
            </w:pPr>
            <w:r w:rsidRPr="008219C1">
              <w:rPr>
                <w:rFonts w:asciiTheme="minorHAnsi" w:hAnsiTheme="minorHAnsi" w:cstheme="minorHAnsi"/>
                <w:b w:val="0"/>
                <w:bCs w:val="0"/>
                <w:sz w:val="20"/>
                <w:szCs w:val="20"/>
              </w:rPr>
              <w:t xml:space="preserve">DLR 7.8: By December 31, 2028, </w:t>
            </w:r>
            <w:r w:rsidR="00772C0C" w:rsidRPr="00772C0C">
              <w:rPr>
                <w:rFonts w:asciiTheme="minorHAnsi" w:hAnsiTheme="minorHAnsi" w:cstheme="minorHAnsi"/>
                <w:b w:val="0"/>
                <w:bCs w:val="0"/>
                <w:sz w:val="20"/>
                <w:szCs w:val="20"/>
              </w:rPr>
              <w:t>n</w:t>
            </w:r>
            <w:r w:rsidR="00772C0C" w:rsidRPr="00772C0C">
              <w:rPr>
                <w:rFonts w:ascii="Calibri" w:hAnsi="Calibri" w:cs="Calibri"/>
                <w:b w:val="0"/>
                <w:bCs w:val="0"/>
                <w:sz w:val="20"/>
                <w:szCs w:val="20"/>
              </w:rPr>
              <w:t>ew generation, transmission, and distribution projects initiated by BT, SIB, STB respectively or the Recipient’s government are consistent with the approved plans</w:t>
            </w:r>
            <w:r w:rsidRPr="008219C1">
              <w:rPr>
                <w:rFonts w:asciiTheme="minorHAnsi" w:hAnsiTheme="minorHAnsi" w:cstheme="minorHAnsi"/>
                <w:b w:val="0"/>
                <w:bCs w:val="0"/>
                <w:sz w:val="20"/>
                <w:szCs w:val="20"/>
              </w:rPr>
              <w:t xml:space="preserve"> </w:t>
            </w:r>
            <w:r w:rsidRPr="008219C1">
              <w:rPr>
                <w:rFonts w:asciiTheme="minorHAnsi" w:hAnsiTheme="minorHAnsi" w:cstheme="minorHAnsi"/>
                <w:b w:val="0"/>
                <w:bCs w:val="0"/>
                <w:i/>
                <w:iCs/>
                <w:sz w:val="20"/>
                <w:szCs w:val="20"/>
              </w:rPr>
              <w:t>(new)</w:t>
            </w:r>
          </w:p>
        </w:tc>
        <w:tc>
          <w:tcPr>
            <w:tcW w:w="1890" w:type="dxa"/>
          </w:tcPr>
          <w:p w14:paraId="3AFD904D" w14:textId="317BC3E3" w:rsidR="008219C1" w:rsidRPr="00D17C5B" w:rsidRDefault="00E47B21"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w:t>
            </w:r>
          </w:p>
        </w:tc>
        <w:tc>
          <w:tcPr>
            <w:tcW w:w="1620" w:type="dxa"/>
          </w:tcPr>
          <w:p w14:paraId="2C95A74D" w14:textId="3AD1E993" w:rsidR="008219C1" w:rsidRPr="00A37F87" w:rsidRDefault="0050683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100,000</w:t>
            </w:r>
          </w:p>
        </w:tc>
      </w:tr>
      <w:tr w:rsidR="00A37F87" w:rsidRPr="008219C1" w14:paraId="757B4F4F" w14:textId="77777777" w:rsidTr="00A64B72">
        <w:tc>
          <w:tcPr>
            <w:tcW w:w="2864" w:type="dxa"/>
          </w:tcPr>
          <w:p w14:paraId="25603773"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50F84CE3" w14:textId="203A2253" w:rsidR="008219C1" w:rsidRPr="002E58D8" w:rsidRDefault="008219C1" w:rsidP="00A64B72">
            <w:pPr>
              <w:pStyle w:val="BodyText"/>
              <w:ind w:left="0"/>
              <w:rPr>
                <w:rFonts w:asciiTheme="minorHAnsi" w:hAnsiTheme="minorHAnsi" w:cstheme="minorHAnsi"/>
                <w:b w:val="0"/>
                <w:bCs w:val="0"/>
                <w:i/>
                <w:iCs/>
                <w:sz w:val="20"/>
                <w:szCs w:val="20"/>
              </w:rPr>
            </w:pPr>
            <w:r w:rsidRPr="008219C1">
              <w:rPr>
                <w:rFonts w:asciiTheme="minorHAnsi" w:hAnsiTheme="minorHAnsi" w:cstheme="minorHAnsi"/>
                <w:b w:val="0"/>
                <w:bCs w:val="0"/>
                <w:sz w:val="20"/>
                <w:szCs w:val="20"/>
              </w:rPr>
              <w:t xml:space="preserve">DLR 7.9: By December 31, 2029, </w:t>
            </w:r>
            <w:r w:rsidR="00772C0C" w:rsidRPr="00772C0C">
              <w:rPr>
                <w:rFonts w:asciiTheme="minorHAnsi" w:hAnsiTheme="minorHAnsi" w:cstheme="minorHAnsi"/>
                <w:b w:val="0"/>
                <w:bCs w:val="0"/>
                <w:sz w:val="20"/>
                <w:szCs w:val="20"/>
              </w:rPr>
              <w:t>n</w:t>
            </w:r>
            <w:r w:rsidR="00772C0C" w:rsidRPr="00772C0C">
              <w:rPr>
                <w:rFonts w:ascii="Calibri" w:hAnsi="Calibri" w:cs="Calibri"/>
                <w:b w:val="0"/>
                <w:bCs w:val="0"/>
                <w:sz w:val="20"/>
                <w:szCs w:val="20"/>
              </w:rPr>
              <w:t>ew generation, transmission, and distribution projects initiated by BT, SIB, STB respectively or the Recipient’s government are consistent with the approved plans</w:t>
            </w:r>
            <w:r w:rsidR="00772C0C" w:rsidRPr="008219C1">
              <w:rPr>
                <w:rFonts w:asciiTheme="minorHAnsi" w:hAnsiTheme="minorHAnsi" w:cstheme="minorHAnsi"/>
                <w:b w:val="0"/>
                <w:bCs w:val="0"/>
                <w:i/>
                <w:iCs/>
                <w:sz w:val="20"/>
                <w:szCs w:val="20"/>
              </w:rPr>
              <w:t xml:space="preserve"> </w:t>
            </w:r>
            <w:r w:rsidRPr="008219C1">
              <w:rPr>
                <w:rFonts w:asciiTheme="minorHAnsi" w:hAnsiTheme="minorHAnsi" w:cstheme="minorHAnsi"/>
                <w:b w:val="0"/>
                <w:bCs w:val="0"/>
                <w:i/>
                <w:iCs/>
                <w:sz w:val="20"/>
                <w:szCs w:val="20"/>
              </w:rPr>
              <w:t>(new)</w:t>
            </w:r>
          </w:p>
        </w:tc>
        <w:tc>
          <w:tcPr>
            <w:tcW w:w="1890" w:type="dxa"/>
          </w:tcPr>
          <w:p w14:paraId="60AA8731" w14:textId="34F543E0" w:rsidR="008219C1" w:rsidRPr="00D17C5B" w:rsidRDefault="00E47B21"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w:t>
            </w:r>
          </w:p>
        </w:tc>
        <w:tc>
          <w:tcPr>
            <w:tcW w:w="1620" w:type="dxa"/>
          </w:tcPr>
          <w:p w14:paraId="09113DC4" w14:textId="28703D55" w:rsidR="008219C1" w:rsidRPr="00A37F87" w:rsidRDefault="0050683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100,000</w:t>
            </w:r>
          </w:p>
        </w:tc>
      </w:tr>
      <w:tr w:rsidR="00A37F87" w:rsidRPr="008219C1" w14:paraId="65FBE4B4" w14:textId="77777777" w:rsidTr="00A64B72">
        <w:tc>
          <w:tcPr>
            <w:tcW w:w="2864" w:type="dxa"/>
          </w:tcPr>
          <w:p w14:paraId="169E7201"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20B96B20" w14:textId="020B6080" w:rsidR="008219C1" w:rsidRPr="002E58D8" w:rsidRDefault="008219C1" w:rsidP="00A64B72">
            <w:pPr>
              <w:pStyle w:val="BodyText"/>
              <w:ind w:left="0"/>
              <w:rPr>
                <w:rFonts w:asciiTheme="minorHAnsi" w:hAnsiTheme="minorHAnsi" w:cstheme="minorHAnsi"/>
                <w:b w:val="0"/>
                <w:bCs w:val="0"/>
                <w:i/>
                <w:iCs/>
                <w:sz w:val="20"/>
                <w:szCs w:val="20"/>
              </w:rPr>
            </w:pPr>
            <w:r w:rsidRPr="008219C1">
              <w:rPr>
                <w:rFonts w:asciiTheme="minorHAnsi" w:hAnsiTheme="minorHAnsi" w:cstheme="minorHAnsi"/>
                <w:b w:val="0"/>
                <w:bCs w:val="0"/>
                <w:sz w:val="20"/>
                <w:szCs w:val="20"/>
              </w:rPr>
              <w:t xml:space="preserve">DLR 7.10: By December 31, 2030, </w:t>
            </w:r>
            <w:r w:rsidR="00772C0C" w:rsidRPr="00772C0C">
              <w:rPr>
                <w:rFonts w:asciiTheme="minorHAnsi" w:hAnsiTheme="minorHAnsi" w:cstheme="minorHAnsi"/>
                <w:b w:val="0"/>
                <w:bCs w:val="0"/>
                <w:sz w:val="20"/>
                <w:szCs w:val="20"/>
              </w:rPr>
              <w:t>n</w:t>
            </w:r>
            <w:r w:rsidR="00772C0C" w:rsidRPr="00772C0C">
              <w:rPr>
                <w:rFonts w:ascii="Calibri" w:hAnsi="Calibri" w:cs="Calibri"/>
                <w:b w:val="0"/>
                <w:bCs w:val="0"/>
                <w:sz w:val="20"/>
                <w:szCs w:val="20"/>
              </w:rPr>
              <w:t>ew generation, transmission, and distribution projects initiated by BT, SIB, STB respectively or the Recipient’s government are consistent with the approved plans</w:t>
            </w:r>
            <w:r w:rsidRPr="008219C1">
              <w:rPr>
                <w:rFonts w:asciiTheme="minorHAnsi" w:hAnsiTheme="minorHAnsi" w:cstheme="minorHAnsi"/>
                <w:b w:val="0"/>
                <w:bCs w:val="0"/>
                <w:sz w:val="20"/>
                <w:szCs w:val="20"/>
              </w:rPr>
              <w:t xml:space="preserve"> </w:t>
            </w:r>
            <w:r w:rsidRPr="008219C1">
              <w:rPr>
                <w:rFonts w:asciiTheme="minorHAnsi" w:hAnsiTheme="minorHAnsi" w:cstheme="minorHAnsi"/>
                <w:b w:val="0"/>
                <w:bCs w:val="0"/>
                <w:i/>
                <w:iCs/>
                <w:sz w:val="20"/>
                <w:szCs w:val="20"/>
              </w:rPr>
              <w:t>(new)</w:t>
            </w:r>
          </w:p>
        </w:tc>
        <w:tc>
          <w:tcPr>
            <w:tcW w:w="1890" w:type="dxa"/>
          </w:tcPr>
          <w:p w14:paraId="044F746F" w14:textId="597A5952" w:rsidR="008219C1" w:rsidRPr="00D17C5B" w:rsidRDefault="00E47B21"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w:t>
            </w:r>
          </w:p>
        </w:tc>
        <w:tc>
          <w:tcPr>
            <w:tcW w:w="1620" w:type="dxa"/>
          </w:tcPr>
          <w:p w14:paraId="77327693" w14:textId="36A510E2" w:rsidR="008219C1" w:rsidRPr="00A37F87" w:rsidRDefault="0050683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100,000</w:t>
            </w:r>
          </w:p>
        </w:tc>
      </w:tr>
      <w:tr w:rsidR="00A37F87" w:rsidRPr="008219C1" w14:paraId="1CEEA583" w14:textId="77777777" w:rsidTr="00A64B72">
        <w:tc>
          <w:tcPr>
            <w:tcW w:w="2864" w:type="dxa"/>
          </w:tcPr>
          <w:p w14:paraId="0B81BE9C" w14:textId="77777777" w:rsidR="008219C1" w:rsidRPr="008219C1" w:rsidRDefault="008219C1" w:rsidP="00A64B72">
            <w:pPr>
              <w:pStyle w:val="BodyText"/>
              <w:ind w:left="0"/>
              <w:rPr>
                <w:rFonts w:asciiTheme="minorHAnsi" w:hAnsiTheme="minorHAnsi" w:cstheme="minorHAnsi"/>
                <w:sz w:val="20"/>
                <w:szCs w:val="20"/>
              </w:rPr>
            </w:pPr>
            <w:r w:rsidRPr="008219C1">
              <w:rPr>
                <w:rFonts w:asciiTheme="minorHAnsi" w:hAnsiTheme="minorHAnsi" w:cstheme="minorHAnsi"/>
                <w:sz w:val="20"/>
                <w:szCs w:val="20"/>
              </w:rPr>
              <w:t>DLI #8: Implementation of good practice corporate governance at BT, SIB, and STB</w:t>
            </w:r>
          </w:p>
        </w:tc>
        <w:tc>
          <w:tcPr>
            <w:tcW w:w="4066" w:type="dxa"/>
          </w:tcPr>
          <w:p w14:paraId="68ED7715" w14:textId="741E48D4" w:rsidR="008219C1" w:rsidRPr="002E58D8" w:rsidRDefault="008219C1" w:rsidP="00A64B72">
            <w:pPr>
              <w:pStyle w:val="BodyText"/>
              <w:ind w:left="0"/>
              <w:rPr>
                <w:rFonts w:asciiTheme="minorHAnsi" w:hAnsiTheme="minorHAnsi" w:cstheme="minorHAnsi"/>
                <w:b w:val="0"/>
                <w:bCs w:val="0"/>
                <w:i/>
                <w:iCs/>
                <w:sz w:val="20"/>
                <w:szCs w:val="20"/>
              </w:rPr>
            </w:pPr>
            <w:r w:rsidRPr="008219C1">
              <w:rPr>
                <w:rFonts w:asciiTheme="minorHAnsi" w:hAnsiTheme="minorHAnsi" w:cstheme="minorHAnsi"/>
                <w:b w:val="0"/>
                <w:bCs w:val="0"/>
                <w:sz w:val="20"/>
                <w:szCs w:val="20"/>
              </w:rPr>
              <w:t xml:space="preserve">DLR 8.1: By </w:t>
            </w:r>
            <w:r w:rsidR="006A1D1F">
              <w:rPr>
                <w:rFonts w:asciiTheme="minorHAnsi" w:hAnsiTheme="minorHAnsi" w:cstheme="minorHAnsi"/>
                <w:b w:val="0"/>
                <w:bCs w:val="0"/>
                <w:sz w:val="20"/>
                <w:szCs w:val="20"/>
              </w:rPr>
              <w:t>July</w:t>
            </w:r>
            <w:r w:rsidRPr="008219C1">
              <w:rPr>
                <w:rFonts w:asciiTheme="minorHAnsi" w:hAnsiTheme="minorHAnsi" w:cstheme="minorHAnsi"/>
                <w:b w:val="0"/>
                <w:bCs w:val="0"/>
                <w:sz w:val="20"/>
                <w:szCs w:val="20"/>
              </w:rPr>
              <w:t xml:space="preserve"> 31, 2022, supervisory boards are functional and specialized committees (audit and compensation) are formed at BT, SIB, and STB comprising of members of supervisory boards and chaired by independent supervisory board members </w:t>
            </w:r>
            <w:r w:rsidRPr="008219C1">
              <w:rPr>
                <w:rFonts w:asciiTheme="minorHAnsi" w:hAnsiTheme="minorHAnsi" w:cstheme="minorHAnsi"/>
                <w:b w:val="0"/>
                <w:bCs w:val="0"/>
                <w:i/>
                <w:iCs/>
                <w:sz w:val="20"/>
                <w:szCs w:val="20"/>
              </w:rPr>
              <w:t>(revised)</w:t>
            </w:r>
          </w:p>
        </w:tc>
        <w:tc>
          <w:tcPr>
            <w:tcW w:w="1890" w:type="dxa"/>
          </w:tcPr>
          <w:p w14:paraId="78FE5703" w14:textId="49F790DA" w:rsidR="008219C1" w:rsidRPr="00D17C5B" w:rsidRDefault="00E47B21"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4,000,000</w:t>
            </w:r>
          </w:p>
        </w:tc>
        <w:tc>
          <w:tcPr>
            <w:tcW w:w="1620" w:type="dxa"/>
          </w:tcPr>
          <w:p w14:paraId="505D0DFE" w14:textId="779510D4" w:rsidR="008219C1" w:rsidRPr="00A37F87" w:rsidRDefault="00D17C5B" w:rsidP="00A37F87">
            <w:pPr>
              <w:pStyle w:val="BodyText"/>
              <w:ind w:left="0"/>
              <w:jc w:val="center"/>
              <w:rPr>
                <w:rFonts w:asciiTheme="minorHAnsi" w:hAnsiTheme="minorHAnsi" w:cstheme="minorHAnsi"/>
                <w:b w:val="0"/>
                <w:bCs w:val="0"/>
                <w:sz w:val="20"/>
                <w:szCs w:val="20"/>
              </w:rPr>
            </w:pPr>
            <w:r>
              <w:rPr>
                <w:rFonts w:asciiTheme="minorHAnsi" w:hAnsiTheme="minorHAnsi" w:cstheme="minorHAnsi"/>
                <w:b w:val="0"/>
                <w:bCs w:val="0"/>
                <w:sz w:val="20"/>
                <w:szCs w:val="20"/>
              </w:rPr>
              <w:t>-</w:t>
            </w:r>
          </w:p>
        </w:tc>
      </w:tr>
      <w:tr w:rsidR="00A37F87" w:rsidRPr="008219C1" w14:paraId="20518B06" w14:textId="77777777" w:rsidTr="00A64B72">
        <w:tc>
          <w:tcPr>
            <w:tcW w:w="2864" w:type="dxa"/>
          </w:tcPr>
          <w:p w14:paraId="0A505D12"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0CB619A9" w14:textId="532CBDAE" w:rsidR="008219C1" w:rsidRPr="002E58D8" w:rsidRDefault="008219C1" w:rsidP="00A64B72">
            <w:pPr>
              <w:pStyle w:val="BodyText"/>
              <w:ind w:left="0"/>
              <w:rPr>
                <w:rFonts w:asciiTheme="minorHAnsi" w:hAnsiTheme="minorHAnsi" w:cstheme="minorHAnsi"/>
                <w:b w:val="0"/>
                <w:bCs w:val="0"/>
                <w:i/>
                <w:iCs/>
                <w:sz w:val="20"/>
                <w:szCs w:val="20"/>
              </w:rPr>
            </w:pPr>
            <w:r w:rsidRPr="008219C1">
              <w:rPr>
                <w:rFonts w:asciiTheme="minorHAnsi" w:hAnsiTheme="minorHAnsi" w:cstheme="minorHAnsi"/>
                <w:b w:val="0"/>
                <w:bCs w:val="0"/>
                <w:sz w:val="20"/>
                <w:szCs w:val="20"/>
              </w:rPr>
              <w:t>DLR 8.2: By J</w:t>
            </w:r>
            <w:r w:rsidR="00B578B6">
              <w:rPr>
                <w:rFonts w:asciiTheme="minorHAnsi" w:hAnsiTheme="minorHAnsi" w:cstheme="minorHAnsi"/>
                <w:b w:val="0"/>
                <w:bCs w:val="0"/>
                <w:sz w:val="20"/>
                <w:szCs w:val="20"/>
              </w:rPr>
              <w:t>uly</w:t>
            </w:r>
            <w:r w:rsidRPr="008219C1">
              <w:rPr>
                <w:rFonts w:asciiTheme="minorHAnsi" w:hAnsiTheme="minorHAnsi" w:cstheme="minorHAnsi"/>
                <w:b w:val="0"/>
                <w:bCs w:val="0"/>
                <w:sz w:val="20"/>
                <w:szCs w:val="20"/>
              </w:rPr>
              <w:t xml:space="preserve"> 3</w:t>
            </w:r>
            <w:r w:rsidR="00B578B6">
              <w:rPr>
                <w:rFonts w:asciiTheme="minorHAnsi" w:hAnsiTheme="minorHAnsi" w:cstheme="minorHAnsi"/>
                <w:b w:val="0"/>
                <w:bCs w:val="0"/>
                <w:sz w:val="20"/>
                <w:szCs w:val="20"/>
              </w:rPr>
              <w:t>1</w:t>
            </w:r>
            <w:r w:rsidRPr="008219C1">
              <w:rPr>
                <w:rFonts w:asciiTheme="minorHAnsi" w:hAnsiTheme="minorHAnsi" w:cstheme="minorHAnsi"/>
                <w:b w:val="0"/>
                <w:bCs w:val="0"/>
                <w:sz w:val="20"/>
                <w:szCs w:val="20"/>
              </w:rPr>
              <w:t xml:space="preserve">, 2022, supervisory boards and specialized committees are functional </w:t>
            </w:r>
            <w:r w:rsidRPr="008219C1">
              <w:rPr>
                <w:rFonts w:asciiTheme="minorHAnsi" w:hAnsiTheme="minorHAnsi" w:cstheme="minorHAnsi"/>
                <w:b w:val="0"/>
                <w:bCs w:val="0"/>
                <w:i/>
                <w:iCs/>
                <w:sz w:val="20"/>
                <w:szCs w:val="20"/>
              </w:rPr>
              <w:t>(revised deadline)</w:t>
            </w:r>
          </w:p>
        </w:tc>
        <w:tc>
          <w:tcPr>
            <w:tcW w:w="1890" w:type="dxa"/>
          </w:tcPr>
          <w:p w14:paraId="4103102F" w14:textId="5E44D34D" w:rsidR="008219C1" w:rsidRPr="00D17C5B" w:rsidRDefault="00E47B21"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5,000,000</w:t>
            </w:r>
          </w:p>
        </w:tc>
        <w:tc>
          <w:tcPr>
            <w:tcW w:w="1620" w:type="dxa"/>
          </w:tcPr>
          <w:p w14:paraId="2D909FDC" w14:textId="0B7FA2A6" w:rsidR="008219C1" w:rsidRPr="00A37F87" w:rsidRDefault="00D17C5B" w:rsidP="00A37F87">
            <w:pPr>
              <w:pStyle w:val="BodyText"/>
              <w:ind w:left="0"/>
              <w:jc w:val="center"/>
              <w:rPr>
                <w:rFonts w:asciiTheme="minorHAnsi" w:hAnsiTheme="minorHAnsi" w:cstheme="minorHAnsi"/>
                <w:b w:val="0"/>
                <w:bCs w:val="0"/>
                <w:sz w:val="20"/>
                <w:szCs w:val="20"/>
              </w:rPr>
            </w:pPr>
            <w:r>
              <w:rPr>
                <w:rFonts w:asciiTheme="minorHAnsi" w:hAnsiTheme="minorHAnsi" w:cstheme="minorHAnsi"/>
                <w:b w:val="0"/>
                <w:bCs w:val="0"/>
                <w:sz w:val="20"/>
                <w:szCs w:val="20"/>
              </w:rPr>
              <w:t>-</w:t>
            </w:r>
          </w:p>
        </w:tc>
      </w:tr>
      <w:tr w:rsidR="00A37F87" w:rsidRPr="008219C1" w14:paraId="4CBABB69" w14:textId="77777777" w:rsidTr="00A64B72">
        <w:tc>
          <w:tcPr>
            <w:tcW w:w="2864" w:type="dxa"/>
          </w:tcPr>
          <w:p w14:paraId="734F1F52"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47F5C120" w14:textId="74C9970A" w:rsidR="008219C1" w:rsidRPr="008219C1" w:rsidRDefault="008219C1" w:rsidP="002E58D8">
            <w:pPr>
              <w:pStyle w:val="BodyText"/>
              <w:ind w:left="0"/>
              <w:rPr>
                <w:rFonts w:asciiTheme="minorHAnsi" w:hAnsiTheme="minorHAnsi" w:cstheme="minorHAnsi"/>
                <w:b w:val="0"/>
                <w:bCs w:val="0"/>
                <w:sz w:val="20"/>
                <w:szCs w:val="20"/>
              </w:rPr>
            </w:pPr>
            <w:r w:rsidRPr="008219C1">
              <w:rPr>
                <w:rFonts w:asciiTheme="minorHAnsi" w:hAnsiTheme="minorHAnsi" w:cstheme="minorHAnsi"/>
                <w:b w:val="0"/>
                <w:bCs w:val="0"/>
                <w:sz w:val="20"/>
                <w:szCs w:val="20"/>
              </w:rPr>
              <w:t xml:space="preserve">DLR 8.3: By December 31, 2022, supervisory boards and specialized committees are functional </w:t>
            </w:r>
            <w:r w:rsidRPr="008219C1">
              <w:rPr>
                <w:rFonts w:asciiTheme="minorHAnsi" w:hAnsiTheme="minorHAnsi" w:cstheme="minorHAnsi"/>
                <w:b w:val="0"/>
                <w:bCs w:val="0"/>
                <w:i/>
                <w:iCs/>
                <w:sz w:val="20"/>
                <w:szCs w:val="20"/>
              </w:rPr>
              <w:t>(revised deadline</w:t>
            </w:r>
            <w:r w:rsidR="005E582D">
              <w:rPr>
                <w:rFonts w:asciiTheme="minorHAnsi" w:hAnsiTheme="minorHAnsi" w:cstheme="minorHAnsi"/>
                <w:b w:val="0"/>
                <w:bCs w:val="0"/>
                <w:i/>
                <w:iCs/>
                <w:sz w:val="20"/>
                <w:szCs w:val="20"/>
              </w:rPr>
              <w:t xml:space="preserve"> and increased allocation</w:t>
            </w:r>
            <w:r w:rsidRPr="008219C1">
              <w:rPr>
                <w:rFonts w:asciiTheme="minorHAnsi" w:hAnsiTheme="minorHAnsi" w:cstheme="minorHAnsi"/>
                <w:b w:val="0"/>
                <w:bCs w:val="0"/>
                <w:i/>
                <w:iCs/>
                <w:sz w:val="20"/>
                <w:szCs w:val="20"/>
              </w:rPr>
              <w:t>)</w:t>
            </w:r>
          </w:p>
        </w:tc>
        <w:tc>
          <w:tcPr>
            <w:tcW w:w="1890" w:type="dxa"/>
          </w:tcPr>
          <w:p w14:paraId="39FEB8CD" w14:textId="102F6EC5" w:rsidR="008219C1" w:rsidRPr="00D17C5B" w:rsidRDefault="00E47B21"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4,000,000</w:t>
            </w:r>
          </w:p>
        </w:tc>
        <w:tc>
          <w:tcPr>
            <w:tcW w:w="1620" w:type="dxa"/>
          </w:tcPr>
          <w:p w14:paraId="7C045195" w14:textId="510E3863" w:rsidR="008219C1" w:rsidRPr="00A37F87" w:rsidRDefault="00D17C5B" w:rsidP="00A37F87">
            <w:pPr>
              <w:pStyle w:val="BodyText"/>
              <w:ind w:left="0"/>
              <w:jc w:val="center"/>
              <w:rPr>
                <w:rFonts w:asciiTheme="minorHAnsi" w:hAnsiTheme="minorHAnsi" w:cstheme="minorHAnsi"/>
                <w:b w:val="0"/>
                <w:bCs w:val="0"/>
                <w:sz w:val="20"/>
                <w:szCs w:val="20"/>
              </w:rPr>
            </w:pPr>
            <w:r>
              <w:rPr>
                <w:rFonts w:asciiTheme="minorHAnsi" w:hAnsiTheme="minorHAnsi" w:cstheme="minorHAnsi"/>
                <w:b w:val="0"/>
                <w:bCs w:val="0"/>
                <w:sz w:val="20"/>
                <w:szCs w:val="20"/>
              </w:rPr>
              <w:t>7</w:t>
            </w:r>
            <w:r w:rsidR="00506837" w:rsidRPr="00A37F87">
              <w:rPr>
                <w:rFonts w:asciiTheme="minorHAnsi" w:hAnsiTheme="minorHAnsi" w:cstheme="minorHAnsi"/>
                <w:b w:val="0"/>
                <w:bCs w:val="0"/>
                <w:sz w:val="20"/>
                <w:szCs w:val="20"/>
              </w:rPr>
              <w:t>00,000</w:t>
            </w:r>
          </w:p>
        </w:tc>
      </w:tr>
      <w:tr w:rsidR="00A37F87" w:rsidRPr="008219C1" w14:paraId="18E6AD59" w14:textId="77777777" w:rsidTr="00A64B72">
        <w:tc>
          <w:tcPr>
            <w:tcW w:w="2864" w:type="dxa"/>
          </w:tcPr>
          <w:p w14:paraId="32B495C5"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0D5FAA3F" w14:textId="5530E68A" w:rsidR="008219C1" w:rsidRPr="008219C1" w:rsidRDefault="008219C1" w:rsidP="002E58D8">
            <w:pPr>
              <w:pStyle w:val="BodyText"/>
              <w:ind w:left="0"/>
              <w:rPr>
                <w:rFonts w:asciiTheme="minorHAnsi" w:hAnsiTheme="minorHAnsi" w:cstheme="minorHAnsi"/>
                <w:b w:val="0"/>
                <w:bCs w:val="0"/>
                <w:sz w:val="20"/>
                <w:szCs w:val="20"/>
              </w:rPr>
            </w:pPr>
            <w:r w:rsidRPr="008219C1">
              <w:rPr>
                <w:rFonts w:asciiTheme="minorHAnsi" w:hAnsiTheme="minorHAnsi" w:cstheme="minorHAnsi"/>
                <w:b w:val="0"/>
                <w:bCs w:val="0"/>
                <w:sz w:val="20"/>
                <w:szCs w:val="20"/>
              </w:rPr>
              <w:t xml:space="preserve">DLR 8.4:  By December 31, 2023, supervisory boards and specialized committees are functional </w:t>
            </w:r>
            <w:r w:rsidRPr="008219C1">
              <w:rPr>
                <w:rFonts w:asciiTheme="minorHAnsi" w:hAnsiTheme="minorHAnsi" w:cstheme="minorHAnsi"/>
                <w:b w:val="0"/>
                <w:bCs w:val="0"/>
                <w:i/>
                <w:iCs/>
                <w:sz w:val="20"/>
                <w:szCs w:val="20"/>
              </w:rPr>
              <w:t>(revised deadline</w:t>
            </w:r>
            <w:r w:rsidR="005E582D">
              <w:rPr>
                <w:rFonts w:asciiTheme="minorHAnsi" w:hAnsiTheme="minorHAnsi" w:cstheme="minorHAnsi"/>
                <w:b w:val="0"/>
                <w:bCs w:val="0"/>
                <w:i/>
                <w:iCs/>
                <w:sz w:val="20"/>
                <w:szCs w:val="20"/>
              </w:rPr>
              <w:t xml:space="preserve"> and increased allocation</w:t>
            </w:r>
            <w:r w:rsidRPr="008219C1">
              <w:rPr>
                <w:rFonts w:asciiTheme="minorHAnsi" w:hAnsiTheme="minorHAnsi" w:cstheme="minorHAnsi"/>
                <w:b w:val="0"/>
                <w:bCs w:val="0"/>
                <w:i/>
                <w:iCs/>
                <w:sz w:val="20"/>
                <w:szCs w:val="20"/>
              </w:rPr>
              <w:t>)</w:t>
            </w:r>
          </w:p>
        </w:tc>
        <w:tc>
          <w:tcPr>
            <w:tcW w:w="1890" w:type="dxa"/>
          </w:tcPr>
          <w:p w14:paraId="2A12E1F1" w14:textId="33B4F771" w:rsidR="008219C1" w:rsidRPr="00D17C5B" w:rsidRDefault="00E47B21"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2,000,000</w:t>
            </w:r>
          </w:p>
        </w:tc>
        <w:tc>
          <w:tcPr>
            <w:tcW w:w="1620" w:type="dxa"/>
          </w:tcPr>
          <w:p w14:paraId="3172B717" w14:textId="1726E15E" w:rsidR="008219C1" w:rsidRPr="00A37F87" w:rsidRDefault="00D17C5B" w:rsidP="00A37F87">
            <w:pPr>
              <w:pStyle w:val="BodyText"/>
              <w:ind w:left="0"/>
              <w:jc w:val="center"/>
              <w:rPr>
                <w:rFonts w:asciiTheme="minorHAnsi" w:hAnsiTheme="minorHAnsi" w:cstheme="minorHAnsi"/>
                <w:b w:val="0"/>
                <w:bCs w:val="0"/>
                <w:sz w:val="20"/>
                <w:szCs w:val="20"/>
              </w:rPr>
            </w:pPr>
            <w:r>
              <w:rPr>
                <w:rFonts w:asciiTheme="minorHAnsi" w:hAnsiTheme="minorHAnsi" w:cstheme="minorHAnsi"/>
                <w:b w:val="0"/>
                <w:bCs w:val="0"/>
                <w:sz w:val="20"/>
                <w:szCs w:val="20"/>
              </w:rPr>
              <w:t>6</w:t>
            </w:r>
            <w:r w:rsidR="00506837" w:rsidRPr="00A37F87">
              <w:rPr>
                <w:rFonts w:asciiTheme="minorHAnsi" w:hAnsiTheme="minorHAnsi" w:cstheme="minorHAnsi"/>
                <w:b w:val="0"/>
                <w:bCs w:val="0"/>
                <w:sz w:val="20"/>
                <w:szCs w:val="20"/>
              </w:rPr>
              <w:t>00,000</w:t>
            </w:r>
          </w:p>
        </w:tc>
      </w:tr>
      <w:tr w:rsidR="00A37F87" w:rsidRPr="008219C1" w14:paraId="123826D8" w14:textId="77777777" w:rsidTr="00A64B72">
        <w:tc>
          <w:tcPr>
            <w:tcW w:w="2864" w:type="dxa"/>
          </w:tcPr>
          <w:p w14:paraId="6494E774"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32AC19A0" w14:textId="7010DDCD" w:rsidR="008219C1" w:rsidRPr="008219C1" w:rsidRDefault="008219C1" w:rsidP="002E58D8">
            <w:pPr>
              <w:pStyle w:val="BodyText"/>
              <w:ind w:left="0"/>
              <w:rPr>
                <w:rFonts w:asciiTheme="minorHAnsi" w:hAnsiTheme="minorHAnsi" w:cstheme="minorHAnsi"/>
                <w:b w:val="0"/>
                <w:bCs w:val="0"/>
                <w:sz w:val="20"/>
                <w:szCs w:val="20"/>
              </w:rPr>
            </w:pPr>
            <w:r w:rsidRPr="008219C1">
              <w:rPr>
                <w:rFonts w:asciiTheme="minorHAnsi" w:hAnsiTheme="minorHAnsi" w:cstheme="minorHAnsi"/>
                <w:b w:val="0"/>
                <w:bCs w:val="0"/>
                <w:sz w:val="20"/>
                <w:szCs w:val="20"/>
              </w:rPr>
              <w:t xml:space="preserve">DLR 8.5: By December 31, 2024, supervisory boards and specialized committees are functional </w:t>
            </w:r>
            <w:r w:rsidRPr="008219C1">
              <w:rPr>
                <w:rFonts w:asciiTheme="minorHAnsi" w:hAnsiTheme="minorHAnsi" w:cstheme="minorHAnsi"/>
                <w:b w:val="0"/>
                <w:bCs w:val="0"/>
                <w:i/>
                <w:iCs/>
                <w:sz w:val="20"/>
                <w:szCs w:val="20"/>
              </w:rPr>
              <w:t>(revised deadline</w:t>
            </w:r>
            <w:r w:rsidR="005E582D">
              <w:rPr>
                <w:rFonts w:asciiTheme="minorHAnsi" w:hAnsiTheme="minorHAnsi" w:cstheme="minorHAnsi"/>
                <w:b w:val="0"/>
                <w:bCs w:val="0"/>
                <w:i/>
                <w:iCs/>
                <w:sz w:val="20"/>
                <w:szCs w:val="20"/>
              </w:rPr>
              <w:t xml:space="preserve"> and increased allocation</w:t>
            </w:r>
            <w:r w:rsidRPr="008219C1">
              <w:rPr>
                <w:rFonts w:asciiTheme="minorHAnsi" w:hAnsiTheme="minorHAnsi" w:cstheme="minorHAnsi"/>
                <w:b w:val="0"/>
                <w:bCs w:val="0"/>
                <w:i/>
                <w:iCs/>
                <w:sz w:val="20"/>
                <w:szCs w:val="20"/>
              </w:rPr>
              <w:t>)</w:t>
            </w:r>
          </w:p>
        </w:tc>
        <w:tc>
          <w:tcPr>
            <w:tcW w:w="1890" w:type="dxa"/>
          </w:tcPr>
          <w:p w14:paraId="0F5FCE38" w14:textId="35F3A6BB" w:rsidR="008219C1" w:rsidRPr="00D17C5B" w:rsidRDefault="00E47B21"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1,000,000</w:t>
            </w:r>
          </w:p>
        </w:tc>
        <w:tc>
          <w:tcPr>
            <w:tcW w:w="1620" w:type="dxa"/>
          </w:tcPr>
          <w:p w14:paraId="6976EB92" w14:textId="59A850A1" w:rsidR="008219C1" w:rsidRPr="00A37F87" w:rsidRDefault="0050683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100,000</w:t>
            </w:r>
          </w:p>
        </w:tc>
      </w:tr>
      <w:tr w:rsidR="00A37F87" w:rsidRPr="008219C1" w14:paraId="733F39F0" w14:textId="77777777" w:rsidTr="00A64B72">
        <w:tc>
          <w:tcPr>
            <w:tcW w:w="2864" w:type="dxa"/>
          </w:tcPr>
          <w:p w14:paraId="0F36E80A"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2082B813" w14:textId="172C4FA1" w:rsidR="008219C1" w:rsidRPr="008219C1" w:rsidRDefault="008219C1" w:rsidP="002E58D8">
            <w:pPr>
              <w:pStyle w:val="BodyText"/>
              <w:ind w:left="0"/>
              <w:rPr>
                <w:rFonts w:asciiTheme="minorHAnsi" w:hAnsiTheme="minorHAnsi" w:cstheme="minorHAnsi"/>
                <w:b w:val="0"/>
                <w:bCs w:val="0"/>
                <w:sz w:val="20"/>
                <w:szCs w:val="20"/>
              </w:rPr>
            </w:pPr>
            <w:r w:rsidRPr="008219C1">
              <w:rPr>
                <w:rFonts w:asciiTheme="minorHAnsi" w:hAnsiTheme="minorHAnsi" w:cstheme="minorHAnsi"/>
                <w:b w:val="0"/>
                <w:bCs w:val="0"/>
                <w:sz w:val="20"/>
                <w:szCs w:val="20"/>
              </w:rPr>
              <w:t xml:space="preserve">DLR 8.6: By December 31, 2025, supervisory boards and specialized committees are functional </w:t>
            </w:r>
            <w:r w:rsidRPr="008219C1">
              <w:rPr>
                <w:rFonts w:asciiTheme="minorHAnsi" w:hAnsiTheme="minorHAnsi" w:cstheme="minorHAnsi"/>
                <w:b w:val="0"/>
                <w:bCs w:val="0"/>
                <w:i/>
                <w:iCs/>
                <w:sz w:val="20"/>
                <w:szCs w:val="20"/>
              </w:rPr>
              <w:t>(revised deadline</w:t>
            </w:r>
            <w:r w:rsidR="005E582D">
              <w:rPr>
                <w:rFonts w:asciiTheme="minorHAnsi" w:hAnsiTheme="minorHAnsi" w:cstheme="minorHAnsi"/>
                <w:b w:val="0"/>
                <w:bCs w:val="0"/>
                <w:i/>
                <w:iCs/>
                <w:sz w:val="20"/>
                <w:szCs w:val="20"/>
              </w:rPr>
              <w:t xml:space="preserve"> and increased allocation</w:t>
            </w:r>
            <w:r w:rsidRPr="008219C1">
              <w:rPr>
                <w:rFonts w:asciiTheme="minorHAnsi" w:hAnsiTheme="minorHAnsi" w:cstheme="minorHAnsi"/>
                <w:b w:val="0"/>
                <w:bCs w:val="0"/>
                <w:i/>
                <w:iCs/>
                <w:sz w:val="20"/>
                <w:szCs w:val="20"/>
              </w:rPr>
              <w:t>)</w:t>
            </w:r>
          </w:p>
        </w:tc>
        <w:tc>
          <w:tcPr>
            <w:tcW w:w="1890" w:type="dxa"/>
          </w:tcPr>
          <w:p w14:paraId="51DC813A" w14:textId="04B58631" w:rsidR="008219C1" w:rsidRPr="00D17C5B" w:rsidRDefault="00E47B21"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500,000</w:t>
            </w:r>
          </w:p>
        </w:tc>
        <w:tc>
          <w:tcPr>
            <w:tcW w:w="1620" w:type="dxa"/>
          </w:tcPr>
          <w:p w14:paraId="13565D1F" w14:textId="10D805A4" w:rsidR="008219C1" w:rsidRPr="00A37F87" w:rsidRDefault="0050683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100,000</w:t>
            </w:r>
          </w:p>
        </w:tc>
      </w:tr>
      <w:tr w:rsidR="00A37F87" w:rsidRPr="008219C1" w14:paraId="2D672CF6" w14:textId="77777777" w:rsidTr="00A64B72">
        <w:tc>
          <w:tcPr>
            <w:tcW w:w="2864" w:type="dxa"/>
          </w:tcPr>
          <w:p w14:paraId="5B9E978F"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3CD79DA8" w14:textId="68411F4F" w:rsidR="008219C1" w:rsidRPr="008219C1" w:rsidRDefault="008219C1" w:rsidP="002E58D8">
            <w:pPr>
              <w:pStyle w:val="BodyText"/>
              <w:ind w:left="0"/>
              <w:rPr>
                <w:rFonts w:asciiTheme="minorHAnsi" w:hAnsiTheme="minorHAnsi" w:cstheme="minorHAnsi"/>
                <w:b w:val="0"/>
                <w:bCs w:val="0"/>
                <w:sz w:val="20"/>
                <w:szCs w:val="20"/>
              </w:rPr>
            </w:pPr>
            <w:r w:rsidRPr="008219C1">
              <w:rPr>
                <w:rFonts w:asciiTheme="minorHAnsi" w:hAnsiTheme="minorHAnsi" w:cstheme="minorHAnsi"/>
                <w:b w:val="0"/>
                <w:bCs w:val="0"/>
                <w:sz w:val="20"/>
                <w:szCs w:val="20"/>
              </w:rPr>
              <w:t xml:space="preserve">DLR 8.7: By December 31, 2026, supervisory boards and specialized committees are functional </w:t>
            </w:r>
            <w:r w:rsidRPr="008219C1">
              <w:rPr>
                <w:rFonts w:asciiTheme="minorHAnsi" w:hAnsiTheme="minorHAnsi" w:cstheme="minorHAnsi"/>
                <w:b w:val="0"/>
                <w:bCs w:val="0"/>
                <w:i/>
                <w:iCs/>
                <w:sz w:val="20"/>
                <w:szCs w:val="20"/>
              </w:rPr>
              <w:t>(revised deadline</w:t>
            </w:r>
            <w:r w:rsidR="005E582D">
              <w:rPr>
                <w:rFonts w:asciiTheme="minorHAnsi" w:hAnsiTheme="minorHAnsi" w:cstheme="minorHAnsi"/>
                <w:b w:val="0"/>
                <w:bCs w:val="0"/>
                <w:i/>
                <w:iCs/>
                <w:sz w:val="20"/>
                <w:szCs w:val="20"/>
              </w:rPr>
              <w:t xml:space="preserve"> and increased allocation</w:t>
            </w:r>
            <w:r w:rsidRPr="008219C1">
              <w:rPr>
                <w:rFonts w:asciiTheme="minorHAnsi" w:hAnsiTheme="minorHAnsi" w:cstheme="minorHAnsi"/>
                <w:b w:val="0"/>
                <w:bCs w:val="0"/>
                <w:i/>
                <w:iCs/>
                <w:sz w:val="20"/>
                <w:szCs w:val="20"/>
              </w:rPr>
              <w:t>)</w:t>
            </w:r>
          </w:p>
        </w:tc>
        <w:tc>
          <w:tcPr>
            <w:tcW w:w="1890" w:type="dxa"/>
          </w:tcPr>
          <w:p w14:paraId="36C80B13" w14:textId="75099FF5" w:rsidR="008219C1" w:rsidRPr="00D17C5B" w:rsidRDefault="00E47B21"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500,000</w:t>
            </w:r>
          </w:p>
        </w:tc>
        <w:tc>
          <w:tcPr>
            <w:tcW w:w="1620" w:type="dxa"/>
          </w:tcPr>
          <w:p w14:paraId="335DB7F6" w14:textId="4E293F32" w:rsidR="008219C1" w:rsidRPr="00A37F87" w:rsidRDefault="00A37F8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100,000</w:t>
            </w:r>
          </w:p>
        </w:tc>
      </w:tr>
      <w:tr w:rsidR="00A37F87" w:rsidRPr="008219C1" w14:paraId="2100ECE9" w14:textId="77777777" w:rsidTr="00A64B72">
        <w:tc>
          <w:tcPr>
            <w:tcW w:w="2864" w:type="dxa"/>
          </w:tcPr>
          <w:p w14:paraId="6A34B5FA"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4F3BB071" w14:textId="7DA745C2" w:rsidR="008219C1" w:rsidRPr="008219C1" w:rsidRDefault="008219C1" w:rsidP="002E58D8">
            <w:pPr>
              <w:pStyle w:val="BodyText"/>
              <w:ind w:left="0"/>
              <w:rPr>
                <w:rFonts w:asciiTheme="minorHAnsi" w:hAnsiTheme="minorHAnsi" w:cstheme="minorHAnsi"/>
                <w:b w:val="0"/>
                <w:bCs w:val="0"/>
                <w:sz w:val="20"/>
                <w:szCs w:val="20"/>
              </w:rPr>
            </w:pPr>
            <w:r w:rsidRPr="008219C1">
              <w:rPr>
                <w:rFonts w:asciiTheme="minorHAnsi" w:hAnsiTheme="minorHAnsi" w:cstheme="minorHAnsi"/>
                <w:b w:val="0"/>
                <w:bCs w:val="0"/>
                <w:sz w:val="20"/>
                <w:szCs w:val="20"/>
              </w:rPr>
              <w:t xml:space="preserve">DLR 8.8: By December 31, 2027, supervisory boards and specialized committees are functional </w:t>
            </w:r>
            <w:r w:rsidRPr="008219C1">
              <w:rPr>
                <w:rFonts w:asciiTheme="minorHAnsi" w:hAnsiTheme="minorHAnsi" w:cstheme="minorHAnsi"/>
                <w:b w:val="0"/>
                <w:bCs w:val="0"/>
                <w:i/>
                <w:iCs/>
                <w:sz w:val="20"/>
                <w:szCs w:val="20"/>
              </w:rPr>
              <w:t>(new)</w:t>
            </w:r>
          </w:p>
        </w:tc>
        <w:tc>
          <w:tcPr>
            <w:tcW w:w="1890" w:type="dxa"/>
          </w:tcPr>
          <w:p w14:paraId="3FECBB24" w14:textId="67A0CA3A" w:rsidR="008219C1" w:rsidRPr="00D17C5B" w:rsidRDefault="00E47B21"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w:t>
            </w:r>
          </w:p>
        </w:tc>
        <w:tc>
          <w:tcPr>
            <w:tcW w:w="1620" w:type="dxa"/>
          </w:tcPr>
          <w:p w14:paraId="77D4279F" w14:textId="2CA7B148" w:rsidR="008219C1" w:rsidRPr="00A37F87" w:rsidRDefault="00A37F8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100,000</w:t>
            </w:r>
          </w:p>
        </w:tc>
      </w:tr>
      <w:tr w:rsidR="00A37F87" w:rsidRPr="008219C1" w14:paraId="30AB3EF5" w14:textId="77777777" w:rsidTr="00A64B72">
        <w:tc>
          <w:tcPr>
            <w:tcW w:w="2864" w:type="dxa"/>
          </w:tcPr>
          <w:p w14:paraId="3B8D5AB8"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3DAD8157" w14:textId="60B80786" w:rsidR="008219C1" w:rsidRPr="008219C1" w:rsidRDefault="008219C1" w:rsidP="002E58D8">
            <w:pPr>
              <w:pStyle w:val="BodyText"/>
              <w:ind w:left="0"/>
              <w:rPr>
                <w:rFonts w:asciiTheme="minorHAnsi" w:hAnsiTheme="minorHAnsi" w:cstheme="minorHAnsi"/>
                <w:b w:val="0"/>
                <w:bCs w:val="0"/>
                <w:sz w:val="20"/>
                <w:szCs w:val="20"/>
              </w:rPr>
            </w:pPr>
            <w:r w:rsidRPr="008219C1">
              <w:rPr>
                <w:rFonts w:asciiTheme="minorHAnsi" w:hAnsiTheme="minorHAnsi" w:cstheme="minorHAnsi"/>
                <w:b w:val="0"/>
                <w:bCs w:val="0"/>
                <w:sz w:val="20"/>
                <w:szCs w:val="20"/>
              </w:rPr>
              <w:t xml:space="preserve">DLR 8.9: By December 31, 2028, supervisory boards and specialized committees are functional </w:t>
            </w:r>
            <w:r w:rsidRPr="008219C1">
              <w:rPr>
                <w:rFonts w:asciiTheme="minorHAnsi" w:hAnsiTheme="minorHAnsi" w:cstheme="minorHAnsi"/>
                <w:b w:val="0"/>
                <w:bCs w:val="0"/>
                <w:i/>
                <w:iCs/>
                <w:sz w:val="20"/>
                <w:szCs w:val="20"/>
              </w:rPr>
              <w:t>(new)</w:t>
            </w:r>
          </w:p>
        </w:tc>
        <w:tc>
          <w:tcPr>
            <w:tcW w:w="1890" w:type="dxa"/>
          </w:tcPr>
          <w:p w14:paraId="4447B7D4" w14:textId="11E4A52E" w:rsidR="008219C1" w:rsidRPr="00D17C5B" w:rsidRDefault="00E47B21"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w:t>
            </w:r>
          </w:p>
        </w:tc>
        <w:tc>
          <w:tcPr>
            <w:tcW w:w="1620" w:type="dxa"/>
          </w:tcPr>
          <w:p w14:paraId="0E6415F6" w14:textId="6CF2E5D6" w:rsidR="008219C1" w:rsidRPr="00A37F87" w:rsidRDefault="00A37F8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100,000</w:t>
            </w:r>
          </w:p>
        </w:tc>
      </w:tr>
      <w:tr w:rsidR="00A37F87" w:rsidRPr="008219C1" w14:paraId="2D77811D" w14:textId="77777777" w:rsidTr="00A64B72">
        <w:tc>
          <w:tcPr>
            <w:tcW w:w="2864" w:type="dxa"/>
          </w:tcPr>
          <w:p w14:paraId="349B0682"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7EA8C84D" w14:textId="2DB3B522" w:rsidR="008219C1" w:rsidRPr="008219C1" w:rsidRDefault="008219C1" w:rsidP="002E58D8">
            <w:pPr>
              <w:pStyle w:val="BodyText"/>
              <w:ind w:left="0"/>
              <w:rPr>
                <w:rFonts w:asciiTheme="minorHAnsi" w:hAnsiTheme="minorHAnsi" w:cstheme="minorHAnsi"/>
                <w:b w:val="0"/>
                <w:bCs w:val="0"/>
                <w:sz w:val="20"/>
                <w:szCs w:val="20"/>
              </w:rPr>
            </w:pPr>
            <w:r w:rsidRPr="008219C1">
              <w:rPr>
                <w:rFonts w:asciiTheme="minorHAnsi" w:hAnsiTheme="minorHAnsi" w:cstheme="minorHAnsi"/>
                <w:b w:val="0"/>
                <w:bCs w:val="0"/>
                <w:sz w:val="20"/>
                <w:szCs w:val="20"/>
              </w:rPr>
              <w:t xml:space="preserve">DLR 8.10: By December 31, 2029, supervisory boards and specialized committees are functional </w:t>
            </w:r>
            <w:r w:rsidRPr="008219C1">
              <w:rPr>
                <w:rFonts w:asciiTheme="minorHAnsi" w:hAnsiTheme="minorHAnsi" w:cstheme="minorHAnsi"/>
                <w:b w:val="0"/>
                <w:bCs w:val="0"/>
                <w:i/>
                <w:iCs/>
                <w:sz w:val="20"/>
                <w:szCs w:val="20"/>
              </w:rPr>
              <w:t>(new)</w:t>
            </w:r>
          </w:p>
        </w:tc>
        <w:tc>
          <w:tcPr>
            <w:tcW w:w="1890" w:type="dxa"/>
          </w:tcPr>
          <w:p w14:paraId="2C19219E" w14:textId="59C8B26B" w:rsidR="008219C1" w:rsidRPr="00D17C5B" w:rsidRDefault="00E47B21"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w:t>
            </w:r>
          </w:p>
        </w:tc>
        <w:tc>
          <w:tcPr>
            <w:tcW w:w="1620" w:type="dxa"/>
          </w:tcPr>
          <w:p w14:paraId="5B2B76C0" w14:textId="6CB48CD0" w:rsidR="008219C1" w:rsidRPr="00A37F87" w:rsidRDefault="00A37F8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100,000</w:t>
            </w:r>
          </w:p>
        </w:tc>
      </w:tr>
      <w:tr w:rsidR="00A37F87" w:rsidRPr="008219C1" w14:paraId="36DFD32E" w14:textId="77777777" w:rsidTr="00A64B72">
        <w:tc>
          <w:tcPr>
            <w:tcW w:w="2864" w:type="dxa"/>
          </w:tcPr>
          <w:p w14:paraId="5CA0F573"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30512252" w14:textId="068E9DA2" w:rsidR="008219C1" w:rsidRPr="008219C1" w:rsidRDefault="008219C1" w:rsidP="002E58D8">
            <w:pPr>
              <w:pStyle w:val="BodyText"/>
              <w:ind w:left="0"/>
              <w:rPr>
                <w:rFonts w:asciiTheme="minorHAnsi" w:hAnsiTheme="minorHAnsi" w:cstheme="minorHAnsi"/>
                <w:b w:val="0"/>
                <w:bCs w:val="0"/>
                <w:sz w:val="20"/>
                <w:szCs w:val="20"/>
              </w:rPr>
            </w:pPr>
            <w:r w:rsidRPr="008219C1">
              <w:rPr>
                <w:rFonts w:asciiTheme="minorHAnsi" w:hAnsiTheme="minorHAnsi" w:cstheme="minorHAnsi"/>
                <w:b w:val="0"/>
                <w:bCs w:val="0"/>
                <w:sz w:val="20"/>
                <w:szCs w:val="20"/>
              </w:rPr>
              <w:t xml:space="preserve">DLR 8.11: By December 31, 2030, supervisory boards and specialized committees are functional </w:t>
            </w:r>
            <w:r w:rsidRPr="008219C1">
              <w:rPr>
                <w:rFonts w:asciiTheme="minorHAnsi" w:hAnsiTheme="minorHAnsi" w:cstheme="minorHAnsi"/>
                <w:b w:val="0"/>
                <w:bCs w:val="0"/>
                <w:i/>
                <w:iCs/>
                <w:sz w:val="20"/>
                <w:szCs w:val="20"/>
              </w:rPr>
              <w:t>(new)</w:t>
            </w:r>
          </w:p>
        </w:tc>
        <w:tc>
          <w:tcPr>
            <w:tcW w:w="1890" w:type="dxa"/>
          </w:tcPr>
          <w:p w14:paraId="339E6667" w14:textId="38F7E5FA" w:rsidR="008219C1" w:rsidRPr="00D17C5B" w:rsidRDefault="00E47B21"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w:t>
            </w:r>
          </w:p>
        </w:tc>
        <w:tc>
          <w:tcPr>
            <w:tcW w:w="1620" w:type="dxa"/>
          </w:tcPr>
          <w:p w14:paraId="5ECB4340" w14:textId="31EBC9E2" w:rsidR="008219C1" w:rsidRPr="00A37F87" w:rsidRDefault="00A37F8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100,000</w:t>
            </w:r>
          </w:p>
        </w:tc>
      </w:tr>
      <w:tr w:rsidR="00A37F87" w:rsidRPr="008219C1" w14:paraId="4A32595A" w14:textId="77777777" w:rsidTr="00A64B72">
        <w:tc>
          <w:tcPr>
            <w:tcW w:w="2864" w:type="dxa"/>
          </w:tcPr>
          <w:p w14:paraId="43B558E3" w14:textId="77777777" w:rsidR="008219C1" w:rsidRPr="008219C1" w:rsidRDefault="008219C1" w:rsidP="00A64B72">
            <w:pPr>
              <w:pStyle w:val="BodyText"/>
              <w:ind w:left="0"/>
              <w:rPr>
                <w:rFonts w:asciiTheme="minorHAnsi" w:hAnsiTheme="minorHAnsi" w:cstheme="minorHAnsi"/>
                <w:sz w:val="20"/>
                <w:szCs w:val="20"/>
              </w:rPr>
            </w:pPr>
            <w:r w:rsidRPr="008219C1">
              <w:rPr>
                <w:rFonts w:asciiTheme="minorHAnsi" w:hAnsiTheme="minorHAnsi" w:cstheme="minorHAnsi"/>
                <w:sz w:val="20"/>
                <w:szCs w:val="20"/>
              </w:rPr>
              <w:t>DLI #9: Improvement of operational and financial transparency of BT, SIB, and STB</w:t>
            </w:r>
          </w:p>
        </w:tc>
        <w:tc>
          <w:tcPr>
            <w:tcW w:w="4066" w:type="dxa"/>
          </w:tcPr>
          <w:p w14:paraId="23F17A10" w14:textId="5ED33071" w:rsidR="008219C1" w:rsidRPr="008219C1" w:rsidRDefault="008219C1" w:rsidP="00A64B72">
            <w:pPr>
              <w:pStyle w:val="BodyText"/>
              <w:ind w:left="0"/>
              <w:rPr>
                <w:rFonts w:asciiTheme="minorHAnsi" w:hAnsiTheme="minorHAnsi" w:cstheme="minorHAnsi"/>
                <w:b w:val="0"/>
                <w:bCs w:val="0"/>
                <w:sz w:val="20"/>
                <w:szCs w:val="20"/>
              </w:rPr>
            </w:pPr>
            <w:r w:rsidRPr="008219C1">
              <w:rPr>
                <w:rFonts w:asciiTheme="minorHAnsi" w:hAnsiTheme="minorHAnsi" w:cstheme="minorHAnsi"/>
                <w:b w:val="0"/>
                <w:bCs w:val="0"/>
                <w:sz w:val="20"/>
                <w:szCs w:val="20"/>
              </w:rPr>
              <w:t>DLR 9.1: By December 31, 2020, BT publishes on its website key quarterly operational data and unaudited financial statement for 2019</w:t>
            </w:r>
          </w:p>
        </w:tc>
        <w:tc>
          <w:tcPr>
            <w:tcW w:w="1890" w:type="dxa"/>
          </w:tcPr>
          <w:p w14:paraId="01E46D17" w14:textId="085DC2EB" w:rsidR="008219C1" w:rsidRPr="00D17C5B" w:rsidRDefault="00D17C5B"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1,100,000</w:t>
            </w:r>
          </w:p>
        </w:tc>
        <w:tc>
          <w:tcPr>
            <w:tcW w:w="1620" w:type="dxa"/>
          </w:tcPr>
          <w:p w14:paraId="3339C474" w14:textId="56EC9DBC" w:rsidR="008219C1" w:rsidRPr="00A37F87" w:rsidRDefault="00A37F8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w:t>
            </w:r>
          </w:p>
        </w:tc>
      </w:tr>
      <w:tr w:rsidR="00A37F87" w:rsidRPr="008219C1" w14:paraId="374A7564" w14:textId="77777777" w:rsidTr="00A64B72">
        <w:tc>
          <w:tcPr>
            <w:tcW w:w="2864" w:type="dxa"/>
          </w:tcPr>
          <w:p w14:paraId="089ABFEB"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1AF0E2B4" w14:textId="59AE74A4" w:rsidR="008219C1" w:rsidRPr="008219C1" w:rsidRDefault="008219C1" w:rsidP="002E58D8">
            <w:pPr>
              <w:pStyle w:val="BodyText"/>
              <w:ind w:left="0"/>
              <w:rPr>
                <w:rFonts w:asciiTheme="minorHAnsi" w:hAnsiTheme="minorHAnsi" w:cstheme="minorHAnsi"/>
                <w:b w:val="0"/>
                <w:bCs w:val="0"/>
                <w:sz w:val="20"/>
                <w:szCs w:val="20"/>
              </w:rPr>
            </w:pPr>
            <w:r w:rsidRPr="008219C1">
              <w:rPr>
                <w:rFonts w:asciiTheme="minorHAnsi" w:hAnsiTheme="minorHAnsi" w:cstheme="minorHAnsi"/>
                <w:b w:val="0"/>
                <w:bCs w:val="0"/>
                <w:sz w:val="20"/>
                <w:szCs w:val="20"/>
              </w:rPr>
              <w:t>DLR 9.2: By December 31, 2021, BT publishes on its website key quarterly operational data and unaudited financial statement for 2020</w:t>
            </w:r>
          </w:p>
        </w:tc>
        <w:tc>
          <w:tcPr>
            <w:tcW w:w="1890" w:type="dxa"/>
          </w:tcPr>
          <w:p w14:paraId="2635D46E" w14:textId="7ACACFE0" w:rsidR="008219C1" w:rsidRPr="00D17C5B" w:rsidRDefault="00D17C5B"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1,000,000</w:t>
            </w:r>
          </w:p>
        </w:tc>
        <w:tc>
          <w:tcPr>
            <w:tcW w:w="1620" w:type="dxa"/>
          </w:tcPr>
          <w:p w14:paraId="7A234CE9" w14:textId="09C701D0" w:rsidR="008219C1" w:rsidRPr="00A37F87" w:rsidRDefault="00A37F8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w:t>
            </w:r>
          </w:p>
        </w:tc>
      </w:tr>
      <w:tr w:rsidR="00A37F87" w:rsidRPr="008219C1" w14:paraId="25512543" w14:textId="77777777" w:rsidTr="00A64B72">
        <w:tc>
          <w:tcPr>
            <w:tcW w:w="2864" w:type="dxa"/>
          </w:tcPr>
          <w:p w14:paraId="3E8642C9"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50EE3A60" w14:textId="11F5B8F8" w:rsidR="008219C1" w:rsidRPr="008219C1" w:rsidRDefault="008219C1" w:rsidP="002E58D8">
            <w:pPr>
              <w:pStyle w:val="BodyText"/>
              <w:ind w:left="0"/>
              <w:rPr>
                <w:rFonts w:asciiTheme="minorHAnsi" w:hAnsiTheme="minorHAnsi" w:cstheme="minorHAnsi"/>
                <w:b w:val="0"/>
                <w:bCs w:val="0"/>
                <w:sz w:val="20"/>
                <w:szCs w:val="20"/>
              </w:rPr>
            </w:pPr>
            <w:r w:rsidRPr="008219C1">
              <w:rPr>
                <w:rFonts w:asciiTheme="minorHAnsi" w:hAnsiTheme="minorHAnsi" w:cstheme="minorHAnsi"/>
                <w:b w:val="0"/>
                <w:bCs w:val="0"/>
                <w:sz w:val="20"/>
                <w:szCs w:val="20"/>
              </w:rPr>
              <w:t xml:space="preserve">DLR 9.3: By December 31, 2022, BT, SIB, and STB publish on their websites key quarterly operational data and unaudited financial statements for 2021 </w:t>
            </w:r>
            <w:r w:rsidRPr="008219C1">
              <w:rPr>
                <w:rFonts w:asciiTheme="minorHAnsi" w:hAnsiTheme="minorHAnsi" w:cstheme="minorHAnsi"/>
                <w:b w:val="0"/>
                <w:bCs w:val="0"/>
                <w:i/>
                <w:iCs/>
                <w:sz w:val="20"/>
                <w:szCs w:val="20"/>
              </w:rPr>
              <w:t>(revised</w:t>
            </w:r>
            <w:r w:rsidR="005E582D">
              <w:rPr>
                <w:rFonts w:asciiTheme="minorHAnsi" w:hAnsiTheme="minorHAnsi" w:cstheme="minorHAnsi"/>
                <w:b w:val="0"/>
                <w:bCs w:val="0"/>
                <w:i/>
                <w:iCs/>
                <w:sz w:val="20"/>
                <w:szCs w:val="20"/>
              </w:rPr>
              <w:t xml:space="preserve"> and increased allocation</w:t>
            </w:r>
            <w:r w:rsidRPr="008219C1">
              <w:rPr>
                <w:rFonts w:asciiTheme="minorHAnsi" w:hAnsiTheme="minorHAnsi" w:cstheme="minorHAnsi"/>
                <w:b w:val="0"/>
                <w:bCs w:val="0"/>
                <w:i/>
                <w:iCs/>
                <w:sz w:val="20"/>
                <w:szCs w:val="20"/>
              </w:rPr>
              <w:t>)</w:t>
            </w:r>
          </w:p>
        </w:tc>
        <w:tc>
          <w:tcPr>
            <w:tcW w:w="1890" w:type="dxa"/>
          </w:tcPr>
          <w:p w14:paraId="5E425049" w14:textId="358F1812" w:rsidR="008219C1" w:rsidRPr="00D17C5B" w:rsidRDefault="00D17C5B"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1,000,000</w:t>
            </w:r>
          </w:p>
        </w:tc>
        <w:tc>
          <w:tcPr>
            <w:tcW w:w="1620" w:type="dxa"/>
          </w:tcPr>
          <w:p w14:paraId="310EF170" w14:textId="0F4CC94B" w:rsidR="008219C1" w:rsidRPr="00A37F87" w:rsidRDefault="00A37F8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400,000</w:t>
            </w:r>
          </w:p>
        </w:tc>
      </w:tr>
      <w:tr w:rsidR="00A37F87" w:rsidRPr="008219C1" w14:paraId="2E668745" w14:textId="77777777" w:rsidTr="00A64B72">
        <w:tc>
          <w:tcPr>
            <w:tcW w:w="2864" w:type="dxa"/>
          </w:tcPr>
          <w:p w14:paraId="350F516F"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3A52B575" w14:textId="362587A7" w:rsidR="008219C1" w:rsidRPr="008219C1" w:rsidRDefault="008219C1" w:rsidP="002E58D8">
            <w:pPr>
              <w:pStyle w:val="BodyText"/>
              <w:ind w:left="0"/>
              <w:rPr>
                <w:rFonts w:asciiTheme="minorHAnsi" w:hAnsiTheme="minorHAnsi" w:cstheme="minorHAnsi"/>
                <w:b w:val="0"/>
                <w:bCs w:val="0"/>
                <w:sz w:val="20"/>
                <w:szCs w:val="20"/>
              </w:rPr>
            </w:pPr>
            <w:r w:rsidRPr="008219C1">
              <w:rPr>
                <w:rFonts w:asciiTheme="minorHAnsi" w:hAnsiTheme="minorHAnsi" w:cstheme="minorHAnsi"/>
                <w:b w:val="0"/>
                <w:bCs w:val="0"/>
                <w:sz w:val="20"/>
                <w:szCs w:val="20"/>
              </w:rPr>
              <w:t xml:space="preserve">DLR 9.4: By December 31, 2023, BT, SIB, and STB publish on their websites key quarterly operational data and unaudited financial statements for 2022 </w:t>
            </w:r>
            <w:r w:rsidRPr="008219C1">
              <w:rPr>
                <w:rFonts w:asciiTheme="minorHAnsi" w:hAnsiTheme="minorHAnsi" w:cstheme="minorHAnsi"/>
                <w:b w:val="0"/>
                <w:bCs w:val="0"/>
                <w:i/>
                <w:iCs/>
                <w:sz w:val="20"/>
                <w:szCs w:val="20"/>
              </w:rPr>
              <w:t>(revised</w:t>
            </w:r>
            <w:r w:rsidR="005E582D">
              <w:rPr>
                <w:rFonts w:asciiTheme="minorHAnsi" w:hAnsiTheme="minorHAnsi" w:cstheme="minorHAnsi"/>
                <w:b w:val="0"/>
                <w:bCs w:val="0"/>
                <w:i/>
                <w:iCs/>
                <w:sz w:val="20"/>
                <w:szCs w:val="20"/>
              </w:rPr>
              <w:t xml:space="preserve"> and increased allocation</w:t>
            </w:r>
            <w:r w:rsidRPr="008219C1">
              <w:rPr>
                <w:rFonts w:asciiTheme="minorHAnsi" w:hAnsiTheme="minorHAnsi" w:cstheme="minorHAnsi"/>
                <w:b w:val="0"/>
                <w:bCs w:val="0"/>
                <w:i/>
                <w:iCs/>
                <w:sz w:val="20"/>
                <w:szCs w:val="20"/>
              </w:rPr>
              <w:t>)</w:t>
            </w:r>
          </w:p>
        </w:tc>
        <w:tc>
          <w:tcPr>
            <w:tcW w:w="1890" w:type="dxa"/>
          </w:tcPr>
          <w:p w14:paraId="12082B5D" w14:textId="585461A2" w:rsidR="008219C1" w:rsidRPr="00D17C5B" w:rsidRDefault="00D17C5B"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1,000,000</w:t>
            </w:r>
          </w:p>
        </w:tc>
        <w:tc>
          <w:tcPr>
            <w:tcW w:w="1620" w:type="dxa"/>
          </w:tcPr>
          <w:p w14:paraId="5E744ACD" w14:textId="56ECC62E" w:rsidR="008219C1" w:rsidRPr="00A37F87" w:rsidRDefault="00A37F8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100,000</w:t>
            </w:r>
          </w:p>
        </w:tc>
      </w:tr>
      <w:tr w:rsidR="00A37F87" w:rsidRPr="008219C1" w14:paraId="43674B36" w14:textId="77777777" w:rsidTr="00A64B72">
        <w:tc>
          <w:tcPr>
            <w:tcW w:w="2864" w:type="dxa"/>
          </w:tcPr>
          <w:p w14:paraId="2E603204"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29674477" w14:textId="40270C39" w:rsidR="008219C1" w:rsidRPr="008219C1" w:rsidRDefault="008219C1" w:rsidP="002E58D8">
            <w:pPr>
              <w:pStyle w:val="BodyText"/>
              <w:ind w:left="0"/>
              <w:rPr>
                <w:rFonts w:asciiTheme="minorHAnsi" w:hAnsiTheme="minorHAnsi" w:cstheme="minorHAnsi"/>
                <w:b w:val="0"/>
                <w:bCs w:val="0"/>
                <w:sz w:val="20"/>
                <w:szCs w:val="20"/>
              </w:rPr>
            </w:pPr>
            <w:r w:rsidRPr="008219C1">
              <w:rPr>
                <w:rFonts w:asciiTheme="minorHAnsi" w:hAnsiTheme="minorHAnsi" w:cstheme="minorHAnsi"/>
                <w:b w:val="0"/>
                <w:bCs w:val="0"/>
                <w:sz w:val="20"/>
                <w:szCs w:val="20"/>
              </w:rPr>
              <w:t xml:space="preserve">DLR 9.5: By December 31, 2024, BT, SIB, and </w:t>
            </w:r>
            <w:r w:rsidRPr="008219C1">
              <w:rPr>
                <w:rFonts w:asciiTheme="minorHAnsi" w:hAnsiTheme="minorHAnsi" w:cstheme="minorHAnsi"/>
                <w:b w:val="0"/>
                <w:bCs w:val="0"/>
                <w:sz w:val="20"/>
                <w:szCs w:val="20"/>
              </w:rPr>
              <w:lastRenderedPageBreak/>
              <w:t xml:space="preserve">STB publish on their websites key quarterly operational data and unaudited financial statements for 2023 </w:t>
            </w:r>
            <w:r w:rsidRPr="008219C1">
              <w:rPr>
                <w:rFonts w:asciiTheme="minorHAnsi" w:hAnsiTheme="minorHAnsi" w:cstheme="minorHAnsi"/>
                <w:b w:val="0"/>
                <w:bCs w:val="0"/>
                <w:i/>
                <w:iCs/>
                <w:sz w:val="20"/>
                <w:szCs w:val="20"/>
              </w:rPr>
              <w:t>(revised</w:t>
            </w:r>
            <w:r w:rsidR="005E582D">
              <w:rPr>
                <w:rFonts w:asciiTheme="minorHAnsi" w:hAnsiTheme="minorHAnsi" w:cstheme="minorHAnsi"/>
                <w:b w:val="0"/>
                <w:bCs w:val="0"/>
                <w:i/>
                <w:iCs/>
                <w:sz w:val="20"/>
                <w:szCs w:val="20"/>
              </w:rPr>
              <w:t xml:space="preserve"> and increased allocation</w:t>
            </w:r>
            <w:r w:rsidRPr="008219C1">
              <w:rPr>
                <w:rFonts w:asciiTheme="minorHAnsi" w:hAnsiTheme="minorHAnsi" w:cstheme="minorHAnsi"/>
                <w:b w:val="0"/>
                <w:bCs w:val="0"/>
                <w:i/>
                <w:iCs/>
                <w:sz w:val="20"/>
                <w:szCs w:val="20"/>
              </w:rPr>
              <w:t>)</w:t>
            </w:r>
          </w:p>
        </w:tc>
        <w:tc>
          <w:tcPr>
            <w:tcW w:w="1890" w:type="dxa"/>
          </w:tcPr>
          <w:p w14:paraId="79BA4C5D" w14:textId="42C98AAB" w:rsidR="008219C1" w:rsidRPr="00D17C5B" w:rsidRDefault="00D17C5B"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lastRenderedPageBreak/>
              <w:t>500,000</w:t>
            </w:r>
          </w:p>
        </w:tc>
        <w:tc>
          <w:tcPr>
            <w:tcW w:w="1620" w:type="dxa"/>
          </w:tcPr>
          <w:p w14:paraId="7B108265" w14:textId="1AD9A9C9" w:rsidR="008219C1" w:rsidRPr="00A37F87" w:rsidRDefault="00A37F8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100,000</w:t>
            </w:r>
          </w:p>
        </w:tc>
      </w:tr>
      <w:tr w:rsidR="00A37F87" w:rsidRPr="008219C1" w14:paraId="533BE978" w14:textId="77777777" w:rsidTr="00A64B72">
        <w:tc>
          <w:tcPr>
            <w:tcW w:w="2864" w:type="dxa"/>
          </w:tcPr>
          <w:p w14:paraId="6CBD2D75"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18706E43" w14:textId="6D6B282E" w:rsidR="008219C1" w:rsidRPr="008219C1" w:rsidRDefault="008219C1" w:rsidP="00A64B72">
            <w:pPr>
              <w:pStyle w:val="BodyText"/>
              <w:ind w:left="0"/>
              <w:rPr>
                <w:rFonts w:asciiTheme="minorHAnsi" w:hAnsiTheme="minorHAnsi" w:cstheme="minorHAnsi"/>
                <w:b w:val="0"/>
                <w:bCs w:val="0"/>
                <w:sz w:val="20"/>
                <w:szCs w:val="20"/>
              </w:rPr>
            </w:pPr>
            <w:r w:rsidRPr="008219C1">
              <w:rPr>
                <w:rFonts w:asciiTheme="minorHAnsi" w:hAnsiTheme="minorHAnsi" w:cstheme="minorHAnsi"/>
                <w:b w:val="0"/>
                <w:bCs w:val="0"/>
                <w:sz w:val="20"/>
                <w:szCs w:val="20"/>
              </w:rPr>
              <w:t xml:space="preserve">DLR 9.6: By December 31, 2025, BT, SIB, and STB publish on their websites key quarterly operational data and unaudited financial statements for 2024 </w:t>
            </w:r>
            <w:r w:rsidRPr="008219C1">
              <w:rPr>
                <w:rFonts w:asciiTheme="minorHAnsi" w:hAnsiTheme="minorHAnsi" w:cstheme="minorHAnsi"/>
                <w:b w:val="0"/>
                <w:bCs w:val="0"/>
                <w:i/>
                <w:iCs/>
                <w:sz w:val="20"/>
                <w:szCs w:val="20"/>
              </w:rPr>
              <w:t>(revised</w:t>
            </w:r>
            <w:r w:rsidR="005E582D">
              <w:rPr>
                <w:rFonts w:asciiTheme="minorHAnsi" w:hAnsiTheme="minorHAnsi" w:cstheme="minorHAnsi"/>
                <w:b w:val="0"/>
                <w:bCs w:val="0"/>
                <w:i/>
                <w:iCs/>
                <w:sz w:val="20"/>
                <w:szCs w:val="20"/>
              </w:rPr>
              <w:t xml:space="preserve"> and increased allocation</w:t>
            </w:r>
            <w:r w:rsidRPr="008219C1">
              <w:rPr>
                <w:rFonts w:asciiTheme="minorHAnsi" w:hAnsiTheme="minorHAnsi" w:cstheme="minorHAnsi"/>
                <w:b w:val="0"/>
                <w:bCs w:val="0"/>
                <w:i/>
                <w:iCs/>
                <w:sz w:val="20"/>
                <w:szCs w:val="20"/>
              </w:rPr>
              <w:t>)</w:t>
            </w:r>
          </w:p>
        </w:tc>
        <w:tc>
          <w:tcPr>
            <w:tcW w:w="1890" w:type="dxa"/>
          </w:tcPr>
          <w:p w14:paraId="2C42CD84" w14:textId="649AD070" w:rsidR="008219C1" w:rsidRPr="00D17C5B" w:rsidRDefault="00D17C5B"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500,000</w:t>
            </w:r>
          </w:p>
        </w:tc>
        <w:tc>
          <w:tcPr>
            <w:tcW w:w="1620" w:type="dxa"/>
          </w:tcPr>
          <w:p w14:paraId="19D31E3E" w14:textId="0C5E7788" w:rsidR="008219C1" w:rsidRPr="00A37F87" w:rsidRDefault="00A37F8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50,000</w:t>
            </w:r>
          </w:p>
        </w:tc>
      </w:tr>
      <w:tr w:rsidR="00A37F87" w:rsidRPr="008219C1" w14:paraId="711D8169" w14:textId="77777777" w:rsidTr="00A64B72">
        <w:tc>
          <w:tcPr>
            <w:tcW w:w="2864" w:type="dxa"/>
          </w:tcPr>
          <w:p w14:paraId="3C787C3B"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1D3B8E68" w14:textId="3DF4B1A3" w:rsidR="008219C1" w:rsidRPr="008219C1" w:rsidRDefault="008219C1" w:rsidP="002E58D8">
            <w:pPr>
              <w:pStyle w:val="BodyText"/>
              <w:ind w:left="0"/>
              <w:rPr>
                <w:rFonts w:asciiTheme="minorHAnsi" w:hAnsiTheme="minorHAnsi" w:cstheme="minorHAnsi"/>
                <w:b w:val="0"/>
                <w:bCs w:val="0"/>
                <w:sz w:val="20"/>
                <w:szCs w:val="20"/>
              </w:rPr>
            </w:pPr>
            <w:r w:rsidRPr="008219C1">
              <w:rPr>
                <w:rFonts w:asciiTheme="minorHAnsi" w:hAnsiTheme="minorHAnsi" w:cstheme="minorHAnsi"/>
                <w:b w:val="0"/>
                <w:bCs w:val="0"/>
                <w:sz w:val="20"/>
                <w:szCs w:val="20"/>
              </w:rPr>
              <w:t xml:space="preserve">DLR 9.7: By December 31, 2026, BT, SIB, and STB publish on their websites key quarterly operational data and unaudited financial statements for 2025 </w:t>
            </w:r>
            <w:r w:rsidRPr="008219C1">
              <w:rPr>
                <w:rFonts w:asciiTheme="minorHAnsi" w:hAnsiTheme="minorHAnsi" w:cstheme="minorHAnsi"/>
                <w:b w:val="0"/>
                <w:bCs w:val="0"/>
                <w:i/>
                <w:iCs/>
                <w:sz w:val="20"/>
                <w:szCs w:val="20"/>
              </w:rPr>
              <w:t>(new)</w:t>
            </w:r>
          </w:p>
        </w:tc>
        <w:tc>
          <w:tcPr>
            <w:tcW w:w="1890" w:type="dxa"/>
          </w:tcPr>
          <w:p w14:paraId="10D2DCB6" w14:textId="14E0E5F6" w:rsidR="008219C1" w:rsidRPr="00D17C5B" w:rsidRDefault="00D17C5B"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w:t>
            </w:r>
          </w:p>
        </w:tc>
        <w:tc>
          <w:tcPr>
            <w:tcW w:w="1620" w:type="dxa"/>
          </w:tcPr>
          <w:p w14:paraId="0469FD0D" w14:textId="0F716C02" w:rsidR="008219C1" w:rsidRPr="00A37F87" w:rsidRDefault="00A37F8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50,000</w:t>
            </w:r>
          </w:p>
        </w:tc>
      </w:tr>
      <w:tr w:rsidR="00A37F87" w:rsidRPr="008219C1" w14:paraId="5BE6068B" w14:textId="77777777" w:rsidTr="00A64B72">
        <w:tc>
          <w:tcPr>
            <w:tcW w:w="2864" w:type="dxa"/>
          </w:tcPr>
          <w:p w14:paraId="13FA8100"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2FD5FA08" w14:textId="2BB079D1" w:rsidR="008219C1" w:rsidRPr="008219C1" w:rsidRDefault="008219C1" w:rsidP="002E58D8">
            <w:pPr>
              <w:pStyle w:val="BodyText"/>
              <w:ind w:left="0"/>
              <w:rPr>
                <w:rFonts w:asciiTheme="minorHAnsi" w:hAnsiTheme="minorHAnsi" w:cstheme="minorHAnsi"/>
                <w:b w:val="0"/>
                <w:bCs w:val="0"/>
                <w:sz w:val="20"/>
                <w:szCs w:val="20"/>
              </w:rPr>
            </w:pPr>
            <w:r w:rsidRPr="008219C1">
              <w:rPr>
                <w:rFonts w:asciiTheme="minorHAnsi" w:hAnsiTheme="minorHAnsi" w:cstheme="minorHAnsi"/>
                <w:b w:val="0"/>
                <w:bCs w:val="0"/>
                <w:sz w:val="20"/>
                <w:szCs w:val="20"/>
              </w:rPr>
              <w:t xml:space="preserve">DLR 9.8: By December 31, 2027, BT, SIB, and STB publish on their websites key quarterly operational data and unaudited financial statements for 2026 </w:t>
            </w:r>
            <w:r w:rsidRPr="008219C1">
              <w:rPr>
                <w:rFonts w:asciiTheme="minorHAnsi" w:hAnsiTheme="minorHAnsi" w:cstheme="minorHAnsi"/>
                <w:b w:val="0"/>
                <w:bCs w:val="0"/>
                <w:i/>
                <w:iCs/>
                <w:sz w:val="20"/>
                <w:szCs w:val="20"/>
              </w:rPr>
              <w:t>(new)</w:t>
            </w:r>
          </w:p>
        </w:tc>
        <w:tc>
          <w:tcPr>
            <w:tcW w:w="1890" w:type="dxa"/>
          </w:tcPr>
          <w:p w14:paraId="3EE5C439" w14:textId="06B0174C" w:rsidR="008219C1" w:rsidRPr="00D17C5B" w:rsidRDefault="00D17C5B"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w:t>
            </w:r>
          </w:p>
        </w:tc>
        <w:tc>
          <w:tcPr>
            <w:tcW w:w="1620" w:type="dxa"/>
          </w:tcPr>
          <w:p w14:paraId="0FA584D8" w14:textId="11803E5B" w:rsidR="008219C1" w:rsidRPr="00A37F87" w:rsidRDefault="00A37F8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50,000</w:t>
            </w:r>
          </w:p>
        </w:tc>
      </w:tr>
      <w:tr w:rsidR="00A37F87" w:rsidRPr="008219C1" w14:paraId="517E3E1D" w14:textId="77777777" w:rsidTr="00A64B72">
        <w:tc>
          <w:tcPr>
            <w:tcW w:w="2864" w:type="dxa"/>
          </w:tcPr>
          <w:p w14:paraId="2295E58E"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2F28EAF3" w14:textId="23655A74" w:rsidR="008219C1" w:rsidRPr="008219C1" w:rsidRDefault="008219C1" w:rsidP="002E58D8">
            <w:pPr>
              <w:pStyle w:val="BodyText"/>
              <w:ind w:left="0"/>
              <w:rPr>
                <w:rFonts w:asciiTheme="minorHAnsi" w:hAnsiTheme="minorHAnsi" w:cstheme="minorHAnsi"/>
                <w:b w:val="0"/>
                <w:bCs w:val="0"/>
                <w:sz w:val="20"/>
                <w:szCs w:val="20"/>
              </w:rPr>
            </w:pPr>
            <w:r w:rsidRPr="008219C1">
              <w:rPr>
                <w:rFonts w:asciiTheme="minorHAnsi" w:hAnsiTheme="minorHAnsi" w:cstheme="minorHAnsi"/>
                <w:b w:val="0"/>
                <w:bCs w:val="0"/>
                <w:sz w:val="20"/>
                <w:szCs w:val="20"/>
              </w:rPr>
              <w:t xml:space="preserve">DLR 9.9: By December 31, 2028, BT, SIB, and STB publish on their websites key quarterly operational data and unaudited financial statements for 2027 </w:t>
            </w:r>
            <w:r w:rsidRPr="008219C1">
              <w:rPr>
                <w:rFonts w:asciiTheme="minorHAnsi" w:hAnsiTheme="minorHAnsi" w:cstheme="minorHAnsi"/>
                <w:b w:val="0"/>
                <w:bCs w:val="0"/>
                <w:i/>
                <w:iCs/>
                <w:sz w:val="20"/>
                <w:szCs w:val="20"/>
              </w:rPr>
              <w:t>(new)</w:t>
            </w:r>
          </w:p>
        </w:tc>
        <w:tc>
          <w:tcPr>
            <w:tcW w:w="1890" w:type="dxa"/>
          </w:tcPr>
          <w:p w14:paraId="4FCA4238" w14:textId="70166EFF" w:rsidR="008219C1" w:rsidRPr="00D17C5B" w:rsidRDefault="00D17C5B"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w:t>
            </w:r>
          </w:p>
        </w:tc>
        <w:tc>
          <w:tcPr>
            <w:tcW w:w="1620" w:type="dxa"/>
          </w:tcPr>
          <w:p w14:paraId="1D5B454C" w14:textId="2DA11676" w:rsidR="008219C1" w:rsidRPr="00A37F87" w:rsidRDefault="00A37F8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50,000</w:t>
            </w:r>
          </w:p>
        </w:tc>
      </w:tr>
      <w:tr w:rsidR="00A37F87" w:rsidRPr="008219C1" w14:paraId="488C39E6" w14:textId="77777777" w:rsidTr="00A64B72">
        <w:tc>
          <w:tcPr>
            <w:tcW w:w="2864" w:type="dxa"/>
          </w:tcPr>
          <w:p w14:paraId="7321BFA4"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58BB4FB8" w14:textId="4327D986" w:rsidR="008219C1" w:rsidRPr="008219C1" w:rsidRDefault="008219C1" w:rsidP="002E58D8">
            <w:pPr>
              <w:pStyle w:val="BodyText"/>
              <w:ind w:left="0"/>
              <w:rPr>
                <w:rFonts w:asciiTheme="minorHAnsi" w:hAnsiTheme="minorHAnsi" w:cstheme="minorHAnsi"/>
                <w:b w:val="0"/>
                <w:bCs w:val="0"/>
                <w:sz w:val="20"/>
                <w:szCs w:val="20"/>
              </w:rPr>
            </w:pPr>
            <w:r w:rsidRPr="008219C1">
              <w:rPr>
                <w:rFonts w:asciiTheme="minorHAnsi" w:hAnsiTheme="minorHAnsi" w:cstheme="minorHAnsi"/>
                <w:b w:val="0"/>
                <w:bCs w:val="0"/>
                <w:sz w:val="20"/>
                <w:szCs w:val="20"/>
              </w:rPr>
              <w:t xml:space="preserve">DLR 9.10: By December 31, 2029, BT, SIB, and STB publish on their websites key quarterly operational data and unaudited financial statements for 2028 </w:t>
            </w:r>
            <w:r w:rsidRPr="008219C1">
              <w:rPr>
                <w:rFonts w:asciiTheme="minorHAnsi" w:hAnsiTheme="minorHAnsi" w:cstheme="minorHAnsi"/>
                <w:b w:val="0"/>
                <w:bCs w:val="0"/>
                <w:i/>
                <w:iCs/>
                <w:sz w:val="20"/>
                <w:szCs w:val="20"/>
              </w:rPr>
              <w:t>(new)</w:t>
            </w:r>
          </w:p>
        </w:tc>
        <w:tc>
          <w:tcPr>
            <w:tcW w:w="1890" w:type="dxa"/>
          </w:tcPr>
          <w:p w14:paraId="24EE1917" w14:textId="70FCF7EF" w:rsidR="008219C1" w:rsidRPr="00D17C5B" w:rsidRDefault="00D17C5B"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w:t>
            </w:r>
          </w:p>
        </w:tc>
        <w:tc>
          <w:tcPr>
            <w:tcW w:w="1620" w:type="dxa"/>
          </w:tcPr>
          <w:p w14:paraId="5D4559A0" w14:textId="07478CB3" w:rsidR="008219C1" w:rsidRPr="00A37F87" w:rsidRDefault="00A37F8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50,000</w:t>
            </w:r>
          </w:p>
        </w:tc>
      </w:tr>
      <w:tr w:rsidR="00A37F87" w:rsidRPr="008219C1" w14:paraId="67707246" w14:textId="77777777" w:rsidTr="00A64B72">
        <w:tc>
          <w:tcPr>
            <w:tcW w:w="2864" w:type="dxa"/>
          </w:tcPr>
          <w:p w14:paraId="4696002D" w14:textId="77777777" w:rsidR="008219C1" w:rsidRPr="008219C1" w:rsidRDefault="008219C1" w:rsidP="00A64B72">
            <w:pPr>
              <w:pStyle w:val="BodyText"/>
              <w:ind w:left="979"/>
              <w:rPr>
                <w:rFonts w:asciiTheme="minorHAnsi" w:hAnsiTheme="minorHAnsi" w:cstheme="minorHAnsi"/>
                <w:sz w:val="20"/>
                <w:szCs w:val="20"/>
              </w:rPr>
            </w:pPr>
          </w:p>
        </w:tc>
        <w:tc>
          <w:tcPr>
            <w:tcW w:w="4066" w:type="dxa"/>
          </w:tcPr>
          <w:p w14:paraId="01DECE41" w14:textId="4BB5213A" w:rsidR="008219C1" w:rsidRPr="008219C1" w:rsidRDefault="008219C1" w:rsidP="002E58D8">
            <w:pPr>
              <w:pStyle w:val="BodyText"/>
              <w:ind w:left="0"/>
              <w:rPr>
                <w:rFonts w:asciiTheme="minorHAnsi" w:hAnsiTheme="minorHAnsi" w:cstheme="minorHAnsi"/>
                <w:b w:val="0"/>
                <w:bCs w:val="0"/>
                <w:sz w:val="20"/>
                <w:szCs w:val="20"/>
              </w:rPr>
            </w:pPr>
            <w:r w:rsidRPr="008219C1">
              <w:rPr>
                <w:rFonts w:asciiTheme="minorHAnsi" w:hAnsiTheme="minorHAnsi" w:cstheme="minorHAnsi"/>
                <w:b w:val="0"/>
                <w:bCs w:val="0"/>
                <w:sz w:val="20"/>
                <w:szCs w:val="20"/>
              </w:rPr>
              <w:t xml:space="preserve">DLR 9.11: By December 31, 2030, BT, SIB, and STB publish on their websites key quarterly operational data and unaudited financial statements for 2029 </w:t>
            </w:r>
            <w:r w:rsidRPr="008219C1">
              <w:rPr>
                <w:rFonts w:asciiTheme="minorHAnsi" w:hAnsiTheme="minorHAnsi" w:cstheme="minorHAnsi"/>
                <w:b w:val="0"/>
                <w:bCs w:val="0"/>
                <w:i/>
                <w:iCs/>
                <w:sz w:val="20"/>
                <w:szCs w:val="20"/>
              </w:rPr>
              <w:t>(new)</w:t>
            </w:r>
          </w:p>
        </w:tc>
        <w:tc>
          <w:tcPr>
            <w:tcW w:w="1890" w:type="dxa"/>
          </w:tcPr>
          <w:p w14:paraId="5B9B42BE" w14:textId="2CE74EEE" w:rsidR="008219C1" w:rsidRPr="00D17C5B" w:rsidRDefault="00D17C5B"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w:t>
            </w:r>
          </w:p>
        </w:tc>
        <w:tc>
          <w:tcPr>
            <w:tcW w:w="1620" w:type="dxa"/>
          </w:tcPr>
          <w:p w14:paraId="6E5C5687" w14:textId="38285365" w:rsidR="008219C1" w:rsidRPr="00A37F87" w:rsidRDefault="00A37F87" w:rsidP="00A37F87">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50,000</w:t>
            </w:r>
          </w:p>
        </w:tc>
      </w:tr>
      <w:tr w:rsidR="00A37F87" w:rsidRPr="008219C1" w14:paraId="738C3F08" w14:textId="77777777" w:rsidTr="00A64B72">
        <w:tc>
          <w:tcPr>
            <w:tcW w:w="2864" w:type="dxa"/>
          </w:tcPr>
          <w:p w14:paraId="38198A40" w14:textId="243C090C" w:rsidR="008219C1" w:rsidRPr="009D28AD" w:rsidRDefault="008219C1" w:rsidP="009D28AD">
            <w:pPr>
              <w:pStyle w:val="BodyText"/>
              <w:ind w:left="0"/>
              <w:rPr>
                <w:rFonts w:asciiTheme="minorHAnsi" w:hAnsiTheme="minorHAnsi" w:cstheme="minorHAnsi"/>
                <w:sz w:val="20"/>
                <w:szCs w:val="20"/>
              </w:rPr>
            </w:pPr>
            <w:r w:rsidRPr="008219C1">
              <w:rPr>
                <w:rFonts w:asciiTheme="minorHAnsi" w:hAnsiTheme="minorHAnsi" w:cstheme="minorHAnsi"/>
                <w:sz w:val="20"/>
                <w:szCs w:val="20"/>
              </w:rPr>
              <w:t>DLI #10: Reduction of Electricity Sector costs</w:t>
            </w:r>
            <w:r w:rsidR="009D28AD">
              <w:rPr>
                <w:rFonts w:asciiTheme="minorHAnsi" w:hAnsiTheme="minorHAnsi" w:cstheme="minorHAnsi"/>
                <w:sz w:val="20"/>
                <w:szCs w:val="20"/>
              </w:rPr>
              <w:t xml:space="preserve"> </w:t>
            </w:r>
            <w:r w:rsidRPr="008219C1">
              <w:rPr>
                <w:rFonts w:asciiTheme="minorHAnsi" w:hAnsiTheme="minorHAnsi" w:cstheme="minorHAnsi"/>
                <w:i/>
                <w:iCs/>
                <w:sz w:val="20"/>
                <w:szCs w:val="20"/>
              </w:rPr>
              <w:t>(new)</w:t>
            </w:r>
          </w:p>
        </w:tc>
        <w:tc>
          <w:tcPr>
            <w:tcW w:w="4066" w:type="dxa"/>
          </w:tcPr>
          <w:p w14:paraId="217A0739" w14:textId="523926FC" w:rsidR="008219C1" w:rsidRPr="00693F83" w:rsidRDefault="00693F83" w:rsidP="00693F83">
            <w:pPr>
              <w:pStyle w:val="BodyText"/>
              <w:ind w:left="0"/>
              <w:rPr>
                <w:rFonts w:asciiTheme="minorHAnsi" w:hAnsiTheme="minorHAnsi" w:cstheme="minorHAnsi"/>
                <w:b w:val="0"/>
                <w:bCs w:val="0"/>
                <w:sz w:val="20"/>
                <w:szCs w:val="20"/>
              </w:rPr>
            </w:pPr>
            <w:r w:rsidRPr="00693F83">
              <w:rPr>
                <w:rFonts w:asciiTheme="minorHAnsi" w:hAnsiTheme="minorHAnsi" w:cstheme="minorHAnsi"/>
                <w:b w:val="0"/>
                <w:bCs w:val="0"/>
                <w:sz w:val="20"/>
                <w:szCs w:val="20"/>
              </w:rPr>
              <w:t>DLR 10.1: By December 31, 2022,</w:t>
            </w:r>
            <w:r w:rsidR="006748A2">
              <w:rPr>
                <w:rFonts w:asciiTheme="minorHAnsi" w:hAnsiTheme="minorHAnsi" w:cstheme="minorHAnsi"/>
                <w:b w:val="0"/>
                <w:bCs w:val="0"/>
                <w:sz w:val="20"/>
                <w:szCs w:val="20"/>
              </w:rPr>
              <w:t xml:space="preserve"> (a) BT purchases fuel oil through international competitive process; and (b)</w:t>
            </w:r>
            <w:r w:rsidRPr="00693F83">
              <w:rPr>
                <w:rFonts w:asciiTheme="minorHAnsi" w:hAnsiTheme="minorHAnsi" w:cstheme="minorHAnsi"/>
                <w:b w:val="0"/>
                <w:bCs w:val="0"/>
                <w:sz w:val="20"/>
                <w:szCs w:val="20"/>
              </w:rPr>
              <w:t xml:space="preserve"> BT</w:t>
            </w:r>
            <w:r w:rsidR="00216F25">
              <w:rPr>
                <w:rFonts w:asciiTheme="minorHAnsi" w:hAnsiTheme="minorHAnsi" w:cstheme="minorHAnsi"/>
                <w:b w:val="0"/>
                <w:bCs w:val="0"/>
                <w:sz w:val="20"/>
                <w:szCs w:val="20"/>
              </w:rPr>
              <w:t>’s stock of fuel oil does not exceed the level required for emergency supply of heat</w:t>
            </w:r>
          </w:p>
        </w:tc>
        <w:tc>
          <w:tcPr>
            <w:tcW w:w="1890" w:type="dxa"/>
          </w:tcPr>
          <w:p w14:paraId="6173D8C4" w14:textId="5F5671F0" w:rsidR="008219C1" w:rsidRPr="00D17C5B" w:rsidRDefault="00D17C5B" w:rsidP="00D17C5B">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w:t>
            </w:r>
          </w:p>
        </w:tc>
        <w:tc>
          <w:tcPr>
            <w:tcW w:w="1620" w:type="dxa"/>
          </w:tcPr>
          <w:p w14:paraId="344FC6D9" w14:textId="3762B5DB" w:rsidR="008219C1" w:rsidRPr="00A37F87" w:rsidRDefault="00A14EDB" w:rsidP="00A37F87">
            <w:pPr>
              <w:pStyle w:val="BodyText"/>
              <w:ind w:left="0"/>
              <w:jc w:val="center"/>
              <w:rPr>
                <w:rFonts w:asciiTheme="minorHAnsi" w:hAnsiTheme="minorHAnsi" w:cstheme="minorHAnsi"/>
                <w:b w:val="0"/>
                <w:bCs w:val="0"/>
                <w:sz w:val="20"/>
                <w:szCs w:val="20"/>
              </w:rPr>
            </w:pPr>
            <w:r>
              <w:rPr>
                <w:rFonts w:asciiTheme="minorHAnsi" w:hAnsiTheme="minorHAnsi" w:cstheme="minorHAnsi"/>
                <w:b w:val="0"/>
                <w:bCs w:val="0"/>
                <w:sz w:val="20"/>
                <w:szCs w:val="20"/>
              </w:rPr>
              <w:t>7</w:t>
            </w:r>
            <w:r w:rsidR="00A37F87" w:rsidRPr="00A37F87">
              <w:rPr>
                <w:rFonts w:asciiTheme="minorHAnsi" w:hAnsiTheme="minorHAnsi" w:cstheme="minorHAnsi"/>
                <w:b w:val="0"/>
                <w:bCs w:val="0"/>
                <w:sz w:val="20"/>
                <w:szCs w:val="20"/>
              </w:rPr>
              <w:t>,000,000</w:t>
            </w:r>
          </w:p>
        </w:tc>
      </w:tr>
      <w:tr w:rsidR="00693F83" w:rsidRPr="008219C1" w14:paraId="576DA8EE" w14:textId="77777777" w:rsidTr="00A64B72">
        <w:tc>
          <w:tcPr>
            <w:tcW w:w="2864" w:type="dxa"/>
          </w:tcPr>
          <w:p w14:paraId="665B0BB1" w14:textId="77777777" w:rsidR="00693F83" w:rsidRPr="008219C1" w:rsidRDefault="00693F83" w:rsidP="00693F83">
            <w:pPr>
              <w:pStyle w:val="BodyText"/>
              <w:ind w:left="979"/>
              <w:rPr>
                <w:rFonts w:asciiTheme="minorHAnsi" w:hAnsiTheme="minorHAnsi" w:cstheme="minorHAnsi"/>
                <w:sz w:val="20"/>
                <w:szCs w:val="20"/>
              </w:rPr>
            </w:pPr>
          </w:p>
        </w:tc>
        <w:tc>
          <w:tcPr>
            <w:tcW w:w="4066" w:type="dxa"/>
          </w:tcPr>
          <w:p w14:paraId="1D54160F" w14:textId="07E15784" w:rsidR="00693F83" w:rsidRPr="00693F83" w:rsidRDefault="00693F83" w:rsidP="00693F83">
            <w:pPr>
              <w:pStyle w:val="BodyText"/>
              <w:ind w:left="0"/>
              <w:rPr>
                <w:rFonts w:asciiTheme="minorHAnsi" w:hAnsiTheme="minorHAnsi" w:cstheme="minorHAnsi"/>
                <w:b w:val="0"/>
                <w:bCs w:val="0"/>
                <w:sz w:val="20"/>
                <w:szCs w:val="20"/>
              </w:rPr>
            </w:pPr>
            <w:r w:rsidRPr="00693F83">
              <w:rPr>
                <w:rFonts w:asciiTheme="minorHAnsi" w:hAnsiTheme="minorHAnsi" w:cstheme="minorHAnsi"/>
                <w:b w:val="0"/>
                <w:bCs w:val="0"/>
                <w:sz w:val="20"/>
                <w:szCs w:val="20"/>
              </w:rPr>
              <w:t xml:space="preserve">DLR 10.2: By December 31, 2023, (a) </w:t>
            </w:r>
            <w:r w:rsidR="006748A2">
              <w:rPr>
                <w:rFonts w:asciiTheme="minorHAnsi" w:hAnsiTheme="minorHAnsi" w:cstheme="minorHAnsi"/>
                <w:b w:val="0"/>
                <w:bCs w:val="0"/>
                <w:sz w:val="20"/>
                <w:szCs w:val="20"/>
              </w:rPr>
              <w:t xml:space="preserve">BT purchases fuel oil through international competitive process; (b) </w:t>
            </w:r>
            <w:r w:rsidR="00216F25">
              <w:rPr>
                <w:rFonts w:asciiTheme="minorHAnsi" w:hAnsiTheme="minorHAnsi" w:cstheme="minorHAnsi"/>
                <w:b w:val="0"/>
                <w:bCs w:val="0"/>
                <w:sz w:val="20"/>
                <w:szCs w:val="20"/>
              </w:rPr>
              <w:t>BT’s stock of fuel oil does not exceed the level required for emergency supply of heat</w:t>
            </w:r>
            <w:r w:rsidRPr="00693F83">
              <w:rPr>
                <w:rFonts w:asciiTheme="minorHAnsi" w:hAnsiTheme="minorHAnsi" w:cstheme="minorHAnsi"/>
                <w:b w:val="0"/>
                <w:bCs w:val="0"/>
                <w:sz w:val="20"/>
                <w:szCs w:val="20"/>
              </w:rPr>
              <w:t>; and (</w:t>
            </w:r>
            <w:r w:rsidR="006748A2">
              <w:rPr>
                <w:rFonts w:asciiTheme="minorHAnsi" w:hAnsiTheme="minorHAnsi" w:cstheme="minorHAnsi"/>
                <w:b w:val="0"/>
                <w:bCs w:val="0"/>
                <w:sz w:val="20"/>
                <w:szCs w:val="20"/>
              </w:rPr>
              <w:t>c</w:t>
            </w:r>
            <w:r w:rsidRPr="00693F83">
              <w:rPr>
                <w:rFonts w:asciiTheme="minorHAnsi" w:hAnsiTheme="minorHAnsi" w:cstheme="minorHAnsi"/>
                <w:b w:val="0"/>
                <w:bCs w:val="0"/>
                <w:sz w:val="20"/>
                <w:szCs w:val="20"/>
              </w:rPr>
              <w:t xml:space="preserve">) BT, SIB and STB reduce the costs of materials, services, and fixed asset maintenance by at least </w:t>
            </w:r>
            <w:r w:rsidR="00BF2C34">
              <w:rPr>
                <w:rFonts w:asciiTheme="minorHAnsi" w:hAnsiTheme="minorHAnsi" w:cstheme="minorHAnsi"/>
                <w:b w:val="0"/>
                <w:bCs w:val="0"/>
                <w:sz w:val="20"/>
                <w:szCs w:val="20"/>
              </w:rPr>
              <w:t>fifteen</w:t>
            </w:r>
            <w:r w:rsidRPr="00693F83">
              <w:rPr>
                <w:rFonts w:asciiTheme="minorHAnsi" w:hAnsiTheme="minorHAnsi" w:cstheme="minorHAnsi"/>
                <w:b w:val="0"/>
                <w:bCs w:val="0"/>
                <w:sz w:val="20"/>
                <w:szCs w:val="20"/>
              </w:rPr>
              <w:t xml:space="preserve"> (</w:t>
            </w:r>
            <w:r w:rsidR="00216F25">
              <w:rPr>
                <w:rFonts w:asciiTheme="minorHAnsi" w:hAnsiTheme="minorHAnsi" w:cstheme="minorHAnsi"/>
                <w:b w:val="0"/>
                <w:bCs w:val="0"/>
                <w:sz w:val="20"/>
                <w:szCs w:val="20"/>
              </w:rPr>
              <w:t>1</w:t>
            </w:r>
            <w:r w:rsidR="00D66ED1">
              <w:rPr>
                <w:rFonts w:asciiTheme="minorHAnsi" w:hAnsiTheme="minorHAnsi" w:cstheme="minorHAnsi"/>
                <w:b w:val="0"/>
                <w:bCs w:val="0"/>
                <w:sz w:val="20"/>
                <w:szCs w:val="20"/>
              </w:rPr>
              <w:t>5</w:t>
            </w:r>
            <w:r w:rsidRPr="00693F83">
              <w:rPr>
                <w:rFonts w:asciiTheme="minorHAnsi" w:hAnsiTheme="minorHAnsi" w:cstheme="minorHAnsi"/>
                <w:b w:val="0"/>
                <w:bCs w:val="0"/>
                <w:sz w:val="20"/>
                <w:szCs w:val="20"/>
              </w:rPr>
              <w:t>) percent</w:t>
            </w:r>
            <w:r w:rsidR="00216F25">
              <w:rPr>
                <w:rFonts w:asciiTheme="minorHAnsi" w:hAnsiTheme="minorHAnsi" w:cstheme="minorHAnsi"/>
                <w:b w:val="0"/>
                <w:bCs w:val="0"/>
                <w:sz w:val="20"/>
                <w:szCs w:val="20"/>
              </w:rPr>
              <w:t>, five (5) percent, and ten (10) percent</w:t>
            </w:r>
            <w:r w:rsidRPr="00693F83">
              <w:rPr>
                <w:rFonts w:asciiTheme="minorHAnsi" w:hAnsiTheme="minorHAnsi" w:cstheme="minorHAnsi"/>
                <w:b w:val="0"/>
                <w:bCs w:val="0"/>
                <w:sz w:val="20"/>
                <w:szCs w:val="20"/>
              </w:rPr>
              <w:t xml:space="preserve"> each compared to the same costs in 2022</w:t>
            </w:r>
          </w:p>
        </w:tc>
        <w:tc>
          <w:tcPr>
            <w:tcW w:w="1890" w:type="dxa"/>
          </w:tcPr>
          <w:p w14:paraId="3DDEFDF7" w14:textId="2135E5BC" w:rsidR="00693F83" w:rsidRPr="00D17C5B" w:rsidRDefault="00693F83" w:rsidP="00693F83">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w:t>
            </w:r>
          </w:p>
        </w:tc>
        <w:tc>
          <w:tcPr>
            <w:tcW w:w="1620" w:type="dxa"/>
          </w:tcPr>
          <w:p w14:paraId="2EC1AF45" w14:textId="330FAF43" w:rsidR="00693F83" w:rsidRPr="00A37F87" w:rsidRDefault="00693F83" w:rsidP="00693F83">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7,000,000</w:t>
            </w:r>
          </w:p>
        </w:tc>
      </w:tr>
      <w:tr w:rsidR="00693F83" w:rsidRPr="008219C1" w14:paraId="77117DCC" w14:textId="77777777" w:rsidTr="00A64B72">
        <w:tc>
          <w:tcPr>
            <w:tcW w:w="2864" w:type="dxa"/>
          </w:tcPr>
          <w:p w14:paraId="24F69B83" w14:textId="77777777" w:rsidR="00693F83" w:rsidRPr="008219C1" w:rsidRDefault="00693F83" w:rsidP="00693F83">
            <w:pPr>
              <w:pStyle w:val="BodyText"/>
              <w:ind w:left="979"/>
              <w:rPr>
                <w:rFonts w:asciiTheme="minorHAnsi" w:hAnsiTheme="minorHAnsi" w:cstheme="minorHAnsi"/>
                <w:sz w:val="20"/>
                <w:szCs w:val="20"/>
              </w:rPr>
            </w:pPr>
          </w:p>
        </w:tc>
        <w:tc>
          <w:tcPr>
            <w:tcW w:w="4066" w:type="dxa"/>
          </w:tcPr>
          <w:p w14:paraId="01468624" w14:textId="04CD8920" w:rsidR="00693F83" w:rsidRPr="00693F83" w:rsidRDefault="00693F83" w:rsidP="00693F83">
            <w:pPr>
              <w:pStyle w:val="BodyText"/>
              <w:ind w:left="0"/>
              <w:rPr>
                <w:rFonts w:asciiTheme="minorHAnsi" w:hAnsiTheme="minorHAnsi" w:cstheme="minorHAnsi"/>
                <w:b w:val="0"/>
                <w:bCs w:val="0"/>
                <w:sz w:val="20"/>
                <w:szCs w:val="20"/>
              </w:rPr>
            </w:pPr>
            <w:r w:rsidRPr="00693F83">
              <w:rPr>
                <w:rFonts w:asciiTheme="minorHAnsi" w:hAnsiTheme="minorHAnsi" w:cstheme="minorHAnsi"/>
                <w:b w:val="0"/>
                <w:bCs w:val="0"/>
                <w:sz w:val="20"/>
                <w:szCs w:val="20"/>
              </w:rPr>
              <w:t xml:space="preserve">DLR 10.3: By December 31, 2024, </w:t>
            </w:r>
            <w:r w:rsidR="006748A2" w:rsidRPr="00693F83">
              <w:rPr>
                <w:rFonts w:asciiTheme="minorHAnsi" w:hAnsiTheme="minorHAnsi" w:cstheme="minorHAnsi"/>
                <w:b w:val="0"/>
                <w:bCs w:val="0"/>
                <w:sz w:val="20"/>
                <w:szCs w:val="20"/>
              </w:rPr>
              <w:t xml:space="preserve">(a) </w:t>
            </w:r>
            <w:r w:rsidR="006748A2">
              <w:rPr>
                <w:rFonts w:asciiTheme="minorHAnsi" w:hAnsiTheme="minorHAnsi" w:cstheme="minorHAnsi"/>
                <w:b w:val="0"/>
                <w:bCs w:val="0"/>
                <w:sz w:val="20"/>
                <w:szCs w:val="20"/>
              </w:rPr>
              <w:t xml:space="preserve">BT purchases fuel oil through international competitive process; (b) BT’s stock of fuel oil </w:t>
            </w:r>
            <w:r w:rsidR="006748A2">
              <w:rPr>
                <w:rFonts w:asciiTheme="minorHAnsi" w:hAnsiTheme="minorHAnsi" w:cstheme="minorHAnsi"/>
                <w:b w:val="0"/>
                <w:bCs w:val="0"/>
                <w:sz w:val="20"/>
                <w:szCs w:val="20"/>
              </w:rPr>
              <w:lastRenderedPageBreak/>
              <w:t>does not exceed the level required for emergency supply of heat</w:t>
            </w:r>
            <w:r w:rsidRPr="00693F83">
              <w:rPr>
                <w:rFonts w:asciiTheme="minorHAnsi" w:hAnsiTheme="minorHAnsi" w:cstheme="minorHAnsi"/>
                <w:b w:val="0"/>
                <w:bCs w:val="0"/>
                <w:sz w:val="20"/>
                <w:szCs w:val="20"/>
              </w:rPr>
              <w:t>; and (</w:t>
            </w:r>
            <w:r w:rsidR="006748A2">
              <w:rPr>
                <w:rFonts w:asciiTheme="minorHAnsi" w:hAnsiTheme="minorHAnsi" w:cstheme="minorHAnsi"/>
                <w:b w:val="0"/>
                <w:bCs w:val="0"/>
                <w:sz w:val="20"/>
                <w:szCs w:val="20"/>
              </w:rPr>
              <w:t>c</w:t>
            </w:r>
            <w:r w:rsidRPr="00693F83">
              <w:rPr>
                <w:rFonts w:asciiTheme="minorHAnsi" w:hAnsiTheme="minorHAnsi" w:cstheme="minorHAnsi"/>
                <w:b w:val="0"/>
                <w:bCs w:val="0"/>
                <w:sz w:val="20"/>
                <w:szCs w:val="20"/>
              </w:rPr>
              <w:t>) the costs of materials</w:t>
            </w:r>
            <w:r w:rsidRPr="00693F83">
              <w:rPr>
                <w:rFonts w:asciiTheme="minorHAnsi" w:hAnsiTheme="minorHAnsi" w:cstheme="minorHAnsi"/>
                <w:sz w:val="20"/>
                <w:szCs w:val="20"/>
              </w:rPr>
              <w:t>,</w:t>
            </w:r>
            <w:r w:rsidRPr="00693F83">
              <w:rPr>
                <w:rFonts w:asciiTheme="minorHAnsi" w:hAnsiTheme="minorHAnsi" w:cstheme="minorHAnsi"/>
                <w:b w:val="0"/>
                <w:bCs w:val="0"/>
                <w:sz w:val="20"/>
                <w:szCs w:val="20"/>
              </w:rPr>
              <w:t xml:space="preserve"> services, and fixed asset maintenance of BT, SIB, and STB do not exceed their respective 2023 levels adjusted by the annual 2024 inflation</w:t>
            </w:r>
          </w:p>
        </w:tc>
        <w:tc>
          <w:tcPr>
            <w:tcW w:w="1890" w:type="dxa"/>
          </w:tcPr>
          <w:p w14:paraId="0994BA45" w14:textId="1A9A0554" w:rsidR="00693F83" w:rsidRPr="00D17C5B" w:rsidRDefault="00693F83" w:rsidP="00693F83">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lastRenderedPageBreak/>
              <w:t>-</w:t>
            </w:r>
          </w:p>
        </w:tc>
        <w:tc>
          <w:tcPr>
            <w:tcW w:w="1620" w:type="dxa"/>
          </w:tcPr>
          <w:p w14:paraId="29BA9C78" w14:textId="5397FF5A" w:rsidR="00693F83" w:rsidRPr="00A37F87" w:rsidRDefault="00A14EDB" w:rsidP="00693F83">
            <w:pPr>
              <w:pStyle w:val="BodyText"/>
              <w:ind w:left="0"/>
              <w:jc w:val="center"/>
              <w:rPr>
                <w:rFonts w:asciiTheme="minorHAnsi" w:hAnsiTheme="minorHAnsi" w:cstheme="minorHAnsi"/>
                <w:b w:val="0"/>
                <w:bCs w:val="0"/>
                <w:sz w:val="20"/>
                <w:szCs w:val="20"/>
              </w:rPr>
            </w:pPr>
            <w:r>
              <w:rPr>
                <w:rFonts w:asciiTheme="minorHAnsi" w:hAnsiTheme="minorHAnsi" w:cstheme="minorHAnsi"/>
                <w:b w:val="0"/>
                <w:bCs w:val="0"/>
                <w:sz w:val="20"/>
                <w:szCs w:val="20"/>
              </w:rPr>
              <w:t>1</w:t>
            </w:r>
            <w:r w:rsidR="00693F83" w:rsidRPr="00A37F87">
              <w:rPr>
                <w:rFonts w:asciiTheme="minorHAnsi" w:hAnsiTheme="minorHAnsi" w:cstheme="minorHAnsi"/>
                <w:b w:val="0"/>
                <w:bCs w:val="0"/>
                <w:sz w:val="20"/>
                <w:szCs w:val="20"/>
              </w:rPr>
              <w:t>,000,000</w:t>
            </w:r>
          </w:p>
        </w:tc>
      </w:tr>
      <w:tr w:rsidR="00693F83" w:rsidRPr="008219C1" w14:paraId="6D8C307B" w14:textId="77777777" w:rsidTr="00A64B72">
        <w:tc>
          <w:tcPr>
            <w:tcW w:w="2864" w:type="dxa"/>
          </w:tcPr>
          <w:p w14:paraId="7513E744" w14:textId="77777777" w:rsidR="00693F83" w:rsidRPr="008219C1" w:rsidRDefault="00693F83" w:rsidP="00693F83">
            <w:pPr>
              <w:pStyle w:val="BodyText"/>
              <w:ind w:left="979"/>
              <w:rPr>
                <w:rFonts w:asciiTheme="minorHAnsi" w:hAnsiTheme="minorHAnsi" w:cstheme="minorHAnsi"/>
                <w:sz w:val="20"/>
                <w:szCs w:val="20"/>
              </w:rPr>
            </w:pPr>
          </w:p>
        </w:tc>
        <w:tc>
          <w:tcPr>
            <w:tcW w:w="4066" w:type="dxa"/>
          </w:tcPr>
          <w:p w14:paraId="592CB8F1" w14:textId="736E17B8" w:rsidR="00693F83" w:rsidRPr="00693F83" w:rsidRDefault="00693F83" w:rsidP="00693F83">
            <w:pPr>
              <w:pStyle w:val="BodyText"/>
              <w:ind w:left="0"/>
              <w:rPr>
                <w:rFonts w:asciiTheme="minorHAnsi" w:hAnsiTheme="minorHAnsi" w:cstheme="minorHAnsi"/>
                <w:b w:val="0"/>
                <w:bCs w:val="0"/>
                <w:sz w:val="20"/>
                <w:szCs w:val="20"/>
              </w:rPr>
            </w:pPr>
            <w:r w:rsidRPr="00693F83">
              <w:rPr>
                <w:rFonts w:asciiTheme="minorHAnsi" w:hAnsiTheme="minorHAnsi" w:cstheme="minorHAnsi"/>
                <w:b w:val="0"/>
                <w:bCs w:val="0"/>
                <w:sz w:val="20"/>
                <w:szCs w:val="20"/>
              </w:rPr>
              <w:t xml:space="preserve">DLR 10.4: By December 31, 2025, </w:t>
            </w:r>
            <w:r w:rsidR="006748A2" w:rsidRPr="00693F83">
              <w:rPr>
                <w:rFonts w:asciiTheme="minorHAnsi" w:hAnsiTheme="minorHAnsi" w:cstheme="minorHAnsi"/>
                <w:b w:val="0"/>
                <w:bCs w:val="0"/>
                <w:sz w:val="20"/>
                <w:szCs w:val="20"/>
              </w:rPr>
              <w:t xml:space="preserve">(a) </w:t>
            </w:r>
            <w:r w:rsidR="006748A2">
              <w:rPr>
                <w:rFonts w:asciiTheme="minorHAnsi" w:hAnsiTheme="minorHAnsi" w:cstheme="minorHAnsi"/>
                <w:b w:val="0"/>
                <w:bCs w:val="0"/>
                <w:sz w:val="20"/>
                <w:szCs w:val="20"/>
              </w:rPr>
              <w:t>BT purchases fuel oil through international competitive process; (b) BT’s stock of fuel oil does not exceed the level required for emergency supply of heat</w:t>
            </w:r>
            <w:r w:rsidRPr="00693F83">
              <w:rPr>
                <w:rFonts w:asciiTheme="minorHAnsi" w:hAnsiTheme="minorHAnsi" w:cstheme="minorHAnsi"/>
                <w:b w:val="0"/>
                <w:bCs w:val="0"/>
                <w:sz w:val="20"/>
                <w:szCs w:val="20"/>
              </w:rPr>
              <w:t>; and (</w:t>
            </w:r>
            <w:r w:rsidR="006748A2">
              <w:rPr>
                <w:rFonts w:asciiTheme="minorHAnsi" w:hAnsiTheme="minorHAnsi" w:cstheme="minorHAnsi"/>
                <w:b w:val="0"/>
                <w:bCs w:val="0"/>
                <w:sz w:val="20"/>
                <w:szCs w:val="20"/>
              </w:rPr>
              <w:t>c</w:t>
            </w:r>
            <w:r w:rsidRPr="00693F83">
              <w:rPr>
                <w:rFonts w:asciiTheme="minorHAnsi" w:hAnsiTheme="minorHAnsi" w:cstheme="minorHAnsi"/>
                <w:b w:val="0"/>
                <w:bCs w:val="0"/>
                <w:sz w:val="20"/>
                <w:szCs w:val="20"/>
              </w:rPr>
              <w:t>) the costs materials</w:t>
            </w:r>
            <w:r w:rsidRPr="00693F83">
              <w:rPr>
                <w:rFonts w:asciiTheme="minorHAnsi" w:hAnsiTheme="minorHAnsi" w:cstheme="minorHAnsi"/>
                <w:sz w:val="20"/>
                <w:szCs w:val="20"/>
              </w:rPr>
              <w:t>,</w:t>
            </w:r>
            <w:r w:rsidRPr="00693F83">
              <w:rPr>
                <w:rFonts w:asciiTheme="minorHAnsi" w:hAnsiTheme="minorHAnsi" w:cstheme="minorHAnsi"/>
                <w:b w:val="0"/>
                <w:bCs w:val="0"/>
                <w:sz w:val="20"/>
                <w:szCs w:val="20"/>
              </w:rPr>
              <w:t xml:space="preserve"> services, and fixed asset maintenance of BT, SIB, and STB do not exceed the 2024 levels adjusted by the annual 2025 inflation</w:t>
            </w:r>
          </w:p>
        </w:tc>
        <w:tc>
          <w:tcPr>
            <w:tcW w:w="1890" w:type="dxa"/>
          </w:tcPr>
          <w:p w14:paraId="23BFEABE" w14:textId="03438204" w:rsidR="00693F83" w:rsidRPr="00D17C5B" w:rsidRDefault="00693F83" w:rsidP="00693F83">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w:t>
            </w:r>
          </w:p>
        </w:tc>
        <w:tc>
          <w:tcPr>
            <w:tcW w:w="1620" w:type="dxa"/>
          </w:tcPr>
          <w:p w14:paraId="149D31CD" w14:textId="489D3BD6" w:rsidR="00693F83" w:rsidRPr="00A37F87" w:rsidRDefault="00693F83" w:rsidP="00693F83">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1,000,000</w:t>
            </w:r>
          </w:p>
        </w:tc>
      </w:tr>
      <w:tr w:rsidR="00693F83" w:rsidRPr="008219C1" w14:paraId="39810DE4" w14:textId="77777777" w:rsidTr="00A64B72">
        <w:tc>
          <w:tcPr>
            <w:tcW w:w="2864" w:type="dxa"/>
          </w:tcPr>
          <w:p w14:paraId="362CC290" w14:textId="77777777" w:rsidR="00693F83" w:rsidRPr="008219C1" w:rsidRDefault="00693F83" w:rsidP="00693F83">
            <w:pPr>
              <w:pStyle w:val="BodyText"/>
              <w:ind w:left="979"/>
              <w:rPr>
                <w:rFonts w:asciiTheme="minorHAnsi" w:hAnsiTheme="minorHAnsi" w:cstheme="minorHAnsi"/>
                <w:sz w:val="20"/>
                <w:szCs w:val="20"/>
              </w:rPr>
            </w:pPr>
          </w:p>
        </w:tc>
        <w:tc>
          <w:tcPr>
            <w:tcW w:w="4066" w:type="dxa"/>
          </w:tcPr>
          <w:p w14:paraId="6604A94D" w14:textId="1AE93620" w:rsidR="00693F83" w:rsidRPr="00693F83" w:rsidRDefault="00693F83" w:rsidP="00693F83">
            <w:pPr>
              <w:pStyle w:val="BodyText"/>
              <w:ind w:left="0"/>
              <w:rPr>
                <w:rFonts w:asciiTheme="minorHAnsi" w:hAnsiTheme="minorHAnsi" w:cstheme="minorHAnsi"/>
                <w:b w:val="0"/>
                <w:bCs w:val="0"/>
                <w:sz w:val="20"/>
                <w:szCs w:val="20"/>
              </w:rPr>
            </w:pPr>
            <w:r w:rsidRPr="00693F83">
              <w:rPr>
                <w:rFonts w:asciiTheme="minorHAnsi" w:hAnsiTheme="minorHAnsi" w:cstheme="minorHAnsi"/>
                <w:b w:val="0"/>
                <w:bCs w:val="0"/>
                <w:sz w:val="20"/>
                <w:szCs w:val="20"/>
              </w:rPr>
              <w:t xml:space="preserve">DLR 10.5: By December 31, 2026, </w:t>
            </w:r>
            <w:r w:rsidR="006748A2" w:rsidRPr="00693F83">
              <w:rPr>
                <w:rFonts w:asciiTheme="minorHAnsi" w:hAnsiTheme="minorHAnsi" w:cstheme="minorHAnsi"/>
                <w:b w:val="0"/>
                <w:bCs w:val="0"/>
                <w:sz w:val="20"/>
                <w:szCs w:val="20"/>
              </w:rPr>
              <w:t xml:space="preserve">(a) </w:t>
            </w:r>
            <w:r w:rsidR="006748A2">
              <w:rPr>
                <w:rFonts w:asciiTheme="minorHAnsi" w:hAnsiTheme="minorHAnsi" w:cstheme="minorHAnsi"/>
                <w:b w:val="0"/>
                <w:bCs w:val="0"/>
                <w:sz w:val="20"/>
                <w:szCs w:val="20"/>
              </w:rPr>
              <w:t>BT purchases fuel oil through international competitive process; (b) BT’s stock of fuel oil does not exceed the level required for emergency supply of heat</w:t>
            </w:r>
            <w:r w:rsidRPr="00693F83">
              <w:rPr>
                <w:rFonts w:asciiTheme="minorHAnsi" w:hAnsiTheme="minorHAnsi" w:cstheme="minorHAnsi"/>
                <w:b w:val="0"/>
                <w:bCs w:val="0"/>
                <w:sz w:val="20"/>
                <w:szCs w:val="20"/>
              </w:rPr>
              <w:t>; and (</w:t>
            </w:r>
            <w:r w:rsidR="006748A2">
              <w:rPr>
                <w:rFonts w:asciiTheme="minorHAnsi" w:hAnsiTheme="minorHAnsi" w:cstheme="minorHAnsi"/>
                <w:b w:val="0"/>
                <w:bCs w:val="0"/>
                <w:sz w:val="20"/>
                <w:szCs w:val="20"/>
              </w:rPr>
              <w:t>c</w:t>
            </w:r>
            <w:r w:rsidRPr="00693F83">
              <w:rPr>
                <w:rFonts w:asciiTheme="minorHAnsi" w:hAnsiTheme="minorHAnsi" w:cstheme="minorHAnsi"/>
                <w:b w:val="0"/>
                <w:bCs w:val="0"/>
                <w:sz w:val="20"/>
                <w:szCs w:val="20"/>
              </w:rPr>
              <w:t>) the costs of materials</w:t>
            </w:r>
            <w:r w:rsidRPr="00693F83">
              <w:rPr>
                <w:rFonts w:asciiTheme="minorHAnsi" w:hAnsiTheme="minorHAnsi" w:cstheme="minorHAnsi"/>
                <w:sz w:val="20"/>
                <w:szCs w:val="20"/>
              </w:rPr>
              <w:t>,</w:t>
            </w:r>
            <w:r w:rsidRPr="00693F83">
              <w:rPr>
                <w:rFonts w:asciiTheme="minorHAnsi" w:hAnsiTheme="minorHAnsi" w:cstheme="minorHAnsi"/>
                <w:b w:val="0"/>
                <w:bCs w:val="0"/>
                <w:sz w:val="20"/>
                <w:szCs w:val="20"/>
              </w:rPr>
              <w:t xml:space="preserve"> services, and fixed asset maintenance of BT, SIB, and STB do not exceed their respective 2025 levels adjusted by the annual 2026 inflation</w:t>
            </w:r>
          </w:p>
        </w:tc>
        <w:tc>
          <w:tcPr>
            <w:tcW w:w="1890" w:type="dxa"/>
          </w:tcPr>
          <w:p w14:paraId="5BDFEB47" w14:textId="48FDC853" w:rsidR="00693F83" w:rsidRPr="00D17C5B" w:rsidRDefault="00693F83" w:rsidP="00693F83">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w:t>
            </w:r>
          </w:p>
        </w:tc>
        <w:tc>
          <w:tcPr>
            <w:tcW w:w="1620" w:type="dxa"/>
          </w:tcPr>
          <w:p w14:paraId="3851E9BF" w14:textId="66517194" w:rsidR="00693F83" w:rsidRPr="00A37F87" w:rsidRDefault="00693F83" w:rsidP="00693F83">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1,000,000</w:t>
            </w:r>
          </w:p>
        </w:tc>
      </w:tr>
      <w:tr w:rsidR="00693F83" w:rsidRPr="008219C1" w14:paraId="4E747A3D" w14:textId="77777777" w:rsidTr="00A64B72">
        <w:tc>
          <w:tcPr>
            <w:tcW w:w="2864" w:type="dxa"/>
          </w:tcPr>
          <w:p w14:paraId="26FEC4F0" w14:textId="77777777" w:rsidR="00693F83" w:rsidRPr="008219C1" w:rsidRDefault="00693F83" w:rsidP="00693F83">
            <w:pPr>
              <w:pStyle w:val="BodyText"/>
              <w:ind w:left="979"/>
              <w:rPr>
                <w:rFonts w:asciiTheme="minorHAnsi" w:hAnsiTheme="minorHAnsi" w:cstheme="minorHAnsi"/>
                <w:sz w:val="20"/>
                <w:szCs w:val="20"/>
              </w:rPr>
            </w:pPr>
          </w:p>
        </w:tc>
        <w:tc>
          <w:tcPr>
            <w:tcW w:w="4066" w:type="dxa"/>
          </w:tcPr>
          <w:p w14:paraId="2821D688" w14:textId="74A814C8" w:rsidR="00693F83" w:rsidRPr="00693F83" w:rsidRDefault="00693F83" w:rsidP="00693F83">
            <w:pPr>
              <w:pStyle w:val="BodyText"/>
              <w:ind w:left="0"/>
              <w:rPr>
                <w:rFonts w:asciiTheme="minorHAnsi" w:hAnsiTheme="minorHAnsi" w:cstheme="minorHAnsi"/>
                <w:b w:val="0"/>
                <w:bCs w:val="0"/>
                <w:sz w:val="20"/>
                <w:szCs w:val="20"/>
              </w:rPr>
            </w:pPr>
            <w:r w:rsidRPr="00693F83">
              <w:rPr>
                <w:rFonts w:asciiTheme="minorHAnsi" w:hAnsiTheme="minorHAnsi" w:cstheme="minorHAnsi"/>
                <w:b w:val="0"/>
                <w:bCs w:val="0"/>
                <w:sz w:val="20"/>
                <w:szCs w:val="20"/>
              </w:rPr>
              <w:t xml:space="preserve">DLR 10.6: By December 31, 2027, </w:t>
            </w:r>
            <w:r w:rsidR="006748A2" w:rsidRPr="00693F83">
              <w:rPr>
                <w:rFonts w:asciiTheme="minorHAnsi" w:hAnsiTheme="minorHAnsi" w:cstheme="minorHAnsi"/>
                <w:b w:val="0"/>
                <w:bCs w:val="0"/>
                <w:sz w:val="20"/>
                <w:szCs w:val="20"/>
              </w:rPr>
              <w:t xml:space="preserve">(a) </w:t>
            </w:r>
            <w:r w:rsidR="006748A2">
              <w:rPr>
                <w:rFonts w:asciiTheme="minorHAnsi" w:hAnsiTheme="minorHAnsi" w:cstheme="minorHAnsi"/>
                <w:b w:val="0"/>
                <w:bCs w:val="0"/>
                <w:sz w:val="20"/>
                <w:szCs w:val="20"/>
              </w:rPr>
              <w:t>BT purchases fuel oil through international competitive process; (b) BT’s stock of fuel oil does not exceed the level required for emergency supply of heat</w:t>
            </w:r>
            <w:r w:rsidRPr="00693F83">
              <w:rPr>
                <w:rFonts w:asciiTheme="minorHAnsi" w:hAnsiTheme="minorHAnsi" w:cstheme="minorHAnsi"/>
                <w:b w:val="0"/>
                <w:bCs w:val="0"/>
                <w:sz w:val="20"/>
                <w:szCs w:val="20"/>
              </w:rPr>
              <w:t>; and (</w:t>
            </w:r>
            <w:r w:rsidR="006748A2">
              <w:rPr>
                <w:rFonts w:asciiTheme="minorHAnsi" w:hAnsiTheme="minorHAnsi" w:cstheme="minorHAnsi"/>
                <w:b w:val="0"/>
                <w:bCs w:val="0"/>
                <w:sz w:val="20"/>
                <w:szCs w:val="20"/>
              </w:rPr>
              <w:t>c</w:t>
            </w:r>
            <w:r w:rsidRPr="00693F83">
              <w:rPr>
                <w:rFonts w:asciiTheme="minorHAnsi" w:hAnsiTheme="minorHAnsi" w:cstheme="minorHAnsi"/>
                <w:b w:val="0"/>
                <w:bCs w:val="0"/>
                <w:sz w:val="20"/>
                <w:szCs w:val="20"/>
              </w:rPr>
              <w:t>) the costs of materials</w:t>
            </w:r>
            <w:r w:rsidRPr="00693F83">
              <w:rPr>
                <w:rFonts w:asciiTheme="minorHAnsi" w:hAnsiTheme="minorHAnsi" w:cstheme="minorHAnsi"/>
                <w:sz w:val="20"/>
                <w:szCs w:val="20"/>
              </w:rPr>
              <w:t xml:space="preserve">, </w:t>
            </w:r>
            <w:r w:rsidRPr="00693F83">
              <w:rPr>
                <w:rFonts w:asciiTheme="minorHAnsi" w:hAnsiTheme="minorHAnsi" w:cstheme="minorHAnsi"/>
                <w:b w:val="0"/>
                <w:bCs w:val="0"/>
                <w:sz w:val="20"/>
                <w:szCs w:val="20"/>
              </w:rPr>
              <w:t>services, and fixed asset maintenance of BT, SIB, and STB do not exceed their respective 2026 levels adjusted by the annual 2027 inflation</w:t>
            </w:r>
          </w:p>
        </w:tc>
        <w:tc>
          <w:tcPr>
            <w:tcW w:w="1890" w:type="dxa"/>
          </w:tcPr>
          <w:p w14:paraId="352FEB9C" w14:textId="0807FB06" w:rsidR="00693F83" w:rsidRPr="00D17C5B" w:rsidRDefault="00693F83" w:rsidP="00693F83">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w:t>
            </w:r>
          </w:p>
        </w:tc>
        <w:tc>
          <w:tcPr>
            <w:tcW w:w="1620" w:type="dxa"/>
          </w:tcPr>
          <w:p w14:paraId="0A6E8F19" w14:textId="26082473" w:rsidR="00693F83" w:rsidRPr="00A37F87" w:rsidRDefault="00693F83" w:rsidP="00693F83">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500,000</w:t>
            </w:r>
          </w:p>
        </w:tc>
      </w:tr>
      <w:tr w:rsidR="00693F83" w:rsidRPr="008219C1" w14:paraId="515F4DD7" w14:textId="77777777" w:rsidTr="00A64B72">
        <w:tc>
          <w:tcPr>
            <w:tcW w:w="2864" w:type="dxa"/>
          </w:tcPr>
          <w:p w14:paraId="65824CED" w14:textId="77777777" w:rsidR="00693F83" w:rsidRPr="008219C1" w:rsidRDefault="00693F83" w:rsidP="00693F83">
            <w:pPr>
              <w:pStyle w:val="BodyText"/>
              <w:ind w:left="979"/>
              <w:rPr>
                <w:rFonts w:asciiTheme="minorHAnsi" w:hAnsiTheme="minorHAnsi" w:cstheme="minorHAnsi"/>
                <w:sz w:val="20"/>
                <w:szCs w:val="20"/>
              </w:rPr>
            </w:pPr>
          </w:p>
        </w:tc>
        <w:tc>
          <w:tcPr>
            <w:tcW w:w="4066" w:type="dxa"/>
          </w:tcPr>
          <w:p w14:paraId="44EE675B" w14:textId="282857A9" w:rsidR="00693F83" w:rsidRPr="00693F83" w:rsidRDefault="00693F83" w:rsidP="00693F83">
            <w:pPr>
              <w:pStyle w:val="BodyText"/>
              <w:ind w:left="0"/>
              <w:rPr>
                <w:rFonts w:asciiTheme="minorHAnsi" w:hAnsiTheme="minorHAnsi" w:cstheme="minorHAnsi"/>
                <w:b w:val="0"/>
                <w:bCs w:val="0"/>
                <w:sz w:val="20"/>
                <w:szCs w:val="20"/>
              </w:rPr>
            </w:pPr>
            <w:r w:rsidRPr="00693F83">
              <w:rPr>
                <w:rFonts w:asciiTheme="minorHAnsi" w:hAnsiTheme="minorHAnsi" w:cstheme="minorHAnsi"/>
                <w:b w:val="0"/>
                <w:bCs w:val="0"/>
                <w:sz w:val="20"/>
                <w:szCs w:val="20"/>
              </w:rPr>
              <w:t xml:space="preserve">DLR 10.7: By December 31, 2028, </w:t>
            </w:r>
            <w:r w:rsidR="006748A2" w:rsidRPr="00693F83">
              <w:rPr>
                <w:rFonts w:asciiTheme="minorHAnsi" w:hAnsiTheme="minorHAnsi" w:cstheme="minorHAnsi"/>
                <w:b w:val="0"/>
                <w:bCs w:val="0"/>
                <w:sz w:val="20"/>
                <w:szCs w:val="20"/>
              </w:rPr>
              <w:t xml:space="preserve">(a) </w:t>
            </w:r>
            <w:r w:rsidR="006748A2">
              <w:rPr>
                <w:rFonts w:asciiTheme="minorHAnsi" w:hAnsiTheme="minorHAnsi" w:cstheme="minorHAnsi"/>
                <w:b w:val="0"/>
                <w:bCs w:val="0"/>
                <w:sz w:val="20"/>
                <w:szCs w:val="20"/>
              </w:rPr>
              <w:t>BT purchases fuel oil through international competitive process; (b) BT’s stock of fuel oil does not exceed the level required for emergency supply of heat</w:t>
            </w:r>
            <w:r w:rsidRPr="00693F83">
              <w:rPr>
                <w:rFonts w:asciiTheme="minorHAnsi" w:hAnsiTheme="minorHAnsi" w:cstheme="minorHAnsi"/>
                <w:b w:val="0"/>
                <w:bCs w:val="0"/>
                <w:sz w:val="20"/>
                <w:szCs w:val="20"/>
              </w:rPr>
              <w:t>; and (</w:t>
            </w:r>
            <w:r w:rsidR="006748A2">
              <w:rPr>
                <w:rFonts w:asciiTheme="minorHAnsi" w:hAnsiTheme="minorHAnsi" w:cstheme="minorHAnsi"/>
                <w:b w:val="0"/>
                <w:bCs w:val="0"/>
                <w:sz w:val="20"/>
                <w:szCs w:val="20"/>
              </w:rPr>
              <w:t>c</w:t>
            </w:r>
            <w:r w:rsidRPr="00693F83">
              <w:rPr>
                <w:rFonts w:asciiTheme="minorHAnsi" w:hAnsiTheme="minorHAnsi" w:cstheme="minorHAnsi"/>
                <w:b w:val="0"/>
                <w:bCs w:val="0"/>
                <w:sz w:val="20"/>
                <w:szCs w:val="20"/>
              </w:rPr>
              <w:t>) the costs of materials, services, and fixed asset maintenance of BT, SIB, and STB do not exceed their respective 2027 levels adjusted by the annual 2028 inflation</w:t>
            </w:r>
          </w:p>
        </w:tc>
        <w:tc>
          <w:tcPr>
            <w:tcW w:w="1890" w:type="dxa"/>
          </w:tcPr>
          <w:p w14:paraId="08FFF34A" w14:textId="61EE1074" w:rsidR="00693F83" w:rsidRPr="00D17C5B" w:rsidRDefault="00693F83" w:rsidP="00693F83">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w:t>
            </w:r>
          </w:p>
        </w:tc>
        <w:tc>
          <w:tcPr>
            <w:tcW w:w="1620" w:type="dxa"/>
          </w:tcPr>
          <w:p w14:paraId="5E252091" w14:textId="19A15EAB" w:rsidR="00693F83" w:rsidRPr="00A37F87" w:rsidRDefault="00693F83" w:rsidP="00693F83">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500,000</w:t>
            </w:r>
          </w:p>
        </w:tc>
      </w:tr>
      <w:tr w:rsidR="00693F83" w:rsidRPr="008219C1" w14:paraId="72C41D57" w14:textId="77777777" w:rsidTr="00A64B72">
        <w:tc>
          <w:tcPr>
            <w:tcW w:w="2864" w:type="dxa"/>
          </w:tcPr>
          <w:p w14:paraId="503A11EA" w14:textId="77777777" w:rsidR="00693F83" w:rsidRPr="008219C1" w:rsidRDefault="00693F83" w:rsidP="00693F83">
            <w:pPr>
              <w:pStyle w:val="BodyText"/>
              <w:ind w:left="979"/>
              <w:rPr>
                <w:rFonts w:asciiTheme="minorHAnsi" w:hAnsiTheme="minorHAnsi" w:cstheme="minorHAnsi"/>
                <w:sz w:val="20"/>
                <w:szCs w:val="20"/>
              </w:rPr>
            </w:pPr>
          </w:p>
        </w:tc>
        <w:tc>
          <w:tcPr>
            <w:tcW w:w="4066" w:type="dxa"/>
          </w:tcPr>
          <w:p w14:paraId="219E46B7" w14:textId="1F524BB2" w:rsidR="00693F83" w:rsidRPr="00693F83" w:rsidRDefault="00693F83" w:rsidP="00693F83">
            <w:pPr>
              <w:pStyle w:val="BodyText"/>
              <w:ind w:left="0"/>
              <w:rPr>
                <w:rFonts w:asciiTheme="minorHAnsi" w:hAnsiTheme="minorHAnsi" w:cstheme="minorHAnsi"/>
                <w:b w:val="0"/>
                <w:bCs w:val="0"/>
                <w:sz w:val="20"/>
                <w:szCs w:val="20"/>
              </w:rPr>
            </w:pPr>
            <w:r w:rsidRPr="00693F83">
              <w:rPr>
                <w:rFonts w:asciiTheme="minorHAnsi" w:hAnsiTheme="minorHAnsi" w:cstheme="minorHAnsi"/>
                <w:b w:val="0"/>
                <w:bCs w:val="0"/>
                <w:sz w:val="20"/>
                <w:szCs w:val="20"/>
              </w:rPr>
              <w:t xml:space="preserve">DLR 10.8: By December 31, 2029, </w:t>
            </w:r>
            <w:r w:rsidR="006748A2" w:rsidRPr="00693F83">
              <w:rPr>
                <w:rFonts w:asciiTheme="minorHAnsi" w:hAnsiTheme="minorHAnsi" w:cstheme="minorHAnsi"/>
                <w:b w:val="0"/>
                <w:bCs w:val="0"/>
                <w:sz w:val="20"/>
                <w:szCs w:val="20"/>
              </w:rPr>
              <w:t xml:space="preserve">(a) </w:t>
            </w:r>
            <w:r w:rsidR="006748A2">
              <w:rPr>
                <w:rFonts w:asciiTheme="minorHAnsi" w:hAnsiTheme="minorHAnsi" w:cstheme="minorHAnsi"/>
                <w:b w:val="0"/>
                <w:bCs w:val="0"/>
                <w:sz w:val="20"/>
                <w:szCs w:val="20"/>
              </w:rPr>
              <w:t>BT purchases fuel oil through international competitive process; (b) BT’s stock of fuel oil does not exceed the level required for emergency supply of heat</w:t>
            </w:r>
            <w:r w:rsidRPr="00693F83">
              <w:rPr>
                <w:rFonts w:asciiTheme="minorHAnsi" w:hAnsiTheme="minorHAnsi" w:cstheme="minorHAnsi"/>
                <w:b w:val="0"/>
                <w:bCs w:val="0"/>
                <w:sz w:val="20"/>
                <w:szCs w:val="20"/>
              </w:rPr>
              <w:t>; and (</w:t>
            </w:r>
            <w:r w:rsidR="006748A2">
              <w:rPr>
                <w:rFonts w:asciiTheme="minorHAnsi" w:hAnsiTheme="minorHAnsi" w:cstheme="minorHAnsi"/>
                <w:b w:val="0"/>
                <w:bCs w:val="0"/>
                <w:sz w:val="20"/>
                <w:szCs w:val="20"/>
              </w:rPr>
              <w:t>c</w:t>
            </w:r>
            <w:r w:rsidRPr="00693F83">
              <w:rPr>
                <w:rFonts w:asciiTheme="minorHAnsi" w:hAnsiTheme="minorHAnsi" w:cstheme="minorHAnsi"/>
                <w:b w:val="0"/>
                <w:bCs w:val="0"/>
                <w:sz w:val="20"/>
                <w:szCs w:val="20"/>
              </w:rPr>
              <w:t xml:space="preserve">) the costs of </w:t>
            </w:r>
            <w:r w:rsidRPr="00693F83">
              <w:rPr>
                <w:rFonts w:asciiTheme="minorHAnsi" w:hAnsiTheme="minorHAnsi" w:cstheme="minorHAnsi"/>
                <w:b w:val="0"/>
                <w:bCs w:val="0"/>
                <w:sz w:val="20"/>
                <w:szCs w:val="20"/>
              </w:rPr>
              <w:lastRenderedPageBreak/>
              <w:t>materials, services, and fixed asset maintenance of BT, SIB, and STB do not exceed their respective 2028 levels adjusted by the annual 2029 inflation</w:t>
            </w:r>
          </w:p>
        </w:tc>
        <w:tc>
          <w:tcPr>
            <w:tcW w:w="1890" w:type="dxa"/>
          </w:tcPr>
          <w:p w14:paraId="500BA52F" w14:textId="4FFEBAF4" w:rsidR="00693F83" w:rsidRPr="00D17C5B" w:rsidRDefault="00693F83" w:rsidP="00693F83">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lastRenderedPageBreak/>
              <w:t>-</w:t>
            </w:r>
          </w:p>
        </w:tc>
        <w:tc>
          <w:tcPr>
            <w:tcW w:w="1620" w:type="dxa"/>
          </w:tcPr>
          <w:p w14:paraId="69CCD995" w14:textId="01C2875C" w:rsidR="00693F83" w:rsidRPr="00A37F87" w:rsidRDefault="00693F83" w:rsidP="00693F83">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500,000</w:t>
            </w:r>
          </w:p>
        </w:tc>
      </w:tr>
      <w:tr w:rsidR="00693F83" w:rsidRPr="008219C1" w14:paraId="1802B793" w14:textId="77777777" w:rsidTr="00A64B72">
        <w:tc>
          <w:tcPr>
            <w:tcW w:w="2864" w:type="dxa"/>
          </w:tcPr>
          <w:p w14:paraId="68A6883E" w14:textId="77777777" w:rsidR="00693F83" w:rsidRPr="008219C1" w:rsidRDefault="00693F83" w:rsidP="00693F83">
            <w:pPr>
              <w:pStyle w:val="BodyText"/>
              <w:ind w:left="979"/>
              <w:rPr>
                <w:rFonts w:asciiTheme="minorHAnsi" w:hAnsiTheme="minorHAnsi" w:cstheme="minorHAnsi"/>
                <w:sz w:val="20"/>
                <w:szCs w:val="20"/>
              </w:rPr>
            </w:pPr>
          </w:p>
        </w:tc>
        <w:tc>
          <w:tcPr>
            <w:tcW w:w="4066" w:type="dxa"/>
          </w:tcPr>
          <w:p w14:paraId="51AF118F" w14:textId="5864736E" w:rsidR="00693F83" w:rsidRPr="002E58D8" w:rsidRDefault="00693F83" w:rsidP="00693F83">
            <w:pPr>
              <w:pStyle w:val="BodyText"/>
              <w:ind w:left="0"/>
              <w:rPr>
                <w:rFonts w:asciiTheme="minorHAnsi" w:hAnsiTheme="minorHAnsi" w:cstheme="minorHAnsi"/>
                <w:b w:val="0"/>
                <w:bCs w:val="0"/>
                <w:sz w:val="20"/>
                <w:szCs w:val="20"/>
              </w:rPr>
            </w:pPr>
            <w:r w:rsidRPr="002E58D8">
              <w:rPr>
                <w:rFonts w:asciiTheme="minorHAnsi" w:hAnsiTheme="minorHAnsi" w:cstheme="minorHAnsi"/>
                <w:b w:val="0"/>
                <w:bCs w:val="0"/>
                <w:sz w:val="20"/>
                <w:szCs w:val="20"/>
              </w:rPr>
              <w:t xml:space="preserve">DLR 10.9: By December 31, 2030, </w:t>
            </w:r>
            <w:r w:rsidR="006748A2" w:rsidRPr="00693F83">
              <w:rPr>
                <w:rFonts w:asciiTheme="minorHAnsi" w:hAnsiTheme="minorHAnsi" w:cstheme="minorHAnsi"/>
                <w:b w:val="0"/>
                <w:bCs w:val="0"/>
                <w:sz w:val="20"/>
                <w:szCs w:val="20"/>
              </w:rPr>
              <w:t xml:space="preserve">(a) </w:t>
            </w:r>
            <w:r w:rsidR="006748A2">
              <w:rPr>
                <w:rFonts w:asciiTheme="minorHAnsi" w:hAnsiTheme="minorHAnsi" w:cstheme="minorHAnsi"/>
                <w:b w:val="0"/>
                <w:bCs w:val="0"/>
                <w:sz w:val="20"/>
                <w:szCs w:val="20"/>
              </w:rPr>
              <w:t>BT purchases fuel oil through international competitive process; (b) BT’s stock of fuel oil does not exceed the level required for emergency supply of heat</w:t>
            </w:r>
            <w:r w:rsidRPr="002E58D8">
              <w:rPr>
                <w:rFonts w:asciiTheme="minorHAnsi" w:hAnsiTheme="minorHAnsi" w:cstheme="minorHAnsi"/>
                <w:b w:val="0"/>
                <w:bCs w:val="0"/>
                <w:sz w:val="20"/>
                <w:szCs w:val="20"/>
              </w:rPr>
              <w:t>; and (</w:t>
            </w:r>
            <w:r w:rsidR="006748A2">
              <w:rPr>
                <w:rFonts w:asciiTheme="minorHAnsi" w:hAnsiTheme="minorHAnsi" w:cstheme="minorHAnsi"/>
                <w:b w:val="0"/>
                <w:bCs w:val="0"/>
                <w:sz w:val="20"/>
                <w:szCs w:val="20"/>
              </w:rPr>
              <w:t>c</w:t>
            </w:r>
            <w:r w:rsidRPr="002E58D8">
              <w:rPr>
                <w:rFonts w:asciiTheme="minorHAnsi" w:hAnsiTheme="minorHAnsi" w:cstheme="minorHAnsi"/>
                <w:b w:val="0"/>
                <w:bCs w:val="0"/>
                <w:sz w:val="20"/>
                <w:szCs w:val="20"/>
              </w:rPr>
              <w:t>) the costs of materials, services, and fixed asset maintenance of BT, SIB, and STB do not exceed their respective 2029 levels adjusted by the annual 2030 inflation</w:t>
            </w:r>
          </w:p>
        </w:tc>
        <w:tc>
          <w:tcPr>
            <w:tcW w:w="1890" w:type="dxa"/>
          </w:tcPr>
          <w:p w14:paraId="444178D6" w14:textId="5725D64E" w:rsidR="00693F83" w:rsidRPr="00D17C5B" w:rsidRDefault="00693F83" w:rsidP="00693F83">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w:t>
            </w:r>
          </w:p>
        </w:tc>
        <w:tc>
          <w:tcPr>
            <w:tcW w:w="1620" w:type="dxa"/>
          </w:tcPr>
          <w:p w14:paraId="1EC57413" w14:textId="0CCE7EFB" w:rsidR="00693F83" w:rsidRPr="00A37F87" w:rsidRDefault="00693F83" w:rsidP="00693F83">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500,000</w:t>
            </w:r>
          </w:p>
        </w:tc>
      </w:tr>
      <w:tr w:rsidR="002E58D8" w:rsidRPr="008219C1" w14:paraId="07031637" w14:textId="77777777" w:rsidTr="00A64B72">
        <w:tc>
          <w:tcPr>
            <w:tcW w:w="2864" w:type="dxa"/>
          </w:tcPr>
          <w:p w14:paraId="3B493E7F" w14:textId="766301C1" w:rsidR="002E58D8" w:rsidRPr="008219C1" w:rsidRDefault="002E58D8" w:rsidP="002E58D8">
            <w:pPr>
              <w:pStyle w:val="BodyText"/>
              <w:ind w:left="0"/>
              <w:rPr>
                <w:rFonts w:asciiTheme="minorHAnsi" w:hAnsiTheme="minorHAnsi" w:cstheme="minorHAnsi"/>
                <w:sz w:val="20"/>
                <w:szCs w:val="20"/>
              </w:rPr>
            </w:pPr>
            <w:r w:rsidRPr="008219C1">
              <w:rPr>
                <w:rFonts w:asciiTheme="minorHAnsi" w:hAnsiTheme="minorHAnsi" w:cstheme="minorHAnsi"/>
                <w:sz w:val="20"/>
                <w:szCs w:val="20"/>
              </w:rPr>
              <w:t>DLI #11: Improved prioritization, predictability, and transparency of cash flows in the Electricity Sector</w:t>
            </w:r>
            <w:r>
              <w:rPr>
                <w:rFonts w:asciiTheme="minorHAnsi" w:hAnsiTheme="minorHAnsi" w:cstheme="minorHAnsi"/>
                <w:sz w:val="20"/>
                <w:szCs w:val="20"/>
              </w:rPr>
              <w:t xml:space="preserve"> (new)</w:t>
            </w:r>
          </w:p>
        </w:tc>
        <w:tc>
          <w:tcPr>
            <w:tcW w:w="4066" w:type="dxa"/>
          </w:tcPr>
          <w:p w14:paraId="05F76CFC" w14:textId="4FF57396" w:rsidR="002E58D8" w:rsidRPr="002E58D8" w:rsidRDefault="002E58D8" w:rsidP="002E58D8">
            <w:pPr>
              <w:pStyle w:val="BodyText"/>
              <w:ind w:left="0"/>
              <w:rPr>
                <w:rFonts w:asciiTheme="minorHAnsi" w:hAnsiTheme="minorHAnsi" w:cstheme="minorHAnsi"/>
                <w:b w:val="0"/>
                <w:bCs w:val="0"/>
                <w:sz w:val="20"/>
                <w:szCs w:val="20"/>
              </w:rPr>
            </w:pPr>
            <w:r w:rsidRPr="002E58D8">
              <w:rPr>
                <w:rFonts w:asciiTheme="minorHAnsi" w:hAnsiTheme="minorHAnsi" w:cstheme="minorHAnsi"/>
                <w:b w:val="0"/>
                <w:bCs w:val="0"/>
                <w:sz w:val="20"/>
                <w:szCs w:val="20"/>
              </w:rPr>
              <w:t xml:space="preserve">DLR 11.1: By September 30, 2022, (a) collection and distribution of electricity sector revenues from domestic market are systematically carried out according to the Escrow Account Regulations; and (b) expenditures from other account(s) of BT </w:t>
            </w:r>
            <w:r w:rsidR="00E82C57">
              <w:rPr>
                <w:rFonts w:asciiTheme="minorHAnsi" w:hAnsiTheme="minorHAnsi" w:cstheme="minorHAnsi"/>
                <w:b w:val="0"/>
                <w:bCs w:val="0"/>
                <w:sz w:val="20"/>
                <w:szCs w:val="20"/>
              </w:rPr>
              <w:t xml:space="preserve">to include US$20 million </w:t>
            </w:r>
            <w:r w:rsidR="00E82C57" w:rsidRPr="002E58D8">
              <w:rPr>
                <w:rFonts w:asciiTheme="minorHAnsi" w:hAnsiTheme="minorHAnsi" w:cstheme="minorHAnsi"/>
                <w:b w:val="0"/>
                <w:bCs w:val="0"/>
                <w:sz w:val="20"/>
                <w:szCs w:val="20"/>
              </w:rPr>
              <w:t xml:space="preserve">payment </w:t>
            </w:r>
            <w:r w:rsidR="00E82C57">
              <w:rPr>
                <w:rFonts w:asciiTheme="minorHAnsi" w:hAnsiTheme="minorHAnsi" w:cstheme="minorHAnsi"/>
                <w:b w:val="0"/>
                <w:bCs w:val="0"/>
                <w:sz w:val="20"/>
                <w:szCs w:val="20"/>
              </w:rPr>
              <w:t xml:space="preserve">under </w:t>
            </w:r>
            <w:r w:rsidR="00856128">
              <w:rPr>
                <w:rFonts w:asciiTheme="minorHAnsi" w:hAnsiTheme="minorHAnsi" w:cstheme="minorHAnsi"/>
                <w:b w:val="0"/>
                <w:bCs w:val="0"/>
                <w:sz w:val="20"/>
                <w:szCs w:val="20"/>
              </w:rPr>
              <w:t>s</w:t>
            </w:r>
            <w:r w:rsidR="00E82C57">
              <w:rPr>
                <w:rFonts w:asciiTheme="minorHAnsi" w:hAnsiTheme="minorHAnsi" w:cstheme="minorHAnsi"/>
                <w:b w:val="0"/>
                <w:bCs w:val="0"/>
                <w:sz w:val="20"/>
                <w:szCs w:val="20"/>
              </w:rPr>
              <w:t xml:space="preserve">ubsidiary </w:t>
            </w:r>
            <w:r w:rsidR="00856128">
              <w:rPr>
                <w:rFonts w:asciiTheme="minorHAnsi" w:hAnsiTheme="minorHAnsi" w:cstheme="minorHAnsi"/>
                <w:b w:val="0"/>
                <w:bCs w:val="0"/>
                <w:sz w:val="20"/>
                <w:szCs w:val="20"/>
              </w:rPr>
              <w:t>a</w:t>
            </w:r>
            <w:r w:rsidR="00E82C57">
              <w:rPr>
                <w:rFonts w:asciiTheme="minorHAnsi" w:hAnsiTheme="minorHAnsi" w:cstheme="minorHAnsi"/>
                <w:b w:val="0"/>
                <w:bCs w:val="0"/>
                <w:sz w:val="20"/>
                <w:szCs w:val="20"/>
              </w:rPr>
              <w:t>greements with MOF</w:t>
            </w:r>
            <w:r w:rsidR="00E82C57" w:rsidRPr="002E58D8">
              <w:rPr>
                <w:rFonts w:asciiTheme="minorHAnsi" w:hAnsiTheme="minorHAnsi" w:cstheme="minorHAnsi"/>
                <w:b w:val="0"/>
                <w:bCs w:val="0"/>
                <w:sz w:val="20"/>
                <w:szCs w:val="20"/>
              </w:rPr>
              <w:t xml:space="preserve"> </w:t>
            </w:r>
            <w:r w:rsidR="00E82C57">
              <w:rPr>
                <w:rFonts w:asciiTheme="minorHAnsi" w:hAnsiTheme="minorHAnsi" w:cstheme="minorHAnsi"/>
                <w:b w:val="0"/>
                <w:bCs w:val="0"/>
                <w:sz w:val="20"/>
                <w:szCs w:val="20"/>
              </w:rPr>
              <w:t>and settlement of other</w:t>
            </w:r>
            <w:r w:rsidR="000A21D4">
              <w:rPr>
                <w:rFonts w:asciiTheme="minorHAnsi" w:hAnsiTheme="minorHAnsi" w:cstheme="minorHAnsi"/>
                <w:b w:val="0"/>
                <w:bCs w:val="0"/>
                <w:sz w:val="20"/>
                <w:szCs w:val="20"/>
              </w:rPr>
              <w:t xml:space="preserve"> </w:t>
            </w:r>
            <w:r w:rsidRPr="002E58D8">
              <w:rPr>
                <w:rFonts w:asciiTheme="minorHAnsi" w:hAnsiTheme="minorHAnsi" w:cstheme="minorHAnsi"/>
                <w:b w:val="0"/>
                <w:bCs w:val="0"/>
                <w:sz w:val="20"/>
                <w:szCs w:val="20"/>
              </w:rPr>
              <w:t>existing liabilities</w:t>
            </w:r>
          </w:p>
        </w:tc>
        <w:tc>
          <w:tcPr>
            <w:tcW w:w="1890" w:type="dxa"/>
          </w:tcPr>
          <w:p w14:paraId="001CB606" w14:textId="6334D1E3" w:rsidR="002E58D8" w:rsidRPr="00D17C5B" w:rsidRDefault="002E58D8" w:rsidP="002E58D8">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w:t>
            </w:r>
          </w:p>
        </w:tc>
        <w:tc>
          <w:tcPr>
            <w:tcW w:w="1620" w:type="dxa"/>
          </w:tcPr>
          <w:p w14:paraId="687FB9AD" w14:textId="1A6928CD" w:rsidR="002E58D8" w:rsidRPr="00A37F87" w:rsidRDefault="00A14EDB" w:rsidP="002E58D8">
            <w:pPr>
              <w:pStyle w:val="BodyText"/>
              <w:ind w:left="0"/>
              <w:jc w:val="center"/>
              <w:rPr>
                <w:rFonts w:asciiTheme="minorHAnsi" w:hAnsiTheme="minorHAnsi" w:cstheme="minorHAnsi"/>
                <w:b w:val="0"/>
                <w:bCs w:val="0"/>
                <w:sz w:val="20"/>
                <w:szCs w:val="20"/>
              </w:rPr>
            </w:pPr>
            <w:r>
              <w:rPr>
                <w:rFonts w:asciiTheme="minorHAnsi" w:hAnsiTheme="minorHAnsi" w:cstheme="minorHAnsi"/>
                <w:b w:val="0"/>
                <w:bCs w:val="0"/>
                <w:sz w:val="20"/>
                <w:szCs w:val="20"/>
              </w:rPr>
              <w:t>9</w:t>
            </w:r>
            <w:r w:rsidR="002E58D8" w:rsidRPr="00A37F87">
              <w:rPr>
                <w:rFonts w:asciiTheme="minorHAnsi" w:hAnsiTheme="minorHAnsi" w:cstheme="minorHAnsi"/>
                <w:b w:val="0"/>
                <w:bCs w:val="0"/>
                <w:sz w:val="20"/>
                <w:szCs w:val="20"/>
              </w:rPr>
              <w:t>,</w:t>
            </w:r>
            <w:r>
              <w:rPr>
                <w:rFonts w:asciiTheme="minorHAnsi" w:hAnsiTheme="minorHAnsi" w:cstheme="minorHAnsi"/>
                <w:b w:val="0"/>
                <w:bCs w:val="0"/>
                <w:sz w:val="20"/>
                <w:szCs w:val="20"/>
              </w:rPr>
              <w:t>3</w:t>
            </w:r>
            <w:r w:rsidR="002E58D8" w:rsidRPr="00A37F87">
              <w:rPr>
                <w:rFonts w:asciiTheme="minorHAnsi" w:hAnsiTheme="minorHAnsi" w:cstheme="minorHAnsi"/>
                <w:b w:val="0"/>
                <w:bCs w:val="0"/>
                <w:sz w:val="20"/>
                <w:szCs w:val="20"/>
              </w:rPr>
              <w:t>00,000</w:t>
            </w:r>
          </w:p>
        </w:tc>
      </w:tr>
      <w:tr w:rsidR="002E58D8" w:rsidRPr="008219C1" w14:paraId="6C21E558" w14:textId="77777777" w:rsidTr="00A64B72">
        <w:tc>
          <w:tcPr>
            <w:tcW w:w="2864" w:type="dxa"/>
          </w:tcPr>
          <w:p w14:paraId="1C780137" w14:textId="77777777" w:rsidR="002E58D8" w:rsidRPr="008219C1" w:rsidRDefault="002E58D8" w:rsidP="002E58D8">
            <w:pPr>
              <w:pStyle w:val="BodyText"/>
              <w:ind w:left="979"/>
              <w:rPr>
                <w:rFonts w:asciiTheme="minorHAnsi" w:hAnsiTheme="minorHAnsi" w:cstheme="minorHAnsi"/>
                <w:sz w:val="20"/>
                <w:szCs w:val="20"/>
              </w:rPr>
            </w:pPr>
          </w:p>
        </w:tc>
        <w:tc>
          <w:tcPr>
            <w:tcW w:w="4066" w:type="dxa"/>
          </w:tcPr>
          <w:p w14:paraId="7C175F46" w14:textId="3D337654" w:rsidR="002E58D8" w:rsidRPr="002E58D8" w:rsidRDefault="002E58D8" w:rsidP="002E58D8">
            <w:pPr>
              <w:pStyle w:val="BodyText"/>
              <w:ind w:left="0"/>
              <w:rPr>
                <w:rFonts w:asciiTheme="minorHAnsi" w:hAnsiTheme="minorHAnsi" w:cstheme="minorHAnsi"/>
                <w:b w:val="0"/>
                <w:bCs w:val="0"/>
                <w:sz w:val="20"/>
                <w:szCs w:val="20"/>
              </w:rPr>
            </w:pPr>
            <w:r w:rsidRPr="002E58D8">
              <w:rPr>
                <w:rFonts w:asciiTheme="minorHAnsi" w:hAnsiTheme="minorHAnsi" w:cstheme="minorHAnsi"/>
                <w:b w:val="0"/>
                <w:bCs w:val="0"/>
                <w:sz w:val="20"/>
                <w:szCs w:val="20"/>
              </w:rPr>
              <w:t xml:space="preserve">DLR 11.2: By December 31, 2022, (a) collection and distribution of electricity sector revenues from domestic market are systematically carried out according to the Escrow Account Regulations; and (b) expenditures from other account(s) of BT were prioritized consistent with </w:t>
            </w:r>
            <w:r w:rsidR="000A21D4">
              <w:rPr>
                <w:rFonts w:asciiTheme="minorHAnsi" w:hAnsiTheme="minorHAnsi" w:cstheme="minorHAnsi"/>
                <w:b w:val="0"/>
                <w:bCs w:val="0"/>
                <w:sz w:val="20"/>
                <w:szCs w:val="20"/>
              </w:rPr>
              <w:t xml:space="preserve">the </w:t>
            </w:r>
            <w:r w:rsidRPr="002E58D8">
              <w:rPr>
                <w:rFonts w:asciiTheme="minorHAnsi" w:hAnsiTheme="minorHAnsi" w:cstheme="minorHAnsi"/>
                <w:b w:val="0"/>
                <w:bCs w:val="0"/>
                <w:sz w:val="20"/>
                <w:szCs w:val="20"/>
              </w:rPr>
              <w:t>existing liabilities including payments on sovereign-guaranteed debt</w:t>
            </w:r>
          </w:p>
        </w:tc>
        <w:tc>
          <w:tcPr>
            <w:tcW w:w="1890" w:type="dxa"/>
          </w:tcPr>
          <w:p w14:paraId="27AF03C8" w14:textId="08FE4A22" w:rsidR="002E58D8" w:rsidRPr="00D17C5B" w:rsidRDefault="002E58D8" w:rsidP="002E58D8">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w:t>
            </w:r>
          </w:p>
        </w:tc>
        <w:tc>
          <w:tcPr>
            <w:tcW w:w="1620" w:type="dxa"/>
          </w:tcPr>
          <w:p w14:paraId="0030D32C" w14:textId="5E46C408" w:rsidR="002E58D8" w:rsidRPr="00A37F87" w:rsidRDefault="00A14EDB" w:rsidP="002E58D8">
            <w:pPr>
              <w:pStyle w:val="BodyText"/>
              <w:ind w:left="0"/>
              <w:jc w:val="center"/>
              <w:rPr>
                <w:rFonts w:asciiTheme="minorHAnsi" w:hAnsiTheme="minorHAnsi" w:cstheme="minorHAnsi"/>
                <w:b w:val="0"/>
                <w:bCs w:val="0"/>
                <w:sz w:val="20"/>
                <w:szCs w:val="20"/>
              </w:rPr>
            </w:pPr>
            <w:r>
              <w:rPr>
                <w:rFonts w:asciiTheme="minorHAnsi" w:hAnsiTheme="minorHAnsi" w:cstheme="minorHAnsi"/>
                <w:b w:val="0"/>
                <w:bCs w:val="0"/>
                <w:sz w:val="20"/>
                <w:szCs w:val="20"/>
              </w:rPr>
              <w:t>9</w:t>
            </w:r>
            <w:r w:rsidR="002E58D8" w:rsidRPr="00A37F87">
              <w:rPr>
                <w:rFonts w:asciiTheme="minorHAnsi" w:hAnsiTheme="minorHAnsi" w:cstheme="minorHAnsi"/>
                <w:b w:val="0"/>
                <w:bCs w:val="0"/>
                <w:sz w:val="20"/>
                <w:szCs w:val="20"/>
              </w:rPr>
              <w:t>,</w:t>
            </w:r>
            <w:r>
              <w:rPr>
                <w:rFonts w:asciiTheme="minorHAnsi" w:hAnsiTheme="minorHAnsi" w:cstheme="minorHAnsi"/>
                <w:b w:val="0"/>
                <w:bCs w:val="0"/>
                <w:sz w:val="20"/>
                <w:szCs w:val="20"/>
              </w:rPr>
              <w:t>3</w:t>
            </w:r>
            <w:r w:rsidR="002E58D8" w:rsidRPr="00A37F87">
              <w:rPr>
                <w:rFonts w:asciiTheme="minorHAnsi" w:hAnsiTheme="minorHAnsi" w:cstheme="minorHAnsi"/>
                <w:b w:val="0"/>
                <w:bCs w:val="0"/>
                <w:sz w:val="20"/>
                <w:szCs w:val="20"/>
              </w:rPr>
              <w:t>00,000</w:t>
            </w:r>
          </w:p>
        </w:tc>
      </w:tr>
      <w:tr w:rsidR="002E58D8" w:rsidRPr="008219C1" w14:paraId="1CC4D311" w14:textId="77777777" w:rsidTr="00A64B72">
        <w:tc>
          <w:tcPr>
            <w:tcW w:w="2864" w:type="dxa"/>
          </w:tcPr>
          <w:p w14:paraId="6B68612C" w14:textId="77777777" w:rsidR="002E58D8" w:rsidRPr="008219C1" w:rsidRDefault="002E58D8" w:rsidP="002E58D8">
            <w:pPr>
              <w:pStyle w:val="BodyText"/>
              <w:ind w:left="979"/>
              <w:rPr>
                <w:rFonts w:asciiTheme="minorHAnsi" w:hAnsiTheme="minorHAnsi" w:cstheme="minorHAnsi"/>
                <w:sz w:val="20"/>
                <w:szCs w:val="20"/>
              </w:rPr>
            </w:pPr>
          </w:p>
        </w:tc>
        <w:tc>
          <w:tcPr>
            <w:tcW w:w="4066" w:type="dxa"/>
          </w:tcPr>
          <w:p w14:paraId="1F8D8DDB" w14:textId="79DD6BB7" w:rsidR="002E58D8" w:rsidRPr="002E58D8" w:rsidRDefault="002E58D8" w:rsidP="002E58D8">
            <w:pPr>
              <w:pStyle w:val="BodyText"/>
              <w:ind w:left="0"/>
              <w:rPr>
                <w:rFonts w:asciiTheme="minorHAnsi" w:hAnsiTheme="minorHAnsi" w:cstheme="minorHAnsi"/>
                <w:b w:val="0"/>
                <w:bCs w:val="0"/>
                <w:sz w:val="20"/>
                <w:szCs w:val="20"/>
              </w:rPr>
            </w:pPr>
            <w:r w:rsidRPr="002E58D8">
              <w:rPr>
                <w:rFonts w:asciiTheme="minorHAnsi" w:hAnsiTheme="minorHAnsi" w:cstheme="minorHAnsi"/>
                <w:b w:val="0"/>
                <w:bCs w:val="0"/>
                <w:sz w:val="20"/>
                <w:szCs w:val="20"/>
              </w:rPr>
              <w:t xml:space="preserve">DLR 11.3: By June 30, 2023, (a) collection and distribution of electricity sector revenues from domestic market are systematically carried out according to the Escrow Account Regulations; and (b) </w:t>
            </w:r>
            <w:r w:rsidR="000A21D4" w:rsidRPr="002E58D8">
              <w:rPr>
                <w:rFonts w:asciiTheme="minorHAnsi" w:hAnsiTheme="minorHAnsi" w:cstheme="minorHAnsi"/>
                <w:b w:val="0"/>
                <w:bCs w:val="0"/>
                <w:sz w:val="20"/>
                <w:szCs w:val="20"/>
              </w:rPr>
              <w:t xml:space="preserve">expenditures from other account(s) of BT were prioritized consistent with </w:t>
            </w:r>
            <w:r w:rsidR="000A21D4">
              <w:rPr>
                <w:rFonts w:asciiTheme="minorHAnsi" w:hAnsiTheme="minorHAnsi" w:cstheme="minorHAnsi"/>
                <w:b w:val="0"/>
                <w:bCs w:val="0"/>
                <w:sz w:val="20"/>
                <w:szCs w:val="20"/>
              </w:rPr>
              <w:t xml:space="preserve">the </w:t>
            </w:r>
            <w:r w:rsidR="000A21D4" w:rsidRPr="002E58D8">
              <w:rPr>
                <w:rFonts w:asciiTheme="minorHAnsi" w:hAnsiTheme="minorHAnsi" w:cstheme="minorHAnsi"/>
                <w:b w:val="0"/>
                <w:bCs w:val="0"/>
                <w:sz w:val="20"/>
                <w:szCs w:val="20"/>
              </w:rPr>
              <w:t>existing liabilities including payments on sovereign-guaranteed debt</w:t>
            </w:r>
          </w:p>
        </w:tc>
        <w:tc>
          <w:tcPr>
            <w:tcW w:w="1890" w:type="dxa"/>
          </w:tcPr>
          <w:p w14:paraId="1487DABC" w14:textId="40FAFE41" w:rsidR="002E58D8" w:rsidRPr="00D17C5B" w:rsidRDefault="002E58D8" w:rsidP="002E58D8">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w:t>
            </w:r>
          </w:p>
        </w:tc>
        <w:tc>
          <w:tcPr>
            <w:tcW w:w="1620" w:type="dxa"/>
          </w:tcPr>
          <w:p w14:paraId="3ADF1F69" w14:textId="1B6D0E66" w:rsidR="002E58D8" w:rsidRPr="00A37F87" w:rsidRDefault="00A14EDB" w:rsidP="002E58D8">
            <w:pPr>
              <w:pStyle w:val="BodyText"/>
              <w:ind w:left="0"/>
              <w:jc w:val="center"/>
              <w:rPr>
                <w:rFonts w:asciiTheme="minorHAnsi" w:hAnsiTheme="minorHAnsi" w:cstheme="minorHAnsi"/>
                <w:b w:val="0"/>
                <w:bCs w:val="0"/>
                <w:sz w:val="20"/>
                <w:szCs w:val="20"/>
              </w:rPr>
            </w:pPr>
            <w:r>
              <w:rPr>
                <w:rFonts w:asciiTheme="minorHAnsi" w:hAnsiTheme="minorHAnsi" w:cstheme="minorHAnsi"/>
                <w:b w:val="0"/>
                <w:bCs w:val="0"/>
                <w:sz w:val="20"/>
                <w:szCs w:val="20"/>
              </w:rPr>
              <w:t>2</w:t>
            </w:r>
            <w:r w:rsidR="002E58D8" w:rsidRPr="00A37F87">
              <w:rPr>
                <w:rFonts w:asciiTheme="minorHAnsi" w:hAnsiTheme="minorHAnsi" w:cstheme="minorHAnsi"/>
                <w:b w:val="0"/>
                <w:bCs w:val="0"/>
                <w:sz w:val="20"/>
                <w:szCs w:val="20"/>
              </w:rPr>
              <w:t>,000,000</w:t>
            </w:r>
          </w:p>
        </w:tc>
      </w:tr>
      <w:tr w:rsidR="002E58D8" w:rsidRPr="008219C1" w14:paraId="58A334F5" w14:textId="77777777" w:rsidTr="00A64B72">
        <w:tc>
          <w:tcPr>
            <w:tcW w:w="2864" w:type="dxa"/>
          </w:tcPr>
          <w:p w14:paraId="45E1F76F" w14:textId="77777777" w:rsidR="002E58D8" w:rsidRPr="008219C1" w:rsidRDefault="002E58D8" w:rsidP="002E58D8">
            <w:pPr>
              <w:pStyle w:val="BodyText"/>
              <w:ind w:left="979"/>
              <w:rPr>
                <w:rFonts w:asciiTheme="minorHAnsi" w:hAnsiTheme="minorHAnsi" w:cstheme="minorHAnsi"/>
                <w:sz w:val="20"/>
                <w:szCs w:val="20"/>
              </w:rPr>
            </w:pPr>
          </w:p>
        </w:tc>
        <w:tc>
          <w:tcPr>
            <w:tcW w:w="4066" w:type="dxa"/>
          </w:tcPr>
          <w:p w14:paraId="25357828" w14:textId="0B3D5D0B" w:rsidR="002E58D8" w:rsidRPr="002E58D8" w:rsidRDefault="002E58D8" w:rsidP="002E58D8">
            <w:pPr>
              <w:pStyle w:val="BodyText"/>
              <w:ind w:left="0"/>
              <w:rPr>
                <w:rFonts w:asciiTheme="minorHAnsi" w:hAnsiTheme="minorHAnsi" w:cstheme="minorHAnsi"/>
                <w:b w:val="0"/>
                <w:bCs w:val="0"/>
                <w:sz w:val="20"/>
                <w:szCs w:val="20"/>
              </w:rPr>
            </w:pPr>
            <w:r w:rsidRPr="002E58D8">
              <w:rPr>
                <w:rFonts w:asciiTheme="minorHAnsi" w:hAnsiTheme="minorHAnsi" w:cstheme="minorHAnsi"/>
                <w:b w:val="0"/>
                <w:bCs w:val="0"/>
                <w:sz w:val="20"/>
                <w:szCs w:val="20"/>
              </w:rPr>
              <w:t>DLR 11.4: By December 31, 2022, (a) collection and distribution of electricity sector revenues from domestic market are systematically carried out according to the Escrow Account Regulations; and</w:t>
            </w:r>
            <w:r w:rsidR="000A21D4">
              <w:rPr>
                <w:rFonts w:asciiTheme="minorHAnsi" w:hAnsiTheme="minorHAnsi" w:cstheme="minorHAnsi"/>
                <w:b w:val="0"/>
                <w:bCs w:val="0"/>
                <w:sz w:val="20"/>
                <w:szCs w:val="20"/>
              </w:rPr>
              <w:t xml:space="preserve"> (b)</w:t>
            </w:r>
            <w:r w:rsidRPr="002E58D8">
              <w:rPr>
                <w:rFonts w:asciiTheme="minorHAnsi" w:hAnsiTheme="minorHAnsi" w:cstheme="minorHAnsi"/>
                <w:b w:val="0"/>
                <w:bCs w:val="0"/>
                <w:sz w:val="20"/>
                <w:szCs w:val="20"/>
              </w:rPr>
              <w:t xml:space="preserve"> </w:t>
            </w:r>
            <w:r w:rsidR="000A21D4" w:rsidRPr="002E58D8">
              <w:rPr>
                <w:rFonts w:asciiTheme="minorHAnsi" w:hAnsiTheme="minorHAnsi" w:cstheme="minorHAnsi"/>
                <w:b w:val="0"/>
                <w:bCs w:val="0"/>
                <w:sz w:val="20"/>
                <w:szCs w:val="20"/>
              </w:rPr>
              <w:t xml:space="preserve">expenditures from other account(s) of BT were prioritized consistent with </w:t>
            </w:r>
            <w:r w:rsidR="000A21D4">
              <w:rPr>
                <w:rFonts w:asciiTheme="minorHAnsi" w:hAnsiTheme="minorHAnsi" w:cstheme="minorHAnsi"/>
                <w:b w:val="0"/>
                <w:bCs w:val="0"/>
                <w:sz w:val="20"/>
                <w:szCs w:val="20"/>
              </w:rPr>
              <w:t xml:space="preserve">the </w:t>
            </w:r>
            <w:r w:rsidR="000A21D4" w:rsidRPr="002E58D8">
              <w:rPr>
                <w:rFonts w:asciiTheme="minorHAnsi" w:hAnsiTheme="minorHAnsi" w:cstheme="minorHAnsi"/>
                <w:b w:val="0"/>
                <w:bCs w:val="0"/>
                <w:sz w:val="20"/>
                <w:szCs w:val="20"/>
              </w:rPr>
              <w:t>existing liabilities including payments on sovereign-guaranteed debt</w:t>
            </w:r>
          </w:p>
        </w:tc>
        <w:tc>
          <w:tcPr>
            <w:tcW w:w="1890" w:type="dxa"/>
          </w:tcPr>
          <w:p w14:paraId="0F4F692E" w14:textId="2CDC2CC5" w:rsidR="002E58D8" w:rsidRPr="00D17C5B" w:rsidRDefault="002E58D8" w:rsidP="002E58D8">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w:t>
            </w:r>
          </w:p>
        </w:tc>
        <w:tc>
          <w:tcPr>
            <w:tcW w:w="1620" w:type="dxa"/>
          </w:tcPr>
          <w:p w14:paraId="7482CA99" w14:textId="7D55515C" w:rsidR="002E58D8" w:rsidRPr="00A37F87" w:rsidRDefault="00A14EDB" w:rsidP="002E58D8">
            <w:pPr>
              <w:pStyle w:val="BodyText"/>
              <w:ind w:left="0"/>
              <w:jc w:val="center"/>
              <w:rPr>
                <w:rFonts w:asciiTheme="minorHAnsi" w:hAnsiTheme="minorHAnsi" w:cstheme="minorHAnsi"/>
                <w:b w:val="0"/>
                <w:bCs w:val="0"/>
                <w:sz w:val="20"/>
                <w:szCs w:val="20"/>
              </w:rPr>
            </w:pPr>
            <w:r>
              <w:rPr>
                <w:rFonts w:asciiTheme="minorHAnsi" w:hAnsiTheme="minorHAnsi" w:cstheme="minorHAnsi"/>
                <w:b w:val="0"/>
                <w:bCs w:val="0"/>
                <w:sz w:val="20"/>
                <w:szCs w:val="20"/>
              </w:rPr>
              <w:t>2</w:t>
            </w:r>
            <w:r w:rsidR="002E58D8" w:rsidRPr="00A37F87">
              <w:rPr>
                <w:rFonts w:asciiTheme="minorHAnsi" w:hAnsiTheme="minorHAnsi" w:cstheme="minorHAnsi"/>
                <w:b w:val="0"/>
                <w:bCs w:val="0"/>
                <w:sz w:val="20"/>
                <w:szCs w:val="20"/>
              </w:rPr>
              <w:t>,000,000</w:t>
            </w:r>
          </w:p>
        </w:tc>
      </w:tr>
      <w:tr w:rsidR="002E58D8" w:rsidRPr="008219C1" w14:paraId="1CC0238F" w14:textId="77777777" w:rsidTr="00A64B72">
        <w:tc>
          <w:tcPr>
            <w:tcW w:w="2864" w:type="dxa"/>
          </w:tcPr>
          <w:p w14:paraId="08339212" w14:textId="77777777" w:rsidR="002E58D8" w:rsidRPr="008219C1" w:rsidRDefault="002E58D8" w:rsidP="002E58D8">
            <w:pPr>
              <w:pStyle w:val="BodyText"/>
              <w:ind w:left="979"/>
              <w:rPr>
                <w:rFonts w:asciiTheme="minorHAnsi" w:hAnsiTheme="minorHAnsi" w:cstheme="minorHAnsi"/>
                <w:sz w:val="20"/>
                <w:szCs w:val="20"/>
              </w:rPr>
            </w:pPr>
          </w:p>
        </w:tc>
        <w:tc>
          <w:tcPr>
            <w:tcW w:w="4066" w:type="dxa"/>
          </w:tcPr>
          <w:p w14:paraId="1D9DAD94" w14:textId="1699D3F3" w:rsidR="002E58D8" w:rsidRPr="002E58D8" w:rsidRDefault="002E58D8" w:rsidP="002E58D8">
            <w:pPr>
              <w:pStyle w:val="BodyText"/>
              <w:ind w:left="0"/>
              <w:rPr>
                <w:rFonts w:asciiTheme="minorHAnsi" w:hAnsiTheme="minorHAnsi" w:cstheme="minorHAnsi"/>
                <w:b w:val="0"/>
                <w:bCs w:val="0"/>
                <w:sz w:val="20"/>
                <w:szCs w:val="20"/>
              </w:rPr>
            </w:pPr>
            <w:r w:rsidRPr="002E58D8">
              <w:rPr>
                <w:rFonts w:asciiTheme="minorHAnsi" w:hAnsiTheme="minorHAnsi" w:cstheme="minorHAnsi"/>
                <w:b w:val="0"/>
                <w:bCs w:val="0"/>
                <w:sz w:val="20"/>
                <w:szCs w:val="20"/>
              </w:rPr>
              <w:t xml:space="preserve">DLR 11.5: By June 30, 2024, (a) collection and </w:t>
            </w:r>
            <w:r w:rsidRPr="002E58D8">
              <w:rPr>
                <w:rFonts w:asciiTheme="minorHAnsi" w:hAnsiTheme="minorHAnsi" w:cstheme="minorHAnsi"/>
                <w:b w:val="0"/>
                <w:bCs w:val="0"/>
                <w:sz w:val="20"/>
                <w:szCs w:val="20"/>
              </w:rPr>
              <w:lastRenderedPageBreak/>
              <w:t>distribution of electricity sector revenues from domestic market are systematically carried out according to the Escrow Account Regulations; and</w:t>
            </w:r>
            <w:r w:rsidR="000A21D4">
              <w:rPr>
                <w:rFonts w:asciiTheme="minorHAnsi" w:hAnsiTheme="minorHAnsi" w:cstheme="minorHAnsi"/>
                <w:b w:val="0"/>
                <w:bCs w:val="0"/>
                <w:sz w:val="20"/>
                <w:szCs w:val="20"/>
              </w:rPr>
              <w:t xml:space="preserve"> (b)</w:t>
            </w:r>
            <w:r w:rsidRPr="002E58D8">
              <w:rPr>
                <w:rFonts w:asciiTheme="minorHAnsi" w:hAnsiTheme="minorHAnsi" w:cstheme="minorHAnsi"/>
                <w:b w:val="0"/>
                <w:bCs w:val="0"/>
                <w:sz w:val="20"/>
                <w:szCs w:val="20"/>
              </w:rPr>
              <w:t xml:space="preserve"> </w:t>
            </w:r>
            <w:r w:rsidR="000A21D4" w:rsidRPr="002E58D8">
              <w:rPr>
                <w:rFonts w:asciiTheme="minorHAnsi" w:hAnsiTheme="minorHAnsi" w:cstheme="minorHAnsi"/>
                <w:b w:val="0"/>
                <w:bCs w:val="0"/>
                <w:sz w:val="20"/>
                <w:szCs w:val="20"/>
              </w:rPr>
              <w:t xml:space="preserve">expenditures from other account(s) of BT were prioritized consistent with </w:t>
            </w:r>
            <w:r w:rsidR="000A21D4">
              <w:rPr>
                <w:rFonts w:asciiTheme="minorHAnsi" w:hAnsiTheme="minorHAnsi" w:cstheme="minorHAnsi"/>
                <w:b w:val="0"/>
                <w:bCs w:val="0"/>
                <w:sz w:val="20"/>
                <w:szCs w:val="20"/>
              </w:rPr>
              <w:t xml:space="preserve">the </w:t>
            </w:r>
            <w:r w:rsidR="000A21D4" w:rsidRPr="002E58D8">
              <w:rPr>
                <w:rFonts w:asciiTheme="minorHAnsi" w:hAnsiTheme="minorHAnsi" w:cstheme="minorHAnsi"/>
                <w:b w:val="0"/>
                <w:bCs w:val="0"/>
                <w:sz w:val="20"/>
                <w:szCs w:val="20"/>
              </w:rPr>
              <w:t>existing liabilities including payments on sovereign-guaranteed debt</w:t>
            </w:r>
          </w:p>
        </w:tc>
        <w:tc>
          <w:tcPr>
            <w:tcW w:w="1890" w:type="dxa"/>
          </w:tcPr>
          <w:p w14:paraId="4518DB23" w14:textId="4B52BF47" w:rsidR="002E58D8" w:rsidRPr="00D17C5B" w:rsidRDefault="002E58D8" w:rsidP="002E58D8">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lastRenderedPageBreak/>
              <w:t>-</w:t>
            </w:r>
          </w:p>
        </w:tc>
        <w:tc>
          <w:tcPr>
            <w:tcW w:w="1620" w:type="dxa"/>
          </w:tcPr>
          <w:p w14:paraId="659B956B" w14:textId="51137AA9" w:rsidR="002E58D8" w:rsidRPr="00A37F87" w:rsidRDefault="002E58D8" w:rsidP="002E58D8">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1,000,000</w:t>
            </w:r>
          </w:p>
        </w:tc>
      </w:tr>
      <w:tr w:rsidR="002E58D8" w:rsidRPr="008219C1" w14:paraId="53D1F680" w14:textId="77777777" w:rsidTr="00A64B72">
        <w:tc>
          <w:tcPr>
            <w:tcW w:w="2864" w:type="dxa"/>
          </w:tcPr>
          <w:p w14:paraId="1220D7D4" w14:textId="77777777" w:rsidR="002E58D8" w:rsidRPr="008219C1" w:rsidRDefault="002E58D8" w:rsidP="002E58D8">
            <w:pPr>
              <w:pStyle w:val="BodyText"/>
              <w:ind w:left="979"/>
              <w:rPr>
                <w:rFonts w:asciiTheme="minorHAnsi" w:hAnsiTheme="minorHAnsi" w:cstheme="minorHAnsi"/>
                <w:sz w:val="20"/>
                <w:szCs w:val="20"/>
              </w:rPr>
            </w:pPr>
          </w:p>
        </w:tc>
        <w:tc>
          <w:tcPr>
            <w:tcW w:w="4066" w:type="dxa"/>
          </w:tcPr>
          <w:p w14:paraId="14DBB9CF" w14:textId="221503A6" w:rsidR="002E58D8" w:rsidRPr="002E58D8" w:rsidRDefault="002E58D8" w:rsidP="002E58D8">
            <w:pPr>
              <w:pStyle w:val="BodyText"/>
              <w:ind w:left="0" w:hanging="5"/>
              <w:rPr>
                <w:rFonts w:asciiTheme="minorHAnsi" w:hAnsiTheme="minorHAnsi" w:cstheme="minorHAnsi"/>
                <w:b w:val="0"/>
                <w:bCs w:val="0"/>
                <w:sz w:val="20"/>
                <w:szCs w:val="20"/>
              </w:rPr>
            </w:pPr>
            <w:r w:rsidRPr="002E58D8">
              <w:rPr>
                <w:rFonts w:asciiTheme="minorHAnsi" w:hAnsiTheme="minorHAnsi" w:cstheme="minorHAnsi"/>
                <w:b w:val="0"/>
                <w:bCs w:val="0"/>
                <w:sz w:val="20"/>
                <w:szCs w:val="20"/>
              </w:rPr>
              <w:t xml:space="preserve">DLR 11.6: By December 31, 2024, (a) collection and distribution of electricity sector revenues from domestic market are systematically carried out according to the Escrow Account Regulations; and (b) </w:t>
            </w:r>
            <w:r w:rsidR="000A21D4" w:rsidRPr="002E58D8">
              <w:rPr>
                <w:rFonts w:asciiTheme="minorHAnsi" w:hAnsiTheme="minorHAnsi" w:cstheme="minorHAnsi"/>
                <w:b w:val="0"/>
                <w:bCs w:val="0"/>
                <w:sz w:val="20"/>
                <w:szCs w:val="20"/>
              </w:rPr>
              <w:t xml:space="preserve">expenditures from other account(s) of BT were prioritized consistent with </w:t>
            </w:r>
            <w:r w:rsidR="000A21D4">
              <w:rPr>
                <w:rFonts w:asciiTheme="minorHAnsi" w:hAnsiTheme="minorHAnsi" w:cstheme="minorHAnsi"/>
                <w:b w:val="0"/>
                <w:bCs w:val="0"/>
                <w:sz w:val="20"/>
                <w:szCs w:val="20"/>
              </w:rPr>
              <w:t xml:space="preserve">the </w:t>
            </w:r>
            <w:r w:rsidR="000A21D4" w:rsidRPr="002E58D8">
              <w:rPr>
                <w:rFonts w:asciiTheme="minorHAnsi" w:hAnsiTheme="minorHAnsi" w:cstheme="minorHAnsi"/>
                <w:b w:val="0"/>
                <w:bCs w:val="0"/>
                <w:sz w:val="20"/>
                <w:szCs w:val="20"/>
              </w:rPr>
              <w:t>existing liabilities including payments on sovereign-guaranteed debt</w:t>
            </w:r>
          </w:p>
        </w:tc>
        <w:tc>
          <w:tcPr>
            <w:tcW w:w="1890" w:type="dxa"/>
          </w:tcPr>
          <w:p w14:paraId="4C73E9B4" w14:textId="71C88D17" w:rsidR="002E58D8" w:rsidRPr="00D17C5B" w:rsidRDefault="002E58D8" w:rsidP="002E58D8">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w:t>
            </w:r>
          </w:p>
        </w:tc>
        <w:tc>
          <w:tcPr>
            <w:tcW w:w="1620" w:type="dxa"/>
          </w:tcPr>
          <w:p w14:paraId="15D97E60" w14:textId="22B5EFBE" w:rsidR="002E58D8" w:rsidRPr="00A37F87" w:rsidRDefault="002E58D8" w:rsidP="002E58D8">
            <w:pPr>
              <w:pStyle w:val="BodyText"/>
              <w:ind w:left="0"/>
              <w:jc w:val="center"/>
              <w:rPr>
                <w:rFonts w:asciiTheme="minorHAnsi" w:hAnsiTheme="minorHAnsi" w:cstheme="minorHAnsi"/>
                <w:b w:val="0"/>
                <w:bCs w:val="0"/>
                <w:sz w:val="20"/>
                <w:szCs w:val="20"/>
              </w:rPr>
            </w:pPr>
            <w:r w:rsidRPr="00A37F87">
              <w:rPr>
                <w:rFonts w:asciiTheme="minorHAnsi" w:hAnsiTheme="minorHAnsi" w:cstheme="minorHAnsi"/>
                <w:b w:val="0"/>
                <w:bCs w:val="0"/>
                <w:sz w:val="20"/>
                <w:szCs w:val="20"/>
              </w:rPr>
              <w:t>1,000,000</w:t>
            </w:r>
          </w:p>
        </w:tc>
      </w:tr>
      <w:tr w:rsidR="002E58D8" w:rsidRPr="008219C1" w14:paraId="0E5070F9" w14:textId="77777777" w:rsidTr="00A64B72">
        <w:tc>
          <w:tcPr>
            <w:tcW w:w="2864" w:type="dxa"/>
          </w:tcPr>
          <w:p w14:paraId="38EA6D3C" w14:textId="77777777" w:rsidR="002E58D8" w:rsidRPr="008219C1" w:rsidRDefault="002E58D8" w:rsidP="002E58D8">
            <w:pPr>
              <w:pStyle w:val="BodyText"/>
              <w:ind w:left="979"/>
              <w:rPr>
                <w:rFonts w:asciiTheme="minorHAnsi" w:hAnsiTheme="minorHAnsi" w:cstheme="minorHAnsi"/>
                <w:sz w:val="20"/>
                <w:szCs w:val="20"/>
              </w:rPr>
            </w:pPr>
          </w:p>
        </w:tc>
        <w:tc>
          <w:tcPr>
            <w:tcW w:w="4066" w:type="dxa"/>
          </w:tcPr>
          <w:p w14:paraId="6885C4F3" w14:textId="472B2F44" w:rsidR="002E58D8" w:rsidRPr="002E58D8" w:rsidRDefault="002E58D8" w:rsidP="002E58D8">
            <w:pPr>
              <w:pStyle w:val="BodyText"/>
              <w:ind w:left="0" w:hanging="5"/>
              <w:rPr>
                <w:rFonts w:asciiTheme="minorHAnsi" w:hAnsiTheme="minorHAnsi" w:cstheme="minorHAnsi"/>
                <w:b w:val="0"/>
                <w:bCs w:val="0"/>
                <w:sz w:val="20"/>
                <w:szCs w:val="20"/>
              </w:rPr>
            </w:pPr>
            <w:r w:rsidRPr="002E58D8">
              <w:rPr>
                <w:rFonts w:asciiTheme="minorHAnsi" w:hAnsiTheme="minorHAnsi" w:cstheme="minorHAnsi"/>
                <w:b w:val="0"/>
                <w:bCs w:val="0"/>
                <w:sz w:val="20"/>
                <w:szCs w:val="20"/>
              </w:rPr>
              <w:t xml:space="preserve">DLR 11.7: By December 31, 2025, (a) collection and distribution of electricity sector revenues from domestic market are systematically carried out according to the Escrow Account Regulations; and (b) </w:t>
            </w:r>
            <w:r w:rsidR="000A21D4" w:rsidRPr="002E58D8">
              <w:rPr>
                <w:rFonts w:asciiTheme="minorHAnsi" w:hAnsiTheme="minorHAnsi" w:cstheme="minorHAnsi"/>
                <w:b w:val="0"/>
                <w:bCs w:val="0"/>
                <w:sz w:val="20"/>
                <w:szCs w:val="20"/>
              </w:rPr>
              <w:t xml:space="preserve">expenditures from other account(s) of BT were prioritized consistent with </w:t>
            </w:r>
            <w:r w:rsidR="000A21D4">
              <w:rPr>
                <w:rFonts w:asciiTheme="minorHAnsi" w:hAnsiTheme="minorHAnsi" w:cstheme="minorHAnsi"/>
                <w:b w:val="0"/>
                <w:bCs w:val="0"/>
                <w:sz w:val="20"/>
                <w:szCs w:val="20"/>
              </w:rPr>
              <w:t xml:space="preserve">the </w:t>
            </w:r>
            <w:r w:rsidR="000A21D4" w:rsidRPr="002E58D8">
              <w:rPr>
                <w:rFonts w:asciiTheme="minorHAnsi" w:hAnsiTheme="minorHAnsi" w:cstheme="minorHAnsi"/>
                <w:b w:val="0"/>
                <w:bCs w:val="0"/>
                <w:sz w:val="20"/>
                <w:szCs w:val="20"/>
              </w:rPr>
              <w:t>existing liabilities including payments on sovereign-guaranteed debt</w:t>
            </w:r>
          </w:p>
        </w:tc>
        <w:tc>
          <w:tcPr>
            <w:tcW w:w="1890" w:type="dxa"/>
          </w:tcPr>
          <w:p w14:paraId="6EE19077" w14:textId="4047D2B0" w:rsidR="002E58D8" w:rsidRPr="00D17C5B" w:rsidRDefault="002E58D8" w:rsidP="002E58D8">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w:t>
            </w:r>
          </w:p>
        </w:tc>
        <w:tc>
          <w:tcPr>
            <w:tcW w:w="1620" w:type="dxa"/>
          </w:tcPr>
          <w:p w14:paraId="5E701E8A" w14:textId="5CCE77CB" w:rsidR="002E58D8" w:rsidRPr="00A37F87" w:rsidRDefault="00A14EDB" w:rsidP="002E58D8">
            <w:pPr>
              <w:pStyle w:val="BodyText"/>
              <w:ind w:left="0"/>
              <w:jc w:val="center"/>
              <w:rPr>
                <w:rFonts w:asciiTheme="minorHAnsi" w:hAnsiTheme="minorHAnsi" w:cstheme="minorHAnsi"/>
                <w:b w:val="0"/>
                <w:bCs w:val="0"/>
                <w:sz w:val="20"/>
                <w:szCs w:val="20"/>
              </w:rPr>
            </w:pPr>
            <w:r>
              <w:rPr>
                <w:rFonts w:asciiTheme="minorHAnsi" w:hAnsiTheme="minorHAnsi" w:cstheme="minorHAnsi"/>
                <w:b w:val="0"/>
                <w:bCs w:val="0"/>
                <w:sz w:val="20"/>
                <w:szCs w:val="20"/>
              </w:rPr>
              <w:t>4</w:t>
            </w:r>
            <w:r w:rsidR="002E58D8" w:rsidRPr="00A37F87">
              <w:rPr>
                <w:rFonts w:asciiTheme="minorHAnsi" w:hAnsiTheme="minorHAnsi" w:cstheme="minorHAnsi"/>
                <w:b w:val="0"/>
                <w:bCs w:val="0"/>
                <w:sz w:val="20"/>
                <w:szCs w:val="20"/>
              </w:rPr>
              <w:t>00,000</w:t>
            </w:r>
          </w:p>
        </w:tc>
      </w:tr>
      <w:tr w:rsidR="002E58D8" w:rsidRPr="008219C1" w14:paraId="022DF97E" w14:textId="77777777" w:rsidTr="00A64B72">
        <w:tc>
          <w:tcPr>
            <w:tcW w:w="2864" w:type="dxa"/>
          </w:tcPr>
          <w:p w14:paraId="3F0AB5F5" w14:textId="77777777" w:rsidR="002E58D8" w:rsidRPr="008219C1" w:rsidRDefault="002E58D8" w:rsidP="002E58D8">
            <w:pPr>
              <w:pStyle w:val="BodyText"/>
              <w:ind w:left="979"/>
              <w:rPr>
                <w:rFonts w:asciiTheme="minorHAnsi" w:hAnsiTheme="minorHAnsi" w:cstheme="minorHAnsi"/>
                <w:sz w:val="20"/>
                <w:szCs w:val="20"/>
              </w:rPr>
            </w:pPr>
          </w:p>
        </w:tc>
        <w:tc>
          <w:tcPr>
            <w:tcW w:w="4066" w:type="dxa"/>
          </w:tcPr>
          <w:p w14:paraId="706C0ED4" w14:textId="61C9D27B" w:rsidR="002E58D8" w:rsidRPr="002E58D8" w:rsidRDefault="002E58D8" w:rsidP="002E58D8">
            <w:pPr>
              <w:pStyle w:val="BodyText"/>
              <w:ind w:left="0" w:hanging="5"/>
              <w:rPr>
                <w:rFonts w:asciiTheme="minorHAnsi" w:hAnsiTheme="minorHAnsi" w:cstheme="minorHAnsi"/>
                <w:b w:val="0"/>
                <w:bCs w:val="0"/>
                <w:sz w:val="20"/>
                <w:szCs w:val="20"/>
              </w:rPr>
            </w:pPr>
            <w:r w:rsidRPr="002E58D8">
              <w:rPr>
                <w:rFonts w:asciiTheme="minorHAnsi" w:hAnsiTheme="minorHAnsi" w:cstheme="minorHAnsi"/>
                <w:b w:val="0"/>
                <w:bCs w:val="0"/>
                <w:sz w:val="20"/>
                <w:szCs w:val="20"/>
              </w:rPr>
              <w:t xml:space="preserve">DLR 11.8: By December 31, 2026, (a) collection and distribution of electricity sector revenues from domestic market are systematically carried out according to the Escrow Account Regulations; and (b) </w:t>
            </w:r>
            <w:r w:rsidR="000A21D4" w:rsidRPr="002E58D8">
              <w:rPr>
                <w:rFonts w:asciiTheme="minorHAnsi" w:hAnsiTheme="minorHAnsi" w:cstheme="minorHAnsi"/>
                <w:b w:val="0"/>
                <w:bCs w:val="0"/>
                <w:sz w:val="20"/>
                <w:szCs w:val="20"/>
              </w:rPr>
              <w:t xml:space="preserve">expenditures from other account(s) of BT were prioritized consistent with </w:t>
            </w:r>
            <w:r w:rsidR="000A21D4">
              <w:rPr>
                <w:rFonts w:asciiTheme="minorHAnsi" w:hAnsiTheme="minorHAnsi" w:cstheme="minorHAnsi"/>
                <w:b w:val="0"/>
                <w:bCs w:val="0"/>
                <w:sz w:val="20"/>
                <w:szCs w:val="20"/>
              </w:rPr>
              <w:t xml:space="preserve">the </w:t>
            </w:r>
            <w:r w:rsidR="000A21D4" w:rsidRPr="002E58D8">
              <w:rPr>
                <w:rFonts w:asciiTheme="minorHAnsi" w:hAnsiTheme="minorHAnsi" w:cstheme="minorHAnsi"/>
                <w:b w:val="0"/>
                <w:bCs w:val="0"/>
                <w:sz w:val="20"/>
                <w:szCs w:val="20"/>
              </w:rPr>
              <w:t>existing liabilities including payments on sovereign-guaranteed debt</w:t>
            </w:r>
          </w:p>
        </w:tc>
        <w:tc>
          <w:tcPr>
            <w:tcW w:w="1890" w:type="dxa"/>
          </w:tcPr>
          <w:p w14:paraId="7C81CDCD" w14:textId="4E416898" w:rsidR="002E58D8" w:rsidRPr="00D17C5B" w:rsidRDefault="002E58D8" w:rsidP="002E58D8">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w:t>
            </w:r>
          </w:p>
        </w:tc>
        <w:tc>
          <w:tcPr>
            <w:tcW w:w="1620" w:type="dxa"/>
          </w:tcPr>
          <w:p w14:paraId="1AC13C2B" w14:textId="005939BB" w:rsidR="002E58D8" w:rsidRPr="00A37F87" w:rsidRDefault="00A14EDB" w:rsidP="002E58D8">
            <w:pPr>
              <w:pStyle w:val="BodyText"/>
              <w:ind w:left="0"/>
              <w:jc w:val="center"/>
              <w:rPr>
                <w:rFonts w:asciiTheme="minorHAnsi" w:hAnsiTheme="minorHAnsi" w:cstheme="minorHAnsi"/>
                <w:b w:val="0"/>
                <w:bCs w:val="0"/>
                <w:sz w:val="20"/>
                <w:szCs w:val="20"/>
              </w:rPr>
            </w:pPr>
            <w:r>
              <w:rPr>
                <w:rFonts w:asciiTheme="minorHAnsi" w:hAnsiTheme="minorHAnsi" w:cstheme="minorHAnsi"/>
                <w:b w:val="0"/>
                <w:bCs w:val="0"/>
                <w:sz w:val="20"/>
                <w:szCs w:val="20"/>
              </w:rPr>
              <w:t>4</w:t>
            </w:r>
            <w:r w:rsidR="002E58D8" w:rsidRPr="00A37F87">
              <w:rPr>
                <w:rFonts w:asciiTheme="minorHAnsi" w:hAnsiTheme="minorHAnsi" w:cstheme="minorHAnsi"/>
                <w:b w:val="0"/>
                <w:bCs w:val="0"/>
                <w:sz w:val="20"/>
                <w:szCs w:val="20"/>
              </w:rPr>
              <w:t>00,000</w:t>
            </w:r>
          </w:p>
        </w:tc>
      </w:tr>
      <w:tr w:rsidR="002E58D8" w:rsidRPr="008219C1" w14:paraId="0D71392D" w14:textId="77777777" w:rsidTr="00A64B72">
        <w:tc>
          <w:tcPr>
            <w:tcW w:w="2864" w:type="dxa"/>
          </w:tcPr>
          <w:p w14:paraId="38C90F45" w14:textId="77777777" w:rsidR="002E58D8" w:rsidRPr="008219C1" w:rsidRDefault="002E58D8" w:rsidP="002E58D8">
            <w:pPr>
              <w:pStyle w:val="BodyText"/>
              <w:ind w:left="979"/>
              <w:rPr>
                <w:rFonts w:asciiTheme="minorHAnsi" w:hAnsiTheme="minorHAnsi" w:cstheme="minorHAnsi"/>
                <w:sz w:val="20"/>
                <w:szCs w:val="20"/>
              </w:rPr>
            </w:pPr>
          </w:p>
        </w:tc>
        <w:tc>
          <w:tcPr>
            <w:tcW w:w="4066" w:type="dxa"/>
          </w:tcPr>
          <w:p w14:paraId="0C599921" w14:textId="31F00070" w:rsidR="002E58D8" w:rsidRPr="002E58D8" w:rsidRDefault="002E58D8" w:rsidP="002E58D8">
            <w:pPr>
              <w:pStyle w:val="BodyText"/>
              <w:ind w:left="0" w:hanging="5"/>
              <w:rPr>
                <w:rFonts w:asciiTheme="minorHAnsi" w:hAnsiTheme="minorHAnsi" w:cstheme="minorHAnsi"/>
                <w:b w:val="0"/>
                <w:bCs w:val="0"/>
                <w:sz w:val="20"/>
                <w:szCs w:val="20"/>
              </w:rPr>
            </w:pPr>
            <w:r w:rsidRPr="002E58D8">
              <w:rPr>
                <w:rFonts w:asciiTheme="minorHAnsi" w:hAnsiTheme="minorHAnsi" w:cstheme="minorHAnsi"/>
                <w:b w:val="0"/>
                <w:bCs w:val="0"/>
                <w:sz w:val="20"/>
                <w:szCs w:val="20"/>
              </w:rPr>
              <w:t xml:space="preserve">DLR 11.9: By December 31, 2027, (a) collection and distribution of electricity sector revenues from domestic market are systematically carried out according to the Escrow Account Regulations; and (b) </w:t>
            </w:r>
            <w:r w:rsidR="000A21D4" w:rsidRPr="002E58D8">
              <w:rPr>
                <w:rFonts w:asciiTheme="minorHAnsi" w:hAnsiTheme="minorHAnsi" w:cstheme="minorHAnsi"/>
                <w:b w:val="0"/>
                <w:bCs w:val="0"/>
                <w:sz w:val="20"/>
                <w:szCs w:val="20"/>
              </w:rPr>
              <w:t xml:space="preserve">expenditures from other account(s) of BT were prioritized consistent with </w:t>
            </w:r>
            <w:r w:rsidR="000A21D4">
              <w:rPr>
                <w:rFonts w:asciiTheme="minorHAnsi" w:hAnsiTheme="minorHAnsi" w:cstheme="minorHAnsi"/>
                <w:b w:val="0"/>
                <w:bCs w:val="0"/>
                <w:sz w:val="20"/>
                <w:szCs w:val="20"/>
              </w:rPr>
              <w:t xml:space="preserve">the </w:t>
            </w:r>
            <w:r w:rsidR="000A21D4" w:rsidRPr="002E58D8">
              <w:rPr>
                <w:rFonts w:asciiTheme="minorHAnsi" w:hAnsiTheme="minorHAnsi" w:cstheme="minorHAnsi"/>
                <w:b w:val="0"/>
                <w:bCs w:val="0"/>
                <w:sz w:val="20"/>
                <w:szCs w:val="20"/>
              </w:rPr>
              <w:t>existing liabilities including payments on sovereign-guaranteed debt</w:t>
            </w:r>
          </w:p>
        </w:tc>
        <w:tc>
          <w:tcPr>
            <w:tcW w:w="1890" w:type="dxa"/>
          </w:tcPr>
          <w:p w14:paraId="645442C7" w14:textId="104EA0F7" w:rsidR="002E58D8" w:rsidRPr="00D17C5B" w:rsidRDefault="002E58D8" w:rsidP="002E58D8">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w:t>
            </w:r>
          </w:p>
        </w:tc>
        <w:tc>
          <w:tcPr>
            <w:tcW w:w="1620" w:type="dxa"/>
          </w:tcPr>
          <w:p w14:paraId="0F92CA8D" w14:textId="739A9D9A" w:rsidR="002E58D8" w:rsidRPr="00A37F87" w:rsidRDefault="00A14EDB" w:rsidP="002E58D8">
            <w:pPr>
              <w:pStyle w:val="BodyText"/>
              <w:ind w:left="0"/>
              <w:jc w:val="center"/>
              <w:rPr>
                <w:rFonts w:asciiTheme="minorHAnsi" w:hAnsiTheme="minorHAnsi" w:cstheme="minorHAnsi"/>
                <w:b w:val="0"/>
                <w:bCs w:val="0"/>
                <w:sz w:val="20"/>
                <w:szCs w:val="20"/>
              </w:rPr>
            </w:pPr>
            <w:r>
              <w:rPr>
                <w:rFonts w:asciiTheme="minorHAnsi" w:hAnsiTheme="minorHAnsi" w:cstheme="minorHAnsi"/>
                <w:b w:val="0"/>
                <w:bCs w:val="0"/>
                <w:sz w:val="20"/>
                <w:szCs w:val="20"/>
              </w:rPr>
              <w:t>4</w:t>
            </w:r>
            <w:r w:rsidR="002E58D8" w:rsidRPr="00A37F87">
              <w:rPr>
                <w:rFonts w:asciiTheme="minorHAnsi" w:hAnsiTheme="minorHAnsi" w:cstheme="minorHAnsi"/>
                <w:b w:val="0"/>
                <w:bCs w:val="0"/>
                <w:sz w:val="20"/>
                <w:szCs w:val="20"/>
              </w:rPr>
              <w:t>00,000</w:t>
            </w:r>
          </w:p>
        </w:tc>
      </w:tr>
      <w:tr w:rsidR="002E58D8" w:rsidRPr="008219C1" w14:paraId="1E00F6E4" w14:textId="77777777" w:rsidTr="00A64B72">
        <w:tc>
          <w:tcPr>
            <w:tcW w:w="2864" w:type="dxa"/>
          </w:tcPr>
          <w:p w14:paraId="4BAB1E6E" w14:textId="77777777" w:rsidR="002E58D8" w:rsidRPr="008219C1" w:rsidRDefault="002E58D8" w:rsidP="002E58D8">
            <w:pPr>
              <w:pStyle w:val="BodyText"/>
              <w:ind w:left="979"/>
              <w:rPr>
                <w:rFonts w:asciiTheme="minorHAnsi" w:hAnsiTheme="minorHAnsi" w:cstheme="minorHAnsi"/>
                <w:sz w:val="20"/>
                <w:szCs w:val="20"/>
              </w:rPr>
            </w:pPr>
          </w:p>
        </w:tc>
        <w:tc>
          <w:tcPr>
            <w:tcW w:w="4066" w:type="dxa"/>
          </w:tcPr>
          <w:p w14:paraId="0735CB85" w14:textId="16F3EFFE" w:rsidR="002E58D8" w:rsidRPr="002E58D8" w:rsidRDefault="002E58D8" w:rsidP="002E58D8">
            <w:pPr>
              <w:pStyle w:val="BodyText"/>
              <w:ind w:left="0" w:hanging="5"/>
              <w:rPr>
                <w:rFonts w:asciiTheme="minorHAnsi" w:hAnsiTheme="minorHAnsi" w:cstheme="minorHAnsi"/>
                <w:b w:val="0"/>
                <w:bCs w:val="0"/>
                <w:sz w:val="20"/>
                <w:szCs w:val="20"/>
              </w:rPr>
            </w:pPr>
            <w:r w:rsidRPr="002E58D8">
              <w:rPr>
                <w:rFonts w:asciiTheme="minorHAnsi" w:hAnsiTheme="minorHAnsi" w:cstheme="minorHAnsi"/>
                <w:b w:val="0"/>
                <w:bCs w:val="0"/>
                <w:sz w:val="20"/>
                <w:szCs w:val="20"/>
              </w:rPr>
              <w:t xml:space="preserve">DLR 11.10: By December 31, 2028, (a) collection and distribution of electricity sector revenues from domestic market are systematically carried out according to the Escrow Account Regulations; and (b) </w:t>
            </w:r>
            <w:r w:rsidR="000A21D4" w:rsidRPr="002E58D8">
              <w:rPr>
                <w:rFonts w:asciiTheme="minorHAnsi" w:hAnsiTheme="minorHAnsi" w:cstheme="minorHAnsi"/>
                <w:b w:val="0"/>
                <w:bCs w:val="0"/>
                <w:sz w:val="20"/>
                <w:szCs w:val="20"/>
              </w:rPr>
              <w:t xml:space="preserve">expenditures from other account(s) of BT were prioritized consistent with </w:t>
            </w:r>
            <w:r w:rsidR="000A21D4">
              <w:rPr>
                <w:rFonts w:asciiTheme="minorHAnsi" w:hAnsiTheme="minorHAnsi" w:cstheme="minorHAnsi"/>
                <w:b w:val="0"/>
                <w:bCs w:val="0"/>
                <w:sz w:val="20"/>
                <w:szCs w:val="20"/>
              </w:rPr>
              <w:t xml:space="preserve">the </w:t>
            </w:r>
            <w:r w:rsidR="000A21D4" w:rsidRPr="002E58D8">
              <w:rPr>
                <w:rFonts w:asciiTheme="minorHAnsi" w:hAnsiTheme="minorHAnsi" w:cstheme="minorHAnsi"/>
                <w:b w:val="0"/>
                <w:bCs w:val="0"/>
                <w:sz w:val="20"/>
                <w:szCs w:val="20"/>
              </w:rPr>
              <w:t>existing liabilities including payments on sovereign-</w:t>
            </w:r>
            <w:r w:rsidR="000A21D4" w:rsidRPr="002E58D8">
              <w:rPr>
                <w:rFonts w:asciiTheme="minorHAnsi" w:hAnsiTheme="minorHAnsi" w:cstheme="minorHAnsi"/>
                <w:b w:val="0"/>
                <w:bCs w:val="0"/>
                <w:sz w:val="20"/>
                <w:szCs w:val="20"/>
              </w:rPr>
              <w:lastRenderedPageBreak/>
              <w:t>guaranteed debt</w:t>
            </w:r>
          </w:p>
        </w:tc>
        <w:tc>
          <w:tcPr>
            <w:tcW w:w="1890" w:type="dxa"/>
          </w:tcPr>
          <w:p w14:paraId="35CD63CA" w14:textId="05D2A47E" w:rsidR="002E58D8" w:rsidRPr="00D17C5B" w:rsidRDefault="002E58D8" w:rsidP="002E58D8">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lastRenderedPageBreak/>
              <w:t>-</w:t>
            </w:r>
          </w:p>
        </w:tc>
        <w:tc>
          <w:tcPr>
            <w:tcW w:w="1620" w:type="dxa"/>
          </w:tcPr>
          <w:p w14:paraId="237A183F" w14:textId="10B88777" w:rsidR="002E58D8" w:rsidRPr="00A37F87" w:rsidRDefault="00A14EDB" w:rsidP="002E58D8">
            <w:pPr>
              <w:pStyle w:val="BodyText"/>
              <w:ind w:left="0"/>
              <w:jc w:val="center"/>
              <w:rPr>
                <w:rFonts w:asciiTheme="minorHAnsi" w:hAnsiTheme="minorHAnsi" w:cstheme="minorHAnsi"/>
                <w:b w:val="0"/>
                <w:bCs w:val="0"/>
                <w:sz w:val="20"/>
                <w:szCs w:val="20"/>
              </w:rPr>
            </w:pPr>
            <w:r>
              <w:rPr>
                <w:rFonts w:asciiTheme="minorHAnsi" w:hAnsiTheme="minorHAnsi" w:cstheme="minorHAnsi"/>
                <w:b w:val="0"/>
                <w:bCs w:val="0"/>
                <w:sz w:val="20"/>
                <w:szCs w:val="20"/>
              </w:rPr>
              <w:t>4</w:t>
            </w:r>
            <w:r w:rsidR="002E58D8" w:rsidRPr="00A37F87">
              <w:rPr>
                <w:rFonts w:asciiTheme="minorHAnsi" w:hAnsiTheme="minorHAnsi" w:cstheme="minorHAnsi"/>
                <w:b w:val="0"/>
                <w:bCs w:val="0"/>
                <w:sz w:val="20"/>
                <w:szCs w:val="20"/>
              </w:rPr>
              <w:t>00,000</w:t>
            </w:r>
          </w:p>
        </w:tc>
      </w:tr>
      <w:tr w:rsidR="002E58D8" w:rsidRPr="008219C1" w14:paraId="0365E808" w14:textId="77777777" w:rsidTr="00A64B72">
        <w:tc>
          <w:tcPr>
            <w:tcW w:w="2864" w:type="dxa"/>
          </w:tcPr>
          <w:p w14:paraId="260C3FAD" w14:textId="77777777" w:rsidR="002E58D8" w:rsidRPr="008219C1" w:rsidRDefault="002E58D8" w:rsidP="002E58D8">
            <w:pPr>
              <w:pStyle w:val="BodyText"/>
              <w:ind w:left="979"/>
              <w:rPr>
                <w:rFonts w:asciiTheme="minorHAnsi" w:hAnsiTheme="minorHAnsi" w:cstheme="minorHAnsi"/>
                <w:sz w:val="20"/>
                <w:szCs w:val="20"/>
              </w:rPr>
            </w:pPr>
          </w:p>
        </w:tc>
        <w:tc>
          <w:tcPr>
            <w:tcW w:w="4066" w:type="dxa"/>
          </w:tcPr>
          <w:p w14:paraId="733012CF" w14:textId="33ACA1C7" w:rsidR="002E58D8" w:rsidRPr="002E58D8" w:rsidRDefault="002E58D8" w:rsidP="002E58D8">
            <w:pPr>
              <w:pStyle w:val="BodyText"/>
              <w:ind w:left="0" w:hanging="5"/>
              <w:rPr>
                <w:rFonts w:asciiTheme="minorHAnsi" w:hAnsiTheme="minorHAnsi" w:cstheme="minorHAnsi"/>
                <w:b w:val="0"/>
                <w:bCs w:val="0"/>
                <w:sz w:val="20"/>
                <w:szCs w:val="20"/>
              </w:rPr>
            </w:pPr>
            <w:r w:rsidRPr="002E58D8">
              <w:rPr>
                <w:rFonts w:asciiTheme="minorHAnsi" w:hAnsiTheme="minorHAnsi" w:cstheme="minorHAnsi"/>
                <w:b w:val="0"/>
                <w:bCs w:val="0"/>
                <w:sz w:val="20"/>
                <w:szCs w:val="20"/>
              </w:rPr>
              <w:t xml:space="preserve">DLR 11.11: By December 31, 2029, (a) collection and distribution of electricity sector revenues from domestic market are systematically carried out according to the Escrow Account Regulations; and (b) </w:t>
            </w:r>
            <w:r w:rsidR="000A21D4" w:rsidRPr="002E58D8">
              <w:rPr>
                <w:rFonts w:asciiTheme="minorHAnsi" w:hAnsiTheme="minorHAnsi" w:cstheme="minorHAnsi"/>
                <w:b w:val="0"/>
                <w:bCs w:val="0"/>
                <w:sz w:val="20"/>
                <w:szCs w:val="20"/>
              </w:rPr>
              <w:t xml:space="preserve">expenditures from other account(s) of BT were prioritized consistent with </w:t>
            </w:r>
            <w:r w:rsidR="000A21D4">
              <w:rPr>
                <w:rFonts w:asciiTheme="minorHAnsi" w:hAnsiTheme="minorHAnsi" w:cstheme="minorHAnsi"/>
                <w:b w:val="0"/>
                <w:bCs w:val="0"/>
                <w:sz w:val="20"/>
                <w:szCs w:val="20"/>
              </w:rPr>
              <w:t xml:space="preserve">the </w:t>
            </w:r>
            <w:r w:rsidR="000A21D4" w:rsidRPr="002E58D8">
              <w:rPr>
                <w:rFonts w:asciiTheme="minorHAnsi" w:hAnsiTheme="minorHAnsi" w:cstheme="minorHAnsi"/>
                <w:b w:val="0"/>
                <w:bCs w:val="0"/>
                <w:sz w:val="20"/>
                <w:szCs w:val="20"/>
              </w:rPr>
              <w:t>existing liabilities including payments on sovereign-guaranteed debt</w:t>
            </w:r>
          </w:p>
        </w:tc>
        <w:tc>
          <w:tcPr>
            <w:tcW w:w="1890" w:type="dxa"/>
          </w:tcPr>
          <w:p w14:paraId="164E9759" w14:textId="24FFC186" w:rsidR="002E58D8" w:rsidRPr="00D17C5B" w:rsidRDefault="002E58D8" w:rsidP="002E58D8">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w:t>
            </w:r>
          </w:p>
        </w:tc>
        <w:tc>
          <w:tcPr>
            <w:tcW w:w="1620" w:type="dxa"/>
          </w:tcPr>
          <w:p w14:paraId="6010E674" w14:textId="37A0732D" w:rsidR="002E58D8" w:rsidRPr="00A37F87" w:rsidRDefault="00A14EDB" w:rsidP="002E58D8">
            <w:pPr>
              <w:pStyle w:val="BodyText"/>
              <w:ind w:left="0"/>
              <w:jc w:val="center"/>
              <w:rPr>
                <w:rFonts w:asciiTheme="minorHAnsi" w:hAnsiTheme="minorHAnsi" w:cstheme="minorHAnsi"/>
                <w:b w:val="0"/>
                <w:bCs w:val="0"/>
                <w:sz w:val="20"/>
                <w:szCs w:val="20"/>
              </w:rPr>
            </w:pPr>
            <w:r>
              <w:rPr>
                <w:rFonts w:asciiTheme="minorHAnsi" w:hAnsiTheme="minorHAnsi" w:cstheme="minorHAnsi"/>
                <w:b w:val="0"/>
                <w:bCs w:val="0"/>
                <w:sz w:val="20"/>
                <w:szCs w:val="20"/>
              </w:rPr>
              <w:t>4</w:t>
            </w:r>
            <w:r w:rsidR="002E58D8" w:rsidRPr="00A37F87">
              <w:rPr>
                <w:rFonts w:asciiTheme="minorHAnsi" w:hAnsiTheme="minorHAnsi" w:cstheme="minorHAnsi"/>
                <w:b w:val="0"/>
                <w:bCs w:val="0"/>
                <w:sz w:val="20"/>
                <w:szCs w:val="20"/>
              </w:rPr>
              <w:t>00,000</w:t>
            </w:r>
          </w:p>
        </w:tc>
      </w:tr>
      <w:tr w:rsidR="002E58D8" w:rsidRPr="008219C1" w14:paraId="5F3A1C9A" w14:textId="77777777" w:rsidTr="00A64B72">
        <w:tc>
          <w:tcPr>
            <w:tcW w:w="2864" w:type="dxa"/>
          </w:tcPr>
          <w:p w14:paraId="77831FFE" w14:textId="77777777" w:rsidR="002E58D8" w:rsidRPr="008219C1" w:rsidRDefault="002E58D8" w:rsidP="002E58D8">
            <w:pPr>
              <w:pStyle w:val="BodyText"/>
              <w:ind w:left="979"/>
              <w:rPr>
                <w:rFonts w:asciiTheme="minorHAnsi" w:hAnsiTheme="minorHAnsi" w:cstheme="minorHAnsi"/>
                <w:sz w:val="20"/>
                <w:szCs w:val="20"/>
              </w:rPr>
            </w:pPr>
          </w:p>
        </w:tc>
        <w:tc>
          <w:tcPr>
            <w:tcW w:w="4066" w:type="dxa"/>
          </w:tcPr>
          <w:p w14:paraId="01894C67" w14:textId="500AA3C6" w:rsidR="002E58D8" w:rsidRPr="002E58D8" w:rsidRDefault="002E58D8" w:rsidP="002E58D8">
            <w:pPr>
              <w:pStyle w:val="BodyText"/>
              <w:ind w:left="0"/>
              <w:rPr>
                <w:rFonts w:asciiTheme="minorHAnsi" w:hAnsiTheme="minorHAnsi" w:cstheme="minorHAnsi"/>
                <w:b w:val="0"/>
                <w:bCs w:val="0"/>
                <w:sz w:val="20"/>
                <w:szCs w:val="20"/>
              </w:rPr>
            </w:pPr>
            <w:r w:rsidRPr="002E58D8">
              <w:rPr>
                <w:rFonts w:asciiTheme="minorHAnsi" w:hAnsiTheme="minorHAnsi" w:cstheme="minorHAnsi"/>
                <w:b w:val="0"/>
                <w:bCs w:val="0"/>
                <w:sz w:val="20"/>
                <w:szCs w:val="20"/>
              </w:rPr>
              <w:t xml:space="preserve">DLR 11.12: By December 31, 2030, (a) collection and distribution of electricity sector revenues from domestic market are systematically carried out according to the Escrow Account Regulations; and (b) </w:t>
            </w:r>
            <w:r w:rsidR="000A21D4" w:rsidRPr="002E58D8">
              <w:rPr>
                <w:rFonts w:asciiTheme="minorHAnsi" w:hAnsiTheme="minorHAnsi" w:cstheme="minorHAnsi"/>
                <w:b w:val="0"/>
                <w:bCs w:val="0"/>
                <w:sz w:val="20"/>
                <w:szCs w:val="20"/>
              </w:rPr>
              <w:t xml:space="preserve">expenditures from other account(s) of BT were prioritized consistent with </w:t>
            </w:r>
            <w:r w:rsidR="000A21D4">
              <w:rPr>
                <w:rFonts w:asciiTheme="minorHAnsi" w:hAnsiTheme="minorHAnsi" w:cstheme="minorHAnsi"/>
                <w:b w:val="0"/>
                <w:bCs w:val="0"/>
                <w:sz w:val="20"/>
                <w:szCs w:val="20"/>
              </w:rPr>
              <w:t xml:space="preserve">the </w:t>
            </w:r>
            <w:r w:rsidR="000A21D4" w:rsidRPr="002E58D8">
              <w:rPr>
                <w:rFonts w:asciiTheme="minorHAnsi" w:hAnsiTheme="minorHAnsi" w:cstheme="minorHAnsi"/>
                <w:b w:val="0"/>
                <w:bCs w:val="0"/>
                <w:sz w:val="20"/>
                <w:szCs w:val="20"/>
              </w:rPr>
              <w:t>existing liabilities including payments on sovereign-guaranteed debt</w:t>
            </w:r>
          </w:p>
        </w:tc>
        <w:tc>
          <w:tcPr>
            <w:tcW w:w="1890" w:type="dxa"/>
          </w:tcPr>
          <w:p w14:paraId="0B44C784" w14:textId="4A40228F" w:rsidR="002E58D8" w:rsidRPr="00D17C5B" w:rsidRDefault="002E58D8" w:rsidP="002E58D8">
            <w:pPr>
              <w:pStyle w:val="BodyText"/>
              <w:ind w:left="0"/>
              <w:jc w:val="center"/>
              <w:rPr>
                <w:rFonts w:asciiTheme="minorHAnsi" w:hAnsiTheme="minorHAnsi" w:cstheme="minorHAnsi"/>
                <w:b w:val="0"/>
                <w:bCs w:val="0"/>
                <w:sz w:val="20"/>
                <w:szCs w:val="20"/>
              </w:rPr>
            </w:pPr>
            <w:r w:rsidRPr="00D17C5B">
              <w:rPr>
                <w:rFonts w:asciiTheme="minorHAnsi" w:hAnsiTheme="minorHAnsi" w:cstheme="minorHAnsi"/>
                <w:b w:val="0"/>
                <w:bCs w:val="0"/>
                <w:sz w:val="20"/>
                <w:szCs w:val="20"/>
              </w:rPr>
              <w:t>-</w:t>
            </w:r>
          </w:p>
        </w:tc>
        <w:tc>
          <w:tcPr>
            <w:tcW w:w="1620" w:type="dxa"/>
          </w:tcPr>
          <w:p w14:paraId="68A6B9FD" w14:textId="7042D37A" w:rsidR="002E58D8" w:rsidRPr="00A37F87" w:rsidRDefault="00A14EDB" w:rsidP="002E58D8">
            <w:pPr>
              <w:pStyle w:val="BodyText"/>
              <w:ind w:left="0"/>
              <w:jc w:val="center"/>
              <w:rPr>
                <w:rFonts w:asciiTheme="minorHAnsi" w:hAnsiTheme="minorHAnsi" w:cstheme="minorHAnsi"/>
                <w:b w:val="0"/>
                <w:bCs w:val="0"/>
                <w:sz w:val="20"/>
                <w:szCs w:val="20"/>
              </w:rPr>
            </w:pPr>
            <w:r>
              <w:rPr>
                <w:rFonts w:asciiTheme="minorHAnsi" w:hAnsiTheme="minorHAnsi" w:cstheme="minorHAnsi"/>
                <w:b w:val="0"/>
                <w:bCs w:val="0"/>
                <w:sz w:val="20"/>
                <w:szCs w:val="20"/>
              </w:rPr>
              <w:t>4</w:t>
            </w:r>
            <w:r w:rsidR="002E58D8" w:rsidRPr="00A37F87">
              <w:rPr>
                <w:rFonts w:asciiTheme="minorHAnsi" w:hAnsiTheme="minorHAnsi" w:cstheme="minorHAnsi"/>
                <w:b w:val="0"/>
                <w:bCs w:val="0"/>
                <w:sz w:val="20"/>
                <w:szCs w:val="20"/>
              </w:rPr>
              <w:t>00,000</w:t>
            </w:r>
          </w:p>
        </w:tc>
      </w:tr>
      <w:tr w:rsidR="002E58D8" w:rsidRPr="008219C1" w14:paraId="59DDA4AD" w14:textId="77777777" w:rsidTr="00A64B72">
        <w:tc>
          <w:tcPr>
            <w:tcW w:w="2864" w:type="dxa"/>
          </w:tcPr>
          <w:p w14:paraId="5F7A9BD8" w14:textId="34DE3384" w:rsidR="002E58D8" w:rsidRPr="008219C1" w:rsidRDefault="002E58D8" w:rsidP="002E58D8">
            <w:pPr>
              <w:pStyle w:val="BodyText"/>
              <w:ind w:left="0"/>
              <w:rPr>
                <w:rFonts w:asciiTheme="minorHAnsi" w:hAnsiTheme="minorHAnsi" w:cstheme="minorHAnsi"/>
                <w:sz w:val="20"/>
                <w:szCs w:val="20"/>
              </w:rPr>
            </w:pPr>
            <w:r>
              <w:rPr>
                <w:rFonts w:asciiTheme="minorHAnsi" w:hAnsiTheme="minorHAnsi" w:cstheme="minorHAnsi"/>
                <w:sz w:val="20"/>
                <w:szCs w:val="20"/>
              </w:rPr>
              <w:t>Total</w:t>
            </w:r>
          </w:p>
        </w:tc>
        <w:tc>
          <w:tcPr>
            <w:tcW w:w="4066" w:type="dxa"/>
          </w:tcPr>
          <w:p w14:paraId="7DB9A98C" w14:textId="002C205B" w:rsidR="002E58D8" w:rsidRPr="008219C1" w:rsidRDefault="002E58D8" w:rsidP="002E58D8">
            <w:pPr>
              <w:pStyle w:val="BodyText"/>
              <w:ind w:left="0"/>
              <w:rPr>
                <w:rFonts w:asciiTheme="minorHAnsi" w:hAnsiTheme="minorHAnsi" w:cstheme="minorHAnsi"/>
                <w:b w:val="0"/>
                <w:bCs w:val="0"/>
                <w:sz w:val="20"/>
                <w:szCs w:val="20"/>
              </w:rPr>
            </w:pPr>
          </w:p>
        </w:tc>
        <w:tc>
          <w:tcPr>
            <w:tcW w:w="1890" w:type="dxa"/>
          </w:tcPr>
          <w:p w14:paraId="56AA5845" w14:textId="1A82131F" w:rsidR="002E58D8" w:rsidRPr="005E582D" w:rsidRDefault="002E58D8" w:rsidP="002E58D8">
            <w:pPr>
              <w:pStyle w:val="BodyText"/>
              <w:ind w:left="0"/>
              <w:jc w:val="center"/>
              <w:rPr>
                <w:rFonts w:asciiTheme="minorHAnsi" w:hAnsiTheme="minorHAnsi" w:cstheme="minorHAnsi"/>
                <w:sz w:val="20"/>
                <w:szCs w:val="20"/>
              </w:rPr>
            </w:pPr>
            <w:r w:rsidRPr="005E582D">
              <w:rPr>
                <w:rFonts w:asciiTheme="minorHAnsi" w:hAnsiTheme="minorHAnsi" w:cstheme="minorHAnsi"/>
                <w:sz w:val="20"/>
                <w:szCs w:val="20"/>
              </w:rPr>
              <w:t>134,000,000</w:t>
            </w:r>
          </w:p>
        </w:tc>
        <w:tc>
          <w:tcPr>
            <w:tcW w:w="1620" w:type="dxa"/>
          </w:tcPr>
          <w:p w14:paraId="60092502" w14:textId="663C0227" w:rsidR="002E58D8" w:rsidRPr="005E582D" w:rsidRDefault="002E58D8" w:rsidP="002E58D8">
            <w:pPr>
              <w:pStyle w:val="BodyText"/>
              <w:ind w:left="0"/>
              <w:jc w:val="center"/>
              <w:rPr>
                <w:rFonts w:asciiTheme="minorHAnsi" w:hAnsiTheme="minorHAnsi" w:cstheme="minorHAnsi"/>
                <w:sz w:val="20"/>
                <w:szCs w:val="20"/>
              </w:rPr>
            </w:pPr>
            <w:r w:rsidRPr="005E582D">
              <w:rPr>
                <w:rFonts w:asciiTheme="minorHAnsi" w:hAnsiTheme="minorHAnsi" w:cstheme="minorHAnsi"/>
                <w:sz w:val="20"/>
                <w:szCs w:val="20"/>
              </w:rPr>
              <w:t>80,000,000</w:t>
            </w:r>
          </w:p>
        </w:tc>
      </w:tr>
    </w:tbl>
    <w:p w14:paraId="133EAF3F" w14:textId="39F85095" w:rsidR="00245673" w:rsidRDefault="00245673" w:rsidP="00D562D6">
      <w:pPr>
        <w:widowControl/>
        <w:autoSpaceDE/>
        <w:autoSpaceDN/>
        <w:adjustRightInd/>
        <w:rPr>
          <w:rFonts w:asciiTheme="minorHAnsi" w:hAnsiTheme="minorHAnsi"/>
          <w:b/>
          <w:bCs/>
          <w:color w:val="7F7F7F" w:themeColor="text1" w:themeTint="80"/>
          <w:sz w:val="22"/>
          <w:szCs w:val="22"/>
        </w:rPr>
      </w:pPr>
    </w:p>
    <w:p w14:paraId="6F5C85AA" w14:textId="1A86028A" w:rsidR="00245673" w:rsidRDefault="00245673" w:rsidP="005A11BD">
      <w:pPr>
        <w:widowControl/>
        <w:autoSpaceDE/>
        <w:autoSpaceDN/>
        <w:adjustRightInd/>
        <w:jc w:val="center"/>
        <w:rPr>
          <w:rFonts w:asciiTheme="minorHAnsi" w:hAnsiTheme="minorHAnsi"/>
          <w:b/>
          <w:bCs/>
          <w:color w:val="auto"/>
        </w:rPr>
      </w:pPr>
    </w:p>
    <w:p w14:paraId="221C1C36" w14:textId="2F574D79" w:rsidR="008219C1" w:rsidRDefault="008219C1" w:rsidP="005A11BD">
      <w:pPr>
        <w:widowControl/>
        <w:autoSpaceDE/>
        <w:autoSpaceDN/>
        <w:adjustRightInd/>
        <w:jc w:val="center"/>
        <w:rPr>
          <w:rFonts w:asciiTheme="minorHAnsi" w:hAnsiTheme="minorHAnsi"/>
          <w:b/>
          <w:bCs/>
          <w:color w:val="auto"/>
        </w:rPr>
      </w:pPr>
    </w:p>
    <w:p w14:paraId="4343D819" w14:textId="40E97978" w:rsidR="008219C1" w:rsidRDefault="008219C1" w:rsidP="005A11BD">
      <w:pPr>
        <w:widowControl/>
        <w:autoSpaceDE/>
        <w:autoSpaceDN/>
        <w:adjustRightInd/>
        <w:jc w:val="center"/>
        <w:rPr>
          <w:rFonts w:asciiTheme="minorHAnsi" w:hAnsiTheme="minorHAnsi"/>
          <w:b/>
          <w:bCs/>
          <w:color w:val="auto"/>
        </w:rPr>
      </w:pPr>
    </w:p>
    <w:p w14:paraId="46E7C1CE" w14:textId="3C01AA1E" w:rsidR="008219C1" w:rsidRDefault="008219C1" w:rsidP="005A11BD">
      <w:pPr>
        <w:widowControl/>
        <w:autoSpaceDE/>
        <w:autoSpaceDN/>
        <w:adjustRightInd/>
        <w:jc w:val="center"/>
        <w:rPr>
          <w:rFonts w:asciiTheme="minorHAnsi" w:hAnsiTheme="minorHAnsi"/>
          <w:b/>
          <w:bCs/>
          <w:color w:val="auto"/>
        </w:rPr>
      </w:pPr>
    </w:p>
    <w:p w14:paraId="10AE741F" w14:textId="77777777" w:rsidR="008219C1" w:rsidRDefault="008219C1" w:rsidP="005A11BD">
      <w:pPr>
        <w:widowControl/>
        <w:autoSpaceDE/>
        <w:autoSpaceDN/>
        <w:adjustRightInd/>
        <w:jc w:val="center"/>
        <w:rPr>
          <w:rFonts w:asciiTheme="minorHAnsi" w:hAnsiTheme="minorHAnsi"/>
          <w:b/>
          <w:bCs/>
          <w:color w:val="auto"/>
        </w:rPr>
        <w:sectPr w:rsidR="008219C1" w:rsidSect="009B3434">
          <w:pgSz w:w="12240" w:h="15840"/>
          <w:pgMar w:top="1440" w:right="1354" w:bottom="1440" w:left="1440" w:header="720" w:footer="720" w:gutter="0"/>
          <w:pgBorders w:offsetFrom="page">
            <w:bottom w:val="single" w:sz="8" w:space="24" w:color="F7F7F7"/>
          </w:pgBorders>
          <w:cols w:space="720"/>
          <w:docGrid w:linePitch="360"/>
        </w:sectPr>
      </w:pPr>
    </w:p>
    <w:p w14:paraId="5439548B" w14:textId="77777777" w:rsidR="008219C1" w:rsidRDefault="008219C1" w:rsidP="008219C1">
      <w:pPr>
        <w:jc w:val="center"/>
        <w:rPr>
          <w:rFonts w:asciiTheme="minorHAnsi" w:hAnsiTheme="minorHAnsi" w:cstheme="minorHAnsi"/>
          <w:b/>
          <w:sz w:val="22"/>
          <w:szCs w:val="28"/>
        </w:rPr>
      </w:pPr>
      <w:r>
        <w:rPr>
          <w:rFonts w:asciiTheme="minorHAnsi" w:hAnsiTheme="minorHAnsi" w:cstheme="minorHAnsi"/>
          <w:b/>
          <w:sz w:val="22"/>
          <w:szCs w:val="28"/>
        </w:rPr>
        <w:lastRenderedPageBreak/>
        <w:t>Bank Disbursement Arrangements</w:t>
      </w:r>
    </w:p>
    <w:p w14:paraId="366D478A" w14:textId="77777777" w:rsidR="008219C1" w:rsidRDefault="008219C1" w:rsidP="008219C1">
      <w:pPr>
        <w:jc w:val="center"/>
        <w:rPr>
          <w:rFonts w:asciiTheme="minorHAnsi" w:hAnsiTheme="minorHAnsi" w:cstheme="minorHAnsi"/>
          <w:b/>
          <w:sz w:val="22"/>
          <w:szCs w:val="28"/>
        </w:rPr>
      </w:pPr>
    </w:p>
    <w:tbl>
      <w:tblPr>
        <w:tblStyle w:val="TableGrid"/>
        <w:tblW w:w="14467" w:type="dxa"/>
        <w:tblInd w:w="-792" w:type="dxa"/>
        <w:tblLayout w:type="fixed"/>
        <w:tblLook w:val="04A0" w:firstRow="1" w:lastRow="0" w:firstColumn="1" w:lastColumn="0" w:noHBand="0" w:noVBand="1"/>
      </w:tblPr>
      <w:tblGrid>
        <w:gridCol w:w="3127"/>
        <w:gridCol w:w="1350"/>
        <w:gridCol w:w="990"/>
        <w:gridCol w:w="1530"/>
        <w:gridCol w:w="2700"/>
        <w:gridCol w:w="2430"/>
        <w:gridCol w:w="2340"/>
      </w:tblGrid>
      <w:tr w:rsidR="008219C1" w:rsidRPr="005379D3" w14:paraId="23C8055F" w14:textId="77777777" w:rsidTr="00A64B72">
        <w:trPr>
          <w:trHeight w:val="971"/>
          <w:tblHeader/>
        </w:trPr>
        <w:tc>
          <w:tcPr>
            <w:tcW w:w="3127" w:type="dxa"/>
          </w:tcPr>
          <w:p w14:paraId="195E5A51" w14:textId="77777777" w:rsidR="008219C1" w:rsidRPr="005379D3" w:rsidRDefault="008219C1" w:rsidP="00A64B72">
            <w:pPr>
              <w:pStyle w:val="MainParanoChapter-Ch3"/>
              <w:numPr>
                <w:ilvl w:val="0"/>
                <w:numId w:val="0"/>
              </w:numPr>
              <w:spacing w:before="0"/>
              <w:jc w:val="left"/>
              <w:rPr>
                <w:rFonts w:asciiTheme="minorHAnsi" w:hAnsiTheme="minorHAnsi" w:cstheme="minorHAnsi"/>
                <w:b/>
                <w:sz w:val="18"/>
                <w:szCs w:val="18"/>
              </w:rPr>
            </w:pPr>
            <w:bookmarkStart w:id="51" w:name="_Toc327359826"/>
            <w:r w:rsidRPr="005379D3">
              <w:rPr>
                <w:rFonts w:asciiTheme="minorHAnsi" w:hAnsiTheme="minorHAnsi" w:cstheme="minorHAnsi"/>
                <w:b/>
                <w:sz w:val="18"/>
                <w:szCs w:val="18"/>
              </w:rPr>
              <w:t>DLI</w:t>
            </w:r>
            <w:bookmarkEnd w:id="51"/>
          </w:p>
        </w:tc>
        <w:tc>
          <w:tcPr>
            <w:tcW w:w="1350" w:type="dxa"/>
          </w:tcPr>
          <w:p w14:paraId="53BB9F74" w14:textId="3FE4EE90" w:rsidR="008219C1" w:rsidRPr="005379D3" w:rsidRDefault="008219C1" w:rsidP="00A64B72">
            <w:pPr>
              <w:pStyle w:val="MainParanoChapter-Ch3"/>
              <w:numPr>
                <w:ilvl w:val="0"/>
                <w:numId w:val="0"/>
              </w:numPr>
              <w:spacing w:before="0"/>
              <w:jc w:val="left"/>
              <w:rPr>
                <w:rFonts w:asciiTheme="minorHAnsi" w:hAnsiTheme="minorHAnsi" w:cstheme="minorHAnsi"/>
                <w:b/>
                <w:sz w:val="18"/>
                <w:szCs w:val="18"/>
              </w:rPr>
            </w:pPr>
            <w:bookmarkStart w:id="52" w:name="_Toc327359827"/>
            <w:r w:rsidRPr="005379D3">
              <w:rPr>
                <w:rFonts w:asciiTheme="minorHAnsi" w:hAnsiTheme="minorHAnsi" w:cstheme="minorHAnsi"/>
                <w:b/>
                <w:sz w:val="18"/>
                <w:szCs w:val="18"/>
              </w:rPr>
              <w:t xml:space="preserve">Bank financing allocated to the </w:t>
            </w:r>
            <w:bookmarkEnd w:id="52"/>
            <w:r>
              <w:rPr>
                <w:rFonts w:asciiTheme="minorHAnsi" w:hAnsiTheme="minorHAnsi" w:cstheme="minorHAnsi"/>
                <w:b/>
                <w:sz w:val="18"/>
                <w:szCs w:val="18"/>
              </w:rPr>
              <w:t xml:space="preserve">DLI </w:t>
            </w:r>
            <w:r w:rsidR="00C45B2E">
              <w:rPr>
                <w:rFonts w:asciiTheme="minorHAnsi" w:hAnsiTheme="minorHAnsi" w:cstheme="minorHAnsi"/>
                <w:b/>
                <w:sz w:val="18"/>
                <w:szCs w:val="18"/>
              </w:rPr>
              <w:t>(AF)</w:t>
            </w:r>
          </w:p>
        </w:tc>
        <w:tc>
          <w:tcPr>
            <w:tcW w:w="990" w:type="dxa"/>
          </w:tcPr>
          <w:p w14:paraId="5FE110A9" w14:textId="77777777" w:rsidR="008219C1" w:rsidRPr="005379D3" w:rsidRDefault="008219C1" w:rsidP="0002243E">
            <w:pPr>
              <w:pStyle w:val="MainParanoChapter-Ch3"/>
              <w:numPr>
                <w:ilvl w:val="0"/>
                <w:numId w:val="0"/>
              </w:numPr>
              <w:spacing w:before="0"/>
              <w:jc w:val="left"/>
              <w:rPr>
                <w:rFonts w:asciiTheme="minorHAnsi" w:hAnsiTheme="minorHAnsi" w:cstheme="minorHAnsi"/>
                <w:b/>
                <w:sz w:val="18"/>
                <w:szCs w:val="18"/>
              </w:rPr>
            </w:pPr>
            <w:bookmarkStart w:id="53" w:name="_Toc327359833"/>
            <w:bookmarkStart w:id="54" w:name="_Toc327359828"/>
            <w:r w:rsidRPr="005379D3">
              <w:rPr>
                <w:rFonts w:asciiTheme="minorHAnsi" w:hAnsiTheme="minorHAnsi" w:cstheme="minorHAnsi"/>
                <w:b/>
                <w:sz w:val="18"/>
                <w:szCs w:val="18"/>
              </w:rPr>
              <w:t xml:space="preserve">Prior </w:t>
            </w:r>
            <w:bookmarkEnd w:id="53"/>
            <w:r>
              <w:rPr>
                <w:rFonts w:asciiTheme="minorHAnsi" w:hAnsiTheme="minorHAnsi" w:cstheme="minorHAnsi"/>
                <w:b/>
                <w:sz w:val="18"/>
                <w:szCs w:val="18"/>
              </w:rPr>
              <w:t xml:space="preserve">DLI </w:t>
            </w:r>
            <w:r w:rsidRPr="005379D3">
              <w:rPr>
                <w:rFonts w:asciiTheme="minorHAnsi" w:hAnsiTheme="minorHAnsi" w:cstheme="minorHAnsi"/>
                <w:b/>
                <w:sz w:val="18"/>
                <w:szCs w:val="18"/>
              </w:rPr>
              <w:t>(US$ million)</w:t>
            </w:r>
          </w:p>
        </w:tc>
        <w:tc>
          <w:tcPr>
            <w:tcW w:w="1530" w:type="dxa"/>
          </w:tcPr>
          <w:p w14:paraId="58491655" w14:textId="77777777" w:rsidR="008219C1" w:rsidRPr="005379D3" w:rsidRDefault="008219C1" w:rsidP="00A64B72">
            <w:pPr>
              <w:pStyle w:val="MainParanoChapter-Ch3"/>
              <w:numPr>
                <w:ilvl w:val="0"/>
                <w:numId w:val="0"/>
              </w:numPr>
              <w:spacing w:before="0"/>
              <w:jc w:val="left"/>
              <w:rPr>
                <w:rFonts w:asciiTheme="minorHAnsi" w:hAnsiTheme="minorHAnsi" w:cstheme="minorHAnsi"/>
                <w:b/>
                <w:smallCaps/>
                <w:sz w:val="18"/>
                <w:szCs w:val="18"/>
              </w:rPr>
            </w:pPr>
            <w:bookmarkStart w:id="55" w:name="_Toc327359829"/>
            <w:bookmarkEnd w:id="54"/>
            <w:r w:rsidRPr="005379D3">
              <w:rPr>
                <w:rFonts w:asciiTheme="minorHAnsi" w:hAnsiTheme="minorHAnsi" w:cstheme="minorHAnsi"/>
                <w:b/>
                <w:sz w:val="18"/>
                <w:szCs w:val="18"/>
              </w:rPr>
              <w:t>Deadline for DLI Achievement</w:t>
            </w:r>
            <w:bookmarkEnd w:id="55"/>
          </w:p>
        </w:tc>
        <w:tc>
          <w:tcPr>
            <w:tcW w:w="2700" w:type="dxa"/>
          </w:tcPr>
          <w:p w14:paraId="06EAAD26" w14:textId="77777777" w:rsidR="008219C1" w:rsidRPr="005379D3" w:rsidRDefault="008219C1" w:rsidP="00A64B72">
            <w:pPr>
              <w:pStyle w:val="MainParanoChapter-Ch3"/>
              <w:numPr>
                <w:ilvl w:val="0"/>
                <w:numId w:val="0"/>
              </w:numPr>
              <w:spacing w:before="0"/>
              <w:jc w:val="left"/>
              <w:rPr>
                <w:rFonts w:asciiTheme="minorHAnsi" w:hAnsiTheme="minorHAnsi" w:cstheme="minorHAnsi"/>
                <w:b/>
                <w:smallCaps/>
                <w:sz w:val="18"/>
                <w:szCs w:val="18"/>
              </w:rPr>
            </w:pPr>
            <w:bookmarkStart w:id="56" w:name="_Toc327359830"/>
            <w:r w:rsidRPr="005379D3">
              <w:rPr>
                <w:rFonts w:asciiTheme="minorHAnsi" w:hAnsiTheme="minorHAnsi" w:cstheme="minorHAnsi"/>
                <w:b/>
                <w:sz w:val="18"/>
                <w:szCs w:val="18"/>
              </w:rPr>
              <w:t>Minimum DLI value to be achieved to trigger disbursements of Bank Financing</w:t>
            </w:r>
            <w:bookmarkEnd w:id="56"/>
          </w:p>
        </w:tc>
        <w:tc>
          <w:tcPr>
            <w:tcW w:w="2430" w:type="dxa"/>
          </w:tcPr>
          <w:p w14:paraId="74013E5A" w14:textId="77777777" w:rsidR="008219C1" w:rsidRPr="005379D3" w:rsidRDefault="008219C1" w:rsidP="00A64B72">
            <w:pPr>
              <w:pStyle w:val="MainParanoChapter-Ch3"/>
              <w:numPr>
                <w:ilvl w:val="0"/>
                <w:numId w:val="0"/>
              </w:numPr>
              <w:spacing w:before="0"/>
              <w:jc w:val="left"/>
              <w:rPr>
                <w:rFonts w:asciiTheme="minorHAnsi" w:hAnsiTheme="minorHAnsi" w:cstheme="minorHAnsi"/>
                <w:b/>
                <w:smallCaps/>
                <w:sz w:val="18"/>
                <w:szCs w:val="18"/>
              </w:rPr>
            </w:pPr>
            <w:bookmarkStart w:id="57" w:name="_Toc327359831"/>
            <w:r w:rsidRPr="005379D3">
              <w:rPr>
                <w:rFonts w:asciiTheme="minorHAnsi" w:hAnsiTheme="minorHAnsi" w:cstheme="minorHAnsi"/>
                <w:b/>
                <w:sz w:val="18"/>
                <w:szCs w:val="18"/>
              </w:rPr>
              <w:t>Maximum DLI value(s) expected to be achieved for Bank disbursements purposes</w:t>
            </w:r>
            <w:bookmarkEnd w:id="57"/>
          </w:p>
        </w:tc>
        <w:tc>
          <w:tcPr>
            <w:tcW w:w="2340" w:type="dxa"/>
          </w:tcPr>
          <w:p w14:paraId="6EC201B2" w14:textId="77777777" w:rsidR="008219C1" w:rsidRPr="005379D3" w:rsidRDefault="008219C1" w:rsidP="00A64B72">
            <w:pPr>
              <w:pStyle w:val="MainParanoChapter-Ch3"/>
              <w:numPr>
                <w:ilvl w:val="0"/>
                <w:numId w:val="0"/>
              </w:numPr>
              <w:spacing w:before="0"/>
              <w:jc w:val="left"/>
              <w:rPr>
                <w:rFonts w:asciiTheme="minorHAnsi" w:hAnsiTheme="minorHAnsi" w:cstheme="minorHAnsi"/>
                <w:b/>
                <w:smallCaps/>
                <w:sz w:val="18"/>
                <w:szCs w:val="18"/>
              </w:rPr>
            </w:pPr>
            <w:bookmarkStart w:id="58" w:name="_Toc327359832"/>
            <w:r w:rsidRPr="005379D3">
              <w:rPr>
                <w:rFonts w:asciiTheme="minorHAnsi" w:hAnsiTheme="minorHAnsi" w:cstheme="minorHAnsi"/>
                <w:b/>
                <w:sz w:val="18"/>
                <w:szCs w:val="18"/>
              </w:rPr>
              <w:t>Determination of Financing Amount to be disbursed against achieved and verified DLI value(s)</w:t>
            </w:r>
            <w:r w:rsidRPr="005379D3">
              <w:rPr>
                <w:rFonts w:asciiTheme="minorHAnsi" w:hAnsiTheme="minorHAnsi" w:cstheme="minorHAnsi"/>
                <w:b/>
                <w:smallCaps/>
                <w:sz w:val="18"/>
                <w:szCs w:val="18"/>
              </w:rPr>
              <w:t xml:space="preserve"> </w:t>
            </w:r>
            <w:bookmarkEnd w:id="58"/>
          </w:p>
        </w:tc>
      </w:tr>
      <w:tr w:rsidR="008219C1" w:rsidRPr="005379D3" w14:paraId="61B5EDE5" w14:textId="77777777" w:rsidTr="00A64B72">
        <w:trPr>
          <w:trHeight w:val="665"/>
        </w:trPr>
        <w:tc>
          <w:tcPr>
            <w:tcW w:w="3127" w:type="dxa"/>
            <w:vAlign w:val="center"/>
          </w:tcPr>
          <w:p w14:paraId="4B82E328" w14:textId="77777777" w:rsidR="008219C1" w:rsidRPr="005379D3" w:rsidRDefault="008219C1" w:rsidP="00A64B72">
            <w:pPr>
              <w:rPr>
                <w:rFonts w:asciiTheme="minorHAnsi" w:hAnsiTheme="minorHAnsi" w:cstheme="minorHAnsi"/>
                <w:b/>
                <w:sz w:val="18"/>
                <w:szCs w:val="18"/>
              </w:rPr>
            </w:pPr>
            <w:r w:rsidRPr="005379D3">
              <w:rPr>
                <w:rFonts w:asciiTheme="minorHAnsi" w:eastAsia="Times New Roman" w:hAnsiTheme="minorHAnsi" w:cstheme="minorHAnsi"/>
                <w:b/>
                <w:bCs/>
                <w:sz w:val="18"/>
                <w:szCs w:val="18"/>
              </w:rPr>
              <w:t xml:space="preserve">DLI 1: </w:t>
            </w:r>
            <w:r w:rsidRPr="00200285">
              <w:rPr>
                <w:rFonts w:asciiTheme="minorHAnsi" w:eastAsia="Times New Roman" w:hAnsiTheme="minorHAnsi" w:cstheme="minorHAnsi"/>
                <w:b/>
                <w:sz w:val="18"/>
                <w:szCs w:val="18"/>
              </w:rPr>
              <w:t>Achievement of cost-recovery end-user tariffs</w:t>
            </w:r>
          </w:p>
        </w:tc>
        <w:tc>
          <w:tcPr>
            <w:tcW w:w="1350" w:type="dxa"/>
            <w:vAlign w:val="center"/>
          </w:tcPr>
          <w:p w14:paraId="7751409B" w14:textId="7580F08D" w:rsidR="008219C1" w:rsidRPr="00FC034E" w:rsidRDefault="005A237D" w:rsidP="00A64B72">
            <w:pPr>
              <w:rPr>
                <w:rFonts w:asciiTheme="minorHAnsi" w:hAnsiTheme="minorHAnsi" w:cstheme="minorHAnsi"/>
                <w:b/>
                <w:sz w:val="18"/>
                <w:szCs w:val="18"/>
              </w:rPr>
            </w:pPr>
            <w:r>
              <w:rPr>
                <w:rFonts w:asciiTheme="minorHAnsi" w:hAnsiTheme="minorHAnsi" w:cstheme="minorHAnsi"/>
                <w:b/>
                <w:sz w:val="18"/>
                <w:szCs w:val="18"/>
              </w:rPr>
              <w:t>US$7,000,000</w:t>
            </w:r>
          </w:p>
        </w:tc>
        <w:tc>
          <w:tcPr>
            <w:tcW w:w="990" w:type="dxa"/>
            <w:vAlign w:val="center"/>
          </w:tcPr>
          <w:p w14:paraId="03287AAA" w14:textId="77777777" w:rsidR="008219C1" w:rsidRPr="005379D3" w:rsidRDefault="008219C1" w:rsidP="00A64B72">
            <w:pPr>
              <w:rPr>
                <w:rFonts w:asciiTheme="minorHAnsi" w:hAnsiTheme="minorHAnsi" w:cstheme="minorHAnsi"/>
                <w:b/>
                <w:sz w:val="18"/>
                <w:szCs w:val="18"/>
              </w:rPr>
            </w:pPr>
          </w:p>
        </w:tc>
        <w:tc>
          <w:tcPr>
            <w:tcW w:w="1530" w:type="dxa"/>
            <w:vAlign w:val="center"/>
          </w:tcPr>
          <w:p w14:paraId="42F68514" w14:textId="77777777" w:rsidR="008219C1" w:rsidRPr="005379D3" w:rsidRDefault="008219C1" w:rsidP="00A64B72">
            <w:pPr>
              <w:rPr>
                <w:rFonts w:asciiTheme="minorHAnsi" w:hAnsiTheme="minorHAnsi" w:cstheme="minorHAnsi"/>
                <w:b/>
                <w:sz w:val="18"/>
                <w:szCs w:val="18"/>
              </w:rPr>
            </w:pPr>
          </w:p>
        </w:tc>
        <w:tc>
          <w:tcPr>
            <w:tcW w:w="2700" w:type="dxa"/>
            <w:vAlign w:val="center"/>
          </w:tcPr>
          <w:p w14:paraId="065C2863" w14:textId="77777777" w:rsidR="008219C1" w:rsidRPr="005379D3" w:rsidRDefault="008219C1" w:rsidP="00A64B72">
            <w:pPr>
              <w:rPr>
                <w:rFonts w:asciiTheme="minorHAnsi" w:eastAsia="Times New Roman" w:hAnsiTheme="minorHAnsi" w:cstheme="minorHAnsi"/>
                <w:b/>
                <w:bCs/>
                <w:sz w:val="18"/>
                <w:szCs w:val="18"/>
              </w:rPr>
            </w:pPr>
          </w:p>
        </w:tc>
        <w:tc>
          <w:tcPr>
            <w:tcW w:w="2430" w:type="dxa"/>
            <w:vAlign w:val="center"/>
          </w:tcPr>
          <w:p w14:paraId="18861976" w14:textId="77777777" w:rsidR="008219C1" w:rsidRPr="005379D3" w:rsidRDefault="008219C1" w:rsidP="00A64B72">
            <w:pPr>
              <w:rPr>
                <w:rFonts w:asciiTheme="minorHAnsi" w:hAnsiTheme="minorHAnsi" w:cstheme="minorHAnsi"/>
                <w:b/>
                <w:sz w:val="18"/>
                <w:szCs w:val="18"/>
              </w:rPr>
            </w:pPr>
          </w:p>
        </w:tc>
        <w:tc>
          <w:tcPr>
            <w:tcW w:w="2340" w:type="dxa"/>
            <w:vAlign w:val="center"/>
          </w:tcPr>
          <w:p w14:paraId="6B8B7FE2" w14:textId="77777777" w:rsidR="008219C1" w:rsidRPr="005379D3" w:rsidRDefault="008219C1" w:rsidP="00A64B72">
            <w:pPr>
              <w:rPr>
                <w:rFonts w:asciiTheme="minorHAnsi" w:hAnsiTheme="minorHAnsi" w:cstheme="minorHAnsi"/>
                <w:b/>
                <w:sz w:val="18"/>
                <w:szCs w:val="18"/>
              </w:rPr>
            </w:pPr>
          </w:p>
        </w:tc>
      </w:tr>
      <w:tr w:rsidR="005A237D" w:rsidRPr="005379D3" w14:paraId="32C2A895" w14:textId="77777777" w:rsidTr="00A64B72">
        <w:trPr>
          <w:trHeight w:val="665"/>
        </w:trPr>
        <w:tc>
          <w:tcPr>
            <w:tcW w:w="3127" w:type="dxa"/>
          </w:tcPr>
          <w:p w14:paraId="1B746081" w14:textId="3EC14158" w:rsidR="005A237D" w:rsidRPr="00A90076" w:rsidRDefault="005A237D" w:rsidP="005A237D">
            <w:pPr>
              <w:rPr>
                <w:rFonts w:asciiTheme="minorHAnsi" w:hAnsiTheme="minorHAnsi" w:cstheme="minorHAnsi"/>
                <w:sz w:val="18"/>
              </w:rPr>
            </w:pPr>
            <w:r>
              <w:rPr>
                <w:rFonts w:asciiTheme="minorHAnsi" w:hAnsiTheme="minorHAnsi" w:cstheme="minorHAnsi"/>
                <w:sz w:val="18"/>
                <w:szCs w:val="22"/>
              </w:rPr>
              <w:t>DLR 1.1: By November 30, 2022, a</w:t>
            </w:r>
            <w:r w:rsidRPr="002845CB">
              <w:rPr>
                <w:rFonts w:asciiTheme="minorHAnsi" w:hAnsiTheme="minorHAnsi" w:cstheme="minorHAnsi"/>
                <w:sz w:val="18"/>
                <w:szCs w:val="22"/>
              </w:rPr>
              <w:t>t least twelve (12) percent increase of average end-user</w:t>
            </w:r>
            <w:r>
              <w:rPr>
                <w:rFonts w:asciiTheme="minorHAnsi" w:hAnsiTheme="minorHAnsi" w:cstheme="minorHAnsi"/>
                <w:sz w:val="18"/>
                <w:szCs w:val="22"/>
              </w:rPr>
              <w:t xml:space="preserve"> electricity</w:t>
            </w:r>
            <w:r w:rsidRPr="002845CB">
              <w:rPr>
                <w:rFonts w:asciiTheme="minorHAnsi" w:hAnsiTheme="minorHAnsi" w:cstheme="minorHAnsi"/>
                <w:sz w:val="18"/>
                <w:szCs w:val="22"/>
              </w:rPr>
              <w:t xml:space="preserve"> tariff has been adopted by the Recipient</w:t>
            </w:r>
            <w:r>
              <w:rPr>
                <w:rFonts w:asciiTheme="minorHAnsi" w:hAnsiTheme="minorHAnsi" w:cstheme="minorHAnsi"/>
                <w:sz w:val="18"/>
                <w:szCs w:val="22"/>
              </w:rPr>
              <w:t>.</w:t>
            </w:r>
          </w:p>
        </w:tc>
        <w:tc>
          <w:tcPr>
            <w:tcW w:w="1350" w:type="dxa"/>
          </w:tcPr>
          <w:p w14:paraId="5AA7076F" w14:textId="33BCDF3E" w:rsidR="005A237D" w:rsidRPr="005A237D" w:rsidRDefault="005A237D" w:rsidP="005A237D">
            <w:pPr>
              <w:rPr>
                <w:rFonts w:asciiTheme="minorHAnsi" w:hAnsiTheme="minorHAnsi" w:cstheme="minorHAnsi"/>
                <w:sz w:val="18"/>
                <w:szCs w:val="18"/>
              </w:rPr>
            </w:pPr>
            <w:r>
              <w:rPr>
                <w:rFonts w:asciiTheme="minorHAnsi" w:hAnsiTheme="minorHAnsi" w:cstheme="minorHAnsi"/>
                <w:sz w:val="18"/>
                <w:szCs w:val="18"/>
              </w:rPr>
              <w:t>US$</w:t>
            </w:r>
            <w:r w:rsidRPr="005A237D">
              <w:rPr>
                <w:rFonts w:asciiTheme="minorHAnsi" w:hAnsiTheme="minorHAnsi" w:cstheme="minorHAnsi"/>
                <w:sz w:val="18"/>
                <w:szCs w:val="18"/>
              </w:rPr>
              <w:t>2,200,000</w:t>
            </w:r>
          </w:p>
        </w:tc>
        <w:tc>
          <w:tcPr>
            <w:tcW w:w="990" w:type="dxa"/>
          </w:tcPr>
          <w:p w14:paraId="54D50D9B" w14:textId="77777777" w:rsidR="005A237D" w:rsidRPr="005379D3" w:rsidRDefault="005A237D" w:rsidP="005A237D">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0C77DCD0" w14:textId="62DA3210" w:rsidR="005A237D" w:rsidRPr="005379D3" w:rsidRDefault="005A237D" w:rsidP="005A237D">
            <w:pPr>
              <w:rPr>
                <w:rFonts w:asciiTheme="minorHAnsi" w:hAnsiTheme="minorHAnsi" w:cstheme="minorHAnsi"/>
                <w:sz w:val="18"/>
                <w:szCs w:val="18"/>
              </w:rPr>
            </w:pPr>
            <w:r>
              <w:rPr>
                <w:rFonts w:asciiTheme="minorHAnsi" w:hAnsiTheme="minorHAnsi" w:cstheme="minorHAnsi"/>
                <w:sz w:val="18"/>
                <w:szCs w:val="18"/>
              </w:rPr>
              <w:t xml:space="preserve">Nov. </w:t>
            </w:r>
            <w:r w:rsidRPr="005379D3">
              <w:rPr>
                <w:rFonts w:asciiTheme="minorHAnsi" w:hAnsiTheme="minorHAnsi" w:cstheme="minorHAnsi"/>
                <w:sz w:val="18"/>
                <w:szCs w:val="18"/>
              </w:rPr>
              <w:t>3</w:t>
            </w:r>
            <w:r>
              <w:rPr>
                <w:rFonts w:asciiTheme="minorHAnsi" w:hAnsiTheme="minorHAnsi" w:cstheme="minorHAnsi"/>
                <w:sz w:val="18"/>
                <w:szCs w:val="18"/>
              </w:rPr>
              <w:t>0</w:t>
            </w:r>
            <w:r w:rsidRPr="005379D3">
              <w:rPr>
                <w:rFonts w:asciiTheme="minorHAnsi" w:hAnsiTheme="minorHAnsi" w:cstheme="minorHAnsi"/>
                <w:sz w:val="18"/>
                <w:szCs w:val="18"/>
              </w:rPr>
              <w:t>, 202</w:t>
            </w:r>
            <w:r>
              <w:rPr>
                <w:rFonts w:asciiTheme="minorHAnsi" w:hAnsiTheme="minorHAnsi" w:cstheme="minorHAnsi"/>
                <w:sz w:val="18"/>
                <w:szCs w:val="18"/>
              </w:rPr>
              <w:t>2</w:t>
            </w:r>
          </w:p>
        </w:tc>
        <w:tc>
          <w:tcPr>
            <w:tcW w:w="2700" w:type="dxa"/>
          </w:tcPr>
          <w:p w14:paraId="6D5EC172" w14:textId="66A46381" w:rsidR="005A237D" w:rsidRPr="005379D3" w:rsidRDefault="005A237D" w:rsidP="005A237D">
            <w:pPr>
              <w:rPr>
                <w:rFonts w:asciiTheme="minorHAnsi" w:eastAsia="Times New Roman" w:hAnsiTheme="minorHAnsi" w:cstheme="minorHAnsi"/>
                <w:bCs/>
                <w:sz w:val="18"/>
                <w:szCs w:val="18"/>
              </w:rPr>
            </w:pPr>
            <w:r>
              <w:rPr>
                <w:rFonts w:asciiTheme="minorHAnsi" w:eastAsia="Times New Roman" w:hAnsiTheme="minorHAnsi" w:cstheme="minorHAnsi"/>
                <w:sz w:val="18"/>
                <w:szCs w:val="18"/>
              </w:rPr>
              <w:t>A</w:t>
            </w:r>
            <w:r w:rsidRPr="005379D3">
              <w:rPr>
                <w:rFonts w:asciiTheme="minorHAnsi" w:eastAsia="Times New Roman" w:hAnsiTheme="minorHAnsi" w:cstheme="minorHAnsi"/>
                <w:sz w:val="18"/>
                <w:szCs w:val="18"/>
              </w:rPr>
              <w:t>t</w:t>
            </w:r>
            <w:r>
              <w:rPr>
                <w:rFonts w:asciiTheme="minorHAnsi" w:eastAsia="Times New Roman" w:hAnsiTheme="minorHAnsi" w:cstheme="minorHAnsi"/>
                <w:sz w:val="18"/>
                <w:szCs w:val="18"/>
              </w:rPr>
              <w:t xml:space="preserve"> least 12 percent increase of weighted average end-user tariff.</w:t>
            </w:r>
          </w:p>
        </w:tc>
        <w:tc>
          <w:tcPr>
            <w:tcW w:w="2430" w:type="dxa"/>
          </w:tcPr>
          <w:p w14:paraId="673020DB" w14:textId="77777777" w:rsidR="005A237D" w:rsidRPr="005379D3" w:rsidRDefault="005A237D" w:rsidP="005A237D">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3C6967DF" w14:textId="77777777" w:rsidR="005A237D" w:rsidRPr="005379D3" w:rsidRDefault="005A237D" w:rsidP="005A237D">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5A237D" w:rsidRPr="005379D3" w14:paraId="6C723A22" w14:textId="77777777" w:rsidTr="00A64B72">
        <w:trPr>
          <w:trHeight w:val="665"/>
        </w:trPr>
        <w:tc>
          <w:tcPr>
            <w:tcW w:w="3127" w:type="dxa"/>
          </w:tcPr>
          <w:p w14:paraId="70CA3C69" w14:textId="03958A00" w:rsidR="005A237D" w:rsidRPr="005379D3" w:rsidRDefault="005A237D" w:rsidP="005A237D">
            <w:pPr>
              <w:rPr>
                <w:rFonts w:asciiTheme="minorHAnsi" w:eastAsia="Times New Roman" w:hAnsiTheme="minorHAnsi" w:cstheme="minorHAnsi"/>
                <w:sz w:val="18"/>
                <w:szCs w:val="18"/>
              </w:rPr>
            </w:pPr>
            <w:r>
              <w:rPr>
                <w:rFonts w:asciiTheme="minorHAnsi" w:eastAsia="Times New Roman" w:hAnsiTheme="minorHAnsi" w:cstheme="minorHAnsi"/>
                <w:sz w:val="18"/>
                <w:szCs w:val="18"/>
              </w:rPr>
              <w:t>DLR 1.2: By December 31, 2023, a</w:t>
            </w:r>
            <w:r w:rsidRPr="002845CB">
              <w:rPr>
                <w:rFonts w:asciiTheme="minorHAnsi" w:eastAsia="Times New Roman" w:hAnsiTheme="minorHAnsi" w:cstheme="minorHAnsi"/>
                <w:sz w:val="18"/>
                <w:szCs w:val="18"/>
              </w:rPr>
              <w:t>t least annual adjustment of generation, transmission, distribution, and end-user tariffs as per the new tariff methodology and consistent with the targets approved under the Electricity Tariff Paper</w:t>
            </w:r>
            <w:r>
              <w:rPr>
                <w:rFonts w:asciiTheme="minorHAnsi" w:eastAsia="Times New Roman" w:hAnsiTheme="minorHAnsi" w:cstheme="minorHAnsi"/>
                <w:sz w:val="18"/>
                <w:szCs w:val="18"/>
              </w:rPr>
              <w:t>.</w:t>
            </w:r>
          </w:p>
        </w:tc>
        <w:tc>
          <w:tcPr>
            <w:tcW w:w="1350" w:type="dxa"/>
          </w:tcPr>
          <w:p w14:paraId="197C71A5" w14:textId="70B6FABF" w:rsidR="005A237D" w:rsidRPr="005A237D" w:rsidRDefault="005A237D" w:rsidP="005A237D">
            <w:pPr>
              <w:rPr>
                <w:rFonts w:asciiTheme="minorHAnsi" w:hAnsiTheme="minorHAnsi" w:cstheme="minorHAnsi"/>
                <w:sz w:val="18"/>
                <w:szCs w:val="18"/>
              </w:rPr>
            </w:pPr>
            <w:r>
              <w:rPr>
                <w:rFonts w:asciiTheme="minorHAnsi" w:hAnsiTheme="minorHAnsi" w:cstheme="minorHAnsi"/>
                <w:sz w:val="18"/>
                <w:szCs w:val="18"/>
              </w:rPr>
              <w:t>US$</w:t>
            </w:r>
            <w:r w:rsidRPr="005A237D">
              <w:rPr>
                <w:rFonts w:asciiTheme="minorHAnsi" w:hAnsiTheme="minorHAnsi" w:cstheme="minorHAnsi"/>
                <w:sz w:val="18"/>
                <w:szCs w:val="18"/>
              </w:rPr>
              <w:t>2,100,000</w:t>
            </w:r>
          </w:p>
        </w:tc>
        <w:tc>
          <w:tcPr>
            <w:tcW w:w="990" w:type="dxa"/>
          </w:tcPr>
          <w:p w14:paraId="56209730" w14:textId="77777777" w:rsidR="005A237D" w:rsidRPr="005379D3" w:rsidRDefault="005A237D" w:rsidP="005A237D">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3B54FAE2" w14:textId="7EA527C1" w:rsidR="005A237D" w:rsidRPr="005379D3" w:rsidRDefault="005A237D" w:rsidP="005A237D">
            <w:pPr>
              <w:rPr>
                <w:rFonts w:asciiTheme="minorHAnsi" w:hAnsiTheme="minorHAnsi" w:cstheme="minorHAnsi"/>
                <w:sz w:val="18"/>
                <w:szCs w:val="18"/>
              </w:rPr>
            </w:pPr>
            <w:r>
              <w:rPr>
                <w:rFonts w:asciiTheme="minorHAnsi" w:hAnsiTheme="minorHAnsi" w:cstheme="minorHAnsi"/>
                <w:sz w:val="18"/>
                <w:szCs w:val="18"/>
              </w:rPr>
              <w:t>Dec</w:t>
            </w:r>
            <w:r w:rsidRPr="005379D3">
              <w:rPr>
                <w:rFonts w:asciiTheme="minorHAnsi" w:hAnsiTheme="minorHAnsi" w:cstheme="minorHAnsi"/>
                <w:sz w:val="18"/>
                <w:szCs w:val="18"/>
              </w:rPr>
              <w:t>. 31, 202</w:t>
            </w:r>
            <w:r>
              <w:rPr>
                <w:rFonts w:asciiTheme="minorHAnsi" w:hAnsiTheme="minorHAnsi" w:cstheme="minorHAnsi"/>
                <w:sz w:val="18"/>
                <w:szCs w:val="18"/>
              </w:rPr>
              <w:t>3</w:t>
            </w:r>
          </w:p>
        </w:tc>
        <w:tc>
          <w:tcPr>
            <w:tcW w:w="2700" w:type="dxa"/>
          </w:tcPr>
          <w:p w14:paraId="46297FE6" w14:textId="77777777" w:rsidR="005A237D" w:rsidRPr="005379D3" w:rsidRDefault="005A237D" w:rsidP="005A237D">
            <w:pPr>
              <w:rPr>
                <w:rFonts w:asciiTheme="minorHAnsi" w:hAnsiTheme="minorHAnsi" w:cstheme="minorHAnsi"/>
                <w:sz w:val="18"/>
                <w:szCs w:val="18"/>
              </w:rPr>
            </w:pPr>
            <w:r w:rsidRPr="005379D3">
              <w:rPr>
                <w:rFonts w:asciiTheme="minorHAnsi" w:eastAsia="Times New Roman" w:hAnsiTheme="minorHAnsi" w:cstheme="minorHAnsi"/>
                <w:sz w:val="18"/>
                <w:szCs w:val="18"/>
              </w:rPr>
              <w:t xml:space="preserve">At least annual adjustment of generation, transmission, </w:t>
            </w:r>
            <w:proofErr w:type="gramStart"/>
            <w:r w:rsidRPr="005379D3">
              <w:rPr>
                <w:rFonts w:asciiTheme="minorHAnsi" w:eastAsia="Times New Roman" w:hAnsiTheme="minorHAnsi" w:cstheme="minorHAnsi"/>
                <w:sz w:val="18"/>
                <w:szCs w:val="18"/>
              </w:rPr>
              <w:t>distribution</w:t>
            </w:r>
            <w:proofErr w:type="gramEnd"/>
            <w:r w:rsidRPr="005379D3">
              <w:rPr>
                <w:rFonts w:asciiTheme="minorHAnsi" w:eastAsia="Times New Roman" w:hAnsiTheme="minorHAnsi" w:cstheme="minorHAnsi"/>
                <w:sz w:val="18"/>
                <w:szCs w:val="18"/>
              </w:rPr>
              <w:t xml:space="preserve"> and end-user tariffs as per new tariff methodology and consistent with the targets approved under the Electricity Tariff Paper.</w:t>
            </w:r>
          </w:p>
        </w:tc>
        <w:tc>
          <w:tcPr>
            <w:tcW w:w="2430" w:type="dxa"/>
          </w:tcPr>
          <w:p w14:paraId="411C858D" w14:textId="77777777" w:rsidR="005A237D" w:rsidRPr="005379D3" w:rsidRDefault="005A237D" w:rsidP="005A237D">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7E3C5ABF" w14:textId="77777777" w:rsidR="005A237D" w:rsidRPr="005379D3" w:rsidRDefault="005A237D" w:rsidP="005A237D">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5A237D" w:rsidRPr="005379D3" w14:paraId="53EA42CC" w14:textId="77777777" w:rsidTr="00A64B72">
        <w:trPr>
          <w:trHeight w:val="665"/>
        </w:trPr>
        <w:tc>
          <w:tcPr>
            <w:tcW w:w="3127" w:type="dxa"/>
          </w:tcPr>
          <w:p w14:paraId="752D2827" w14:textId="5B990DEA" w:rsidR="005A237D" w:rsidRPr="005379D3" w:rsidRDefault="005A237D" w:rsidP="005A237D">
            <w:pPr>
              <w:rPr>
                <w:rFonts w:asciiTheme="minorHAnsi" w:eastAsia="Times New Roman" w:hAnsiTheme="minorHAnsi" w:cstheme="minorHAnsi"/>
                <w:sz w:val="18"/>
                <w:szCs w:val="18"/>
              </w:rPr>
            </w:pPr>
            <w:r w:rsidRPr="005379D3">
              <w:rPr>
                <w:rFonts w:asciiTheme="minorHAnsi" w:eastAsia="Times New Roman" w:hAnsiTheme="minorHAnsi" w:cstheme="minorHAnsi"/>
                <w:sz w:val="18"/>
                <w:szCs w:val="18"/>
              </w:rPr>
              <w:t>DLR 1.</w:t>
            </w:r>
            <w:r>
              <w:rPr>
                <w:rFonts w:asciiTheme="minorHAnsi" w:eastAsia="Times New Roman" w:hAnsiTheme="minorHAnsi" w:cstheme="minorHAnsi"/>
                <w:sz w:val="18"/>
                <w:szCs w:val="18"/>
              </w:rPr>
              <w:t>3</w:t>
            </w:r>
            <w:r w:rsidRPr="005379D3">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By December 31, 2024, a</w:t>
            </w:r>
            <w:r w:rsidRPr="00200285">
              <w:rPr>
                <w:rFonts w:asciiTheme="minorHAnsi" w:eastAsia="Times New Roman" w:hAnsiTheme="minorHAnsi" w:cstheme="minorHAnsi"/>
                <w:sz w:val="18"/>
                <w:szCs w:val="18"/>
              </w:rPr>
              <w:t xml:space="preserve">t least annual adjustment of generation, transmission, </w:t>
            </w:r>
            <w:proofErr w:type="gramStart"/>
            <w:r w:rsidRPr="00200285">
              <w:rPr>
                <w:rFonts w:asciiTheme="minorHAnsi" w:eastAsia="Times New Roman" w:hAnsiTheme="minorHAnsi" w:cstheme="minorHAnsi"/>
                <w:sz w:val="18"/>
                <w:szCs w:val="18"/>
              </w:rPr>
              <w:t>distribution</w:t>
            </w:r>
            <w:proofErr w:type="gramEnd"/>
            <w:r w:rsidRPr="00200285">
              <w:rPr>
                <w:rFonts w:asciiTheme="minorHAnsi" w:eastAsia="Times New Roman" w:hAnsiTheme="minorHAnsi" w:cstheme="minorHAnsi"/>
                <w:sz w:val="18"/>
                <w:szCs w:val="18"/>
              </w:rPr>
              <w:t xml:space="preserve"> and end-user tariffs as per new tariff methodology and consistent with the targets approved under the Electricity Tariff Paper</w:t>
            </w:r>
            <w:r>
              <w:rPr>
                <w:rFonts w:asciiTheme="minorHAnsi" w:eastAsia="Times New Roman" w:hAnsiTheme="minorHAnsi" w:cstheme="minorHAnsi"/>
                <w:sz w:val="18"/>
                <w:szCs w:val="18"/>
              </w:rPr>
              <w:t>.</w:t>
            </w:r>
          </w:p>
        </w:tc>
        <w:tc>
          <w:tcPr>
            <w:tcW w:w="1350" w:type="dxa"/>
          </w:tcPr>
          <w:p w14:paraId="606A5F78" w14:textId="23807580" w:rsidR="005A237D" w:rsidRPr="005A237D" w:rsidRDefault="005A237D" w:rsidP="005A237D">
            <w:pPr>
              <w:rPr>
                <w:rFonts w:asciiTheme="minorHAnsi" w:hAnsiTheme="minorHAnsi" w:cstheme="minorHAnsi"/>
                <w:sz w:val="18"/>
                <w:szCs w:val="18"/>
              </w:rPr>
            </w:pPr>
            <w:r>
              <w:rPr>
                <w:rFonts w:asciiTheme="minorHAnsi" w:hAnsiTheme="minorHAnsi" w:cstheme="minorHAnsi"/>
                <w:sz w:val="18"/>
                <w:szCs w:val="18"/>
              </w:rPr>
              <w:t>US$</w:t>
            </w:r>
            <w:r w:rsidRPr="005A237D">
              <w:rPr>
                <w:rFonts w:asciiTheme="minorHAnsi" w:hAnsiTheme="minorHAnsi" w:cstheme="minorHAnsi"/>
                <w:sz w:val="18"/>
                <w:szCs w:val="18"/>
              </w:rPr>
              <w:t>500,000</w:t>
            </w:r>
          </w:p>
        </w:tc>
        <w:tc>
          <w:tcPr>
            <w:tcW w:w="990" w:type="dxa"/>
          </w:tcPr>
          <w:p w14:paraId="6BDD6FCF" w14:textId="77777777" w:rsidR="005A237D" w:rsidRPr="005379D3" w:rsidRDefault="005A237D" w:rsidP="005A237D">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291743A6" w14:textId="6619CC26" w:rsidR="005A237D" w:rsidRPr="005379D3" w:rsidRDefault="005A237D" w:rsidP="005A237D">
            <w:pPr>
              <w:rPr>
                <w:rFonts w:asciiTheme="minorHAnsi" w:hAnsiTheme="minorHAnsi" w:cstheme="minorHAnsi"/>
                <w:sz w:val="18"/>
                <w:szCs w:val="18"/>
              </w:rPr>
            </w:pPr>
            <w:r>
              <w:rPr>
                <w:rFonts w:asciiTheme="minorHAnsi" w:hAnsiTheme="minorHAnsi" w:cstheme="minorHAnsi"/>
                <w:sz w:val="18"/>
                <w:szCs w:val="18"/>
              </w:rPr>
              <w:t>Dec. 31, 2024</w:t>
            </w:r>
          </w:p>
        </w:tc>
        <w:tc>
          <w:tcPr>
            <w:tcW w:w="2700" w:type="dxa"/>
          </w:tcPr>
          <w:p w14:paraId="7C8AFD0F" w14:textId="77777777" w:rsidR="005A237D" w:rsidRPr="005379D3" w:rsidRDefault="005A237D" w:rsidP="005A237D">
            <w:pPr>
              <w:rPr>
                <w:rFonts w:asciiTheme="minorHAnsi" w:hAnsiTheme="minorHAnsi" w:cstheme="minorHAnsi"/>
                <w:sz w:val="18"/>
                <w:szCs w:val="18"/>
              </w:rPr>
            </w:pPr>
            <w:r>
              <w:rPr>
                <w:rFonts w:asciiTheme="minorHAnsi" w:eastAsia="Times New Roman" w:hAnsiTheme="minorHAnsi" w:cstheme="minorHAnsi"/>
                <w:sz w:val="18"/>
                <w:szCs w:val="18"/>
              </w:rPr>
              <w:t>A</w:t>
            </w:r>
            <w:r w:rsidRPr="005379D3">
              <w:rPr>
                <w:rFonts w:asciiTheme="minorHAnsi" w:eastAsia="Times New Roman" w:hAnsiTheme="minorHAnsi" w:cstheme="minorHAnsi"/>
                <w:sz w:val="18"/>
                <w:szCs w:val="18"/>
              </w:rPr>
              <w:t xml:space="preserve">djustment of generation, transmission, </w:t>
            </w:r>
            <w:proofErr w:type="gramStart"/>
            <w:r w:rsidRPr="005379D3">
              <w:rPr>
                <w:rFonts w:asciiTheme="minorHAnsi" w:eastAsia="Times New Roman" w:hAnsiTheme="minorHAnsi" w:cstheme="minorHAnsi"/>
                <w:sz w:val="18"/>
                <w:szCs w:val="18"/>
              </w:rPr>
              <w:t>distribution</w:t>
            </w:r>
            <w:proofErr w:type="gramEnd"/>
            <w:r w:rsidRPr="005379D3">
              <w:rPr>
                <w:rFonts w:asciiTheme="minorHAnsi" w:eastAsia="Times New Roman" w:hAnsiTheme="minorHAnsi" w:cstheme="minorHAnsi"/>
                <w:sz w:val="18"/>
                <w:szCs w:val="18"/>
              </w:rPr>
              <w:t xml:space="preserve"> and end-user tariffs as per new tariff methodology and consistent with the targets approved under the Electricity Tariff Paper.</w:t>
            </w:r>
          </w:p>
        </w:tc>
        <w:tc>
          <w:tcPr>
            <w:tcW w:w="2430" w:type="dxa"/>
          </w:tcPr>
          <w:p w14:paraId="7B1B2CC5" w14:textId="77777777" w:rsidR="005A237D" w:rsidRPr="005379D3" w:rsidRDefault="005A237D" w:rsidP="005A237D">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5C917960" w14:textId="77777777" w:rsidR="005A237D" w:rsidRPr="005379D3" w:rsidRDefault="005A237D" w:rsidP="005A237D">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5A237D" w:rsidRPr="005379D3" w14:paraId="601D13BD" w14:textId="77777777" w:rsidTr="00A64B72">
        <w:trPr>
          <w:trHeight w:val="665"/>
        </w:trPr>
        <w:tc>
          <w:tcPr>
            <w:tcW w:w="3127" w:type="dxa"/>
          </w:tcPr>
          <w:p w14:paraId="5D116DAA" w14:textId="6EA47A86" w:rsidR="005A237D" w:rsidRPr="005379D3" w:rsidRDefault="005A237D" w:rsidP="005A237D">
            <w:pPr>
              <w:rPr>
                <w:rFonts w:asciiTheme="minorHAnsi" w:eastAsia="Times New Roman" w:hAnsiTheme="minorHAnsi" w:cstheme="minorHAnsi"/>
                <w:sz w:val="18"/>
                <w:szCs w:val="18"/>
              </w:rPr>
            </w:pPr>
            <w:r w:rsidRPr="005379D3">
              <w:rPr>
                <w:rFonts w:asciiTheme="minorHAnsi" w:eastAsia="Times New Roman" w:hAnsiTheme="minorHAnsi" w:cstheme="minorHAnsi"/>
                <w:sz w:val="18"/>
                <w:szCs w:val="18"/>
              </w:rPr>
              <w:t>DLR 1.</w:t>
            </w:r>
            <w:r>
              <w:rPr>
                <w:rFonts w:asciiTheme="minorHAnsi" w:eastAsia="Times New Roman" w:hAnsiTheme="minorHAnsi" w:cstheme="minorHAnsi"/>
                <w:sz w:val="18"/>
                <w:szCs w:val="18"/>
              </w:rPr>
              <w:t>4</w:t>
            </w:r>
            <w:r w:rsidRPr="005379D3">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By December 31, 2025, a</w:t>
            </w:r>
            <w:r w:rsidRPr="00200285">
              <w:rPr>
                <w:rFonts w:asciiTheme="minorHAnsi" w:eastAsia="Times New Roman" w:hAnsiTheme="minorHAnsi" w:cstheme="minorHAnsi"/>
                <w:sz w:val="18"/>
                <w:szCs w:val="18"/>
              </w:rPr>
              <w:t xml:space="preserve">t least annual adjustment of generation, transmission, </w:t>
            </w:r>
            <w:proofErr w:type="gramStart"/>
            <w:r w:rsidRPr="00200285">
              <w:rPr>
                <w:rFonts w:asciiTheme="minorHAnsi" w:eastAsia="Times New Roman" w:hAnsiTheme="minorHAnsi" w:cstheme="minorHAnsi"/>
                <w:sz w:val="18"/>
                <w:szCs w:val="18"/>
              </w:rPr>
              <w:t>distribution</w:t>
            </w:r>
            <w:proofErr w:type="gramEnd"/>
            <w:r w:rsidRPr="00200285">
              <w:rPr>
                <w:rFonts w:asciiTheme="minorHAnsi" w:eastAsia="Times New Roman" w:hAnsiTheme="minorHAnsi" w:cstheme="minorHAnsi"/>
                <w:sz w:val="18"/>
                <w:szCs w:val="18"/>
              </w:rPr>
              <w:t xml:space="preserve"> and end-user tariffs as per new tariff methodology and consistent with the targets approved under the Electricity Tariff Paper</w:t>
            </w:r>
            <w:r>
              <w:rPr>
                <w:rFonts w:asciiTheme="minorHAnsi" w:eastAsia="Times New Roman" w:hAnsiTheme="minorHAnsi" w:cstheme="minorHAnsi"/>
                <w:sz w:val="18"/>
                <w:szCs w:val="18"/>
              </w:rPr>
              <w:t>.</w:t>
            </w:r>
          </w:p>
        </w:tc>
        <w:tc>
          <w:tcPr>
            <w:tcW w:w="1350" w:type="dxa"/>
          </w:tcPr>
          <w:p w14:paraId="00A8FFA2" w14:textId="600334DC" w:rsidR="005A237D" w:rsidRPr="005A237D" w:rsidRDefault="005A237D" w:rsidP="005A237D">
            <w:pPr>
              <w:rPr>
                <w:rFonts w:asciiTheme="minorHAnsi" w:hAnsiTheme="minorHAnsi" w:cstheme="minorHAnsi"/>
                <w:sz w:val="18"/>
                <w:szCs w:val="18"/>
              </w:rPr>
            </w:pPr>
            <w:r>
              <w:rPr>
                <w:rFonts w:asciiTheme="minorHAnsi" w:hAnsiTheme="minorHAnsi" w:cstheme="minorHAnsi"/>
                <w:sz w:val="18"/>
                <w:szCs w:val="18"/>
              </w:rPr>
              <w:t>US$</w:t>
            </w:r>
            <w:r w:rsidRPr="005A237D">
              <w:rPr>
                <w:rFonts w:asciiTheme="minorHAnsi" w:hAnsiTheme="minorHAnsi" w:cstheme="minorHAnsi"/>
                <w:sz w:val="18"/>
                <w:szCs w:val="18"/>
              </w:rPr>
              <w:t>500,000</w:t>
            </w:r>
          </w:p>
        </w:tc>
        <w:tc>
          <w:tcPr>
            <w:tcW w:w="990" w:type="dxa"/>
          </w:tcPr>
          <w:p w14:paraId="6E639A67" w14:textId="77777777" w:rsidR="005A237D" w:rsidRPr="005379D3" w:rsidRDefault="005A237D" w:rsidP="005A237D">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7E27563B" w14:textId="554562C9" w:rsidR="005A237D" w:rsidRPr="005379D3" w:rsidRDefault="005A237D" w:rsidP="005A237D">
            <w:pPr>
              <w:rPr>
                <w:rFonts w:asciiTheme="minorHAnsi" w:hAnsiTheme="minorHAnsi" w:cstheme="minorHAnsi"/>
                <w:sz w:val="18"/>
                <w:szCs w:val="18"/>
              </w:rPr>
            </w:pPr>
            <w:r>
              <w:rPr>
                <w:rFonts w:asciiTheme="minorHAnsi" w:hAnsiTheme="minorHAnsi" w:cstheme="minorHAnsi"/>
                <w:sz w:val="18"/>
                <w:szCs w:val="18"/>
              </w:rPr>
              <w:t>Dec. 31, 2025</w:t>
            </w:r>
          </w:p>
        </w:tc>
        <w:tc>
          <w:tcPr>
            <w:tcW w:w="2700" w:type="dxa"/>
          </w:tcPr>
          <w:p w14:paraId="462401B4" w14:textId="77777777" w:rsidR="005A237D" w:rsidRPr="005379D3" w:rsidRDefault="005A237D" w:rsidP="005A237D">
            <w:pPr>
              <w:rPr>
                <w:rFonts w:asciiTheme="minorHAnsi" w:hAnsiTheme="minorHAnsi" w:cstheme="minorHAnsi"/>
                <w:sz w:val="18"/>
                <w:szCs w:val="18"/>
              </w:rPr>
            </w:pPr>
            <w:r>
              <w:rPr>
                <w:rFonts w:asciiTheme="minorHAnsi" w:eastAsia="Times New Roman" w:hAnsiTheme="minorHAnsi" w:cstheme="minorHAnsi"/>
                <w:sz w:val="18"/>
                <w:szCs w:val="18"/>
              </w:rPr>
              <w:t>A</w:t>
            </w:r>
            <w:r w:rsidRPr="005379D3">
              <w:rPr>
                <w:rFonts w:asciiTheme="minorHAnsi" w:eastAsia="Times New Roman" w:hAnsiTheme="minorHAnsi" w:cstheme="minorHAnsi"/>
                <w:sz w:val="18"/>
                <w:szCs w:val="18"/>
              </w:rPr>
              <w:t xml:space="preserve">djustment of generation, transmission, </w:t>
            </w:r>
            <w:proofErr w:type="gramStart"/>
            <w:r w:rsidRPr="005379D3">
              <w:rPr>
                <w:rFonts w:asciiTheme="minorHAnsi" w:eastAsia="Times New Roman" w:hAnsiTheme="minorHAnsi" w:cstheme="minorHAnsi"/>
                <w:sz w:val="18"/>
                <w:szCs w:val="18"/>
              </w:rPr>
              <w:t>distribution</w:t>
            </w:r>
            <w:proofErr w:type="gramEnd"/>
            <w:r w:rsidRPr="005379D3">
              <w:rPr>
                <w:rFonts w:asciiTheme="minorHAnsi" w:eastAsia="Times New Roman" w:hAnsiTheme="minorHAnsi" w:cstheme="minorHAnsi"/>
                <w:sz w:val="18"/>
                <w:szCs w:val="18"/>
              </w:rPr>
              <w:t xml:space="preserve"> and end-user tariffs as per new tariff methodology and consistent with the targets approved under the Electricity Tariff Paper.</w:t>
            </w:r>
          </w:p>
        </w:tc>
        <w:tc>
          <w:tcPr>
            <w:tcW w:w="2430" w:type="dxa"/>
          </w:tcPr>
          <w:p w14:paraId="6E62425C" w14:textId="77777777" w:rsidR="005A237D" w:rsidRPr="005379D3" w:rsidRDefault="005A237D" w:rsidP="005A237D">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4A98B9CF" w14:textId="77777777" w:rsidR="005A237D" w:rsidRPr="005379D3" w:rsidRDefault="005A237D" w:rsidP="005A237D">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5A237D" w:rsidRPr="005379D3" w14:paraId="35433786" w14:textId="77777777" w:rsidTr="00A64B72">
        <w:trPr>
          <w:trHeight w:val="665"/>
        </w:trPr>
        <w:tc>
          <w:tcPr>
            <w:tcW w:w="3127" w:type="dxa"/>
          </w:tcPr>
          <w:p w14:paraId="568B15D2" w14:textId="0B8576C2" w:rsidR="005A237D" w:rsidRPr="005379D3" w:rsidRDefault="005A237D" w:rsidP="005A237D">
            <w:pPr>
              <w:rPr>
                <w:rFonts w:asciiTheme="minorHAnsi" w:eastAsia="Times New Roman" w:hAnsiTheme="minorHAnsi" w:cstheme="minorHAnsi"/>
                <w:sz w:val="18"/>
                <w:szCs w:val="18"/>
              </w:rPr>
            </w:pPr>
            <w:r w:rsidRPr="005379D3">
              <w:rPr>
                <w:rFonts w:asciiTheme="minorHAnsi" w:eastAsia="Times New Roman" w:hAnsiTheme="minorHAnsi" w:cstheme="minorHAnsi"/>
                <w:sz w:val="18"/>
                <w:szCs w:val="18"/>
              </w:rPr>
              <w:t>DLR 1.</w:t>
            </w:r>
            <w:r>
              <w:rPr>
                <w:rFonts w:asciiTheme="minorHAnsi" w:eastAsia="Times New Roman" w:hAnsiTheme="minorHAnsi" w:cstheme="minorHAnsi"/>
                <w:sz w:val="18"/>
                <w:szCs w:val="18"/>
              </w:rPr>
              <w:t>5</w:t>
            </w:r>
            <w:r w:rsidRPr="005379D3">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By December 31, 2026, a</w:t>
            </w:r>
            <w:r w:rsidRPr="00200285">
              <w:rPr>
                <w:rFonts w:asciiTheme="minorHAnsi" w:eastAsia="Times New Roman" w:hAnsiTheme="minorHAnsi" w:cstheme="minorHAnsi"/>
                <w:sz w:val="18"/>
                <w:szCs w:val="18"/>
              </w:rPr>
              <w:t xml:space="preserve">t least annual adjustment of generation, transmission, </w:t>
            </w:r>
            <w:proofErr w:type="gramStart"/>
            <w:r w:rsidRPr="00200285">
              <w:rPr>
                <w:rFonts w:asciiTheme="minorHAnsi" w:eastAsia="Times New Roman" w:hAnsiTheme="minorHAnsi" w:cstheme="minorHAnsi"/>
                <w:sz w:val="18"/>
                <w:szCs w:val="18"/>
              </w:rPr>
              <w:t>distribution</w:t>
            </w:r>
            <w:proofErr w:type="gramEnd"/>
            <w:r w:rsidRPr="00200285">
              <w:rPr>
                <w:rFonts w:asciiTheme="minorHAnsi" w:eastAsia="Times New Roman" w:hAnsiTheme="minorHAnsi" w:cstheme="minorHAnsi"/>
                <w:sz w:val="18"/>
                <w:szCs w:val="18"/>
              </w:rPr>
              <w:t xml:space="preserve"> and end-user </w:t>
            </w:r>
            <w:r w:rsidRPr="00200285">
              <w:rPr>
                <w:rFonts w:asciiTheme="minorHAnsi" w:eastAsia="Times New Roman" w:hAnsiTheme="minorHAnsi" w:cstheme="minorHAnsi"/>
                <w:sz w:val="18"/>
                <w:szCs w:val="18"/>
              </w:rPr>
              <w:lastRenderedPageBreak/>
              <w:t>tariffs as per new tariff methodology and consistent with the targets approved under the Electricity Tariff Paper</w:t>
            </w:r>
            <w:r>
              <w:rPr>
                <w:rFonts w:asciiTheme="minorHAnsi" w:eastAsia="Times New Roman" w:hAnsiTheme="minorHAnsi" w:cstheme="minorHAnsi"/>
                <w:sz w:val="18"/>
                <w:szCs w:val="18"/>
              </w:rPr>
              <w:t>.</w:t>
            </w:r>
          </w:p>
        </w:tc>
        <w:tc>
          <w:tcPr>
            <w:tcW w:w="1350" w:type="dxa"/>
          </w:tcPr>
          <w:p w14:paraId="30D1032A" w14:textId="41E8A17C" w:rsidR="005A237D" w:rsidRPr="005A237D" w:rsidRDefault="005A237D" w:rsidP="005A237D">
            <w:pPr>
              <w:rPr>
                <w:rFonts w:asciiTheme="minorHAnsi" w:hAnsiTheme="minorHAnsi" w:cstheme="minorHAnsi"/>
                <w:sz w:val="18"/>
                <w:szCs w:val="18"/>
              </w:rPr>
            </w:pPr>
            <w:r>
              <w:rPr>
                <w:rFonts w:asciiTheme="minorHAnsi" w:hAnsiTheme="minorHAnsi" w:cstheme="minorHAnsi"/>
                <w:sz w:val="18"/>
                <w:szCs w:val="18"/>
              </w:rPr>
              <w:lastRenderedPageBreak/>
              <w:t>US$</w:t>
            </w:r>
            <w:r w:rsidRPr="005A237D">
              <w:rPr>
                <w:rFonts w:asciiTheme="minorHAnsi" w:hAnsiTheme="minorHAnsi" w:cstheme="minorHAnsi"/>
                <w:sz w:val="18"/>
                <w:szCs w:val="18"/>
              </w:rPr>
              <w:t>500,000</w:t>
            </w:r>
          </w:p>
        </w:tc>
        <w:tc>
          <w:tcPr>
            <w:tcW w:w="990" w:type="dxa"/>
          </w:tcPr>
          <w:p w14:paraId="5D732EFC" w14:textId="77777777" w:rsidR="005A237D" w:rsidRPr="005379D3" w:rsidRDefault="005A237D" w:rsidP="005A237D">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26DE5363" w14:textId="3649AF68" w:rsidR="005A237D" w:rsidRPr="005379D3" w:rsidRDefault="005A237D" w:rsidP="005A237D">
            <w:pPr>
              <w:rPr>
                <w:rFonts w:asciiTheme="minorHAnsi" w:hAnsiTheme="minorHAnsi" w:cstheme="minorHAnsi"/>
                <w:sz w:val="18"/>
                <w:szCs w:val="18"/>
              </w:rPr>
            </w:pPr>
            <w:r w:rsidRPr="005379D3">
              <w:rPr>
                <w:rFonts w:asciiTheme="minorHAnsi" w:hAnsiTheme="minorHAnsi" w:cstheme="minorHAnsi"/>
                <w:sz w:val="18"/>
                <w:szCs w:val="18"/>
              </w:rPr>
              <w:t>Dec. 31, 202</w:t>
            </w:r>
            <w:r>
              <w:rPr>
                <w:rFonts w:asciiTheme="minorHAnsi" w:hAnsiTheme="minorHAnsi" w:cstheme="minorHAnsi"/>
                <w:sz w:val="18"/>
                <w:szCs w:val="18"/>
              </w:rPr>
              <w:t>6</w:t>
            </w:r>
          </w:p>
        </w:tc>
        <w:tc>
          <w:tcPr>
            <w:tcW w:w="2700" w:type="dxa"/>
          </w:tcPr>
          <w:p w14:paraId="3A31CEA3" w14:textId="77777777" w:rsidR="005A237D" w:rsidRPr="005379D3" w:rsidRDefault="005A237D" w:rsidP="005A237D">
            <w:pPr>
              <w:rPr>
                <w:rFonts w:asciiTheme="minorHAnsi" w:hAnsiTheme="minorHAnsi" w:cstheme="minorHAnsi"/>
                <w:sz w:val="18"/>
                <w:szCs w:val="18"/>
              </w:rPr>
            </w:pPr>
            <w:r w:rsidRPr="005379D3">
              <w:rPr>
                <w:rFonts w:asciiTheme="minorHAnsi" w:eastAsia="Times New Roman" w:hAnsiTheme="minorHAnsi" w:cstheme="minorHAnsi"/>
                <w:sz w:val="18"/>
                <w:szCs w:val="18"/>
              </w:rPr>
              <w:t xml:space="preserve">Adjustment of generation, transmission, </w:t>
            </w:r>
            <w:proofErr w:type="gramStart"/>
            <w:r w:rsidRPr="005379D3">
              <w:rPr>
                <w:rFonts w:asciiTheme="minorHAnsi" w:eastAsia="Times New Roman" w:hAnsiTheme="minorHAnsi" w:cstheme="minorHAnsi"/>
                <w:sz w:val="18"/>
                <w:szCs w:val="18"/>
              </w:rPr>
              <w:t>distribution</w:t>
            </w:r>
            <w:proofErr w:type="gramEnd"/>
            <w:r w:rsidRPr="005379D3">
              <w:rPr>
                <w:rFonts w:asciiTheme="minorHAnsi" w:eastAsia="Times New Roman" w:hAnsiTheme="minorHAnsi" w:cstheme="minorHAnsi"/>
                <w:sz w:val="18"/>
                <w:szCs w:val="18"/>
              </w:rPr>
              <w:t xml:space="preserve"> and end-user tariffs as per new tariff </w:t>
            </w:r>
            <w:r w:rsidRPr="005379D3">
              <w:rPr>
                <w:rFonts w:asciiTheme="minorHAnsi" w:eastAsia="Times New Roman" w:hAnsiTheme="minorHAnsi" w:cstheme="minorHAnsi"/>
                <w:sz w:val="18"/>
                <w:szCs w:val="18"/>
              </w:rPr>
              <w:lastRenderedPageBreak/>
              <w:t>methodology and consistent with the targets approved under the Electricity Tariff Paper.</w:t>
            </w:r>
          </w:p>
        </w:tc>
        <w:tc>
          <w:tcPr>
            <w:tcW w:w="2430" w:type="dxa"/>
          </w:tcPr>
          <w:p w14:paraId="23D11C9B" w14:textId="77777777" w:rsidR="005A237D" w:rsidRPr="005379D3" w:rsidRDefault="005A237D" w:rsidP="005A237D">
            <w:pPr>
              <w:rPr>
                <w:rFonts w:asciiTheme="minorHAnsi" w:hAnsiTheme="minorHAnsi" w:cstheme="minorHAnsi"/>
                <w:sz w:val="18"/>
                <w:szCs w:val="18"/>
              </w:rPr>
            </w:pPr>
            <w:r w:rsidRPr="005379D3">
              <w:rPr>
                <w:rFonts w:asciiTheme="minorHAnsi" w:hAnsiTheme="minorHAnsi" w:cstheme="minorHAnsi"/>
                <w:sz w:val="18"/>
                <w:szCs w:val="18"/>
              </w:rPr>
              <w:lastRenderedPageBreak/>
              <w:t>N/A</w:t>
            </w:r>
          </w:p>
        </w:tc>
        <w:tc>
          <w:tcPr>
            <w:tcW w:w="2340" w:type="dxa"/>
          </w:tcPr>
          <w:p w14:paraId="28433489" w14:textId="77777777" w:rsidR="005A237D" w:rsidRPr="005379D3" w:rsidRDefault="005A237D" w:rsidP="005A237D">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w:t>
            </w:r>
            <w:r w:rsidRPr="005379D3">
              <w:rPr>
                <w:rFonts w:asciiTheme="minorHAnsi" w:hAnsiTheme="minorHAnsi" w:cstheme="minorHAnsi"/>
                <w:sz w:val="18"/>
                <w:szCs w:val="18"/>
              </w:rPr>
              <w:lastRenderedPageBreak/>
              <w:t>partial or complete non-compliance.</w:t>
            </w:r>
          </w:p>
        </w:tc>
      </w:tr>
      <w:tr w:rsidR="005A237D" w:rsidRPr="005379D3" w14:paraId="19C51657" w14:textId="77777777" w:rsidTr="00A64B72">
        <w:trPr>
          <w:trHeight w:val="665"/>
        </w:trPr>
        <w:tc>
          <w:tcPr>
            <w:tcW w:w="3127" w:type="dxa"/>
          </w:tcPr>
          <w:p w14:paraId="6EB5DBA8" w14:textId="7A2D4F2D" w:rsidR="005A237D" w:rsidRPr="005379D3" w:rsidRDefault="005A237D" w:rsidP="005A237D">
            <w:pPr>
              <w:ind w:left="-40"/>
              <w:rPr>
                <w:rFonts w:asciiTheme="minorHAnsi" w:eastAsia="Times New Roman" w:hAnsiTheme="minorHAnsi" w:cstheme="minorHAnsi"/>
                <w:sz w:val="18"/>
                <w:szCs w:val="18"/>
              </w:rPr>
            </w:pPr>
            <w:r w:rsidRPr="005379D3">
              <w:rPr>
                <w:rFonts w:asciiTheme="minorHAnsi" w:eastAsia="Times New Roman" w:hAnsiTheme="minorHAnsi" w:cstheme="minorHAnsi"/>
                <w:sz w:val="18"/>
                <w:szCs w:val="18"/>
              </w:rPr>
              <w:lastRenderedPageBreak/>
              <w:t>DLR 1.</w:t>
            </w:r>
            <w:r>
              <w:rPr>
                <w:rFonts w:asciiTheme="minorHAnsi" w:eastAsia="Times New Roman" w:hAnsiTheme="minorHAnsi" w:cstheme="minorHAnsi"/>
                <w:sz w:val="18"/>
                <w:szCs w:val="18"/>
              </w:rPr>
              <w:t>6</w:t>
            </w:r>
            <w:r w:rsidRPr="005379D3">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By Dec. 31, 2027, a</w:t>
            </w:r>
            <w:r w:rsidRPr="00200285">
              <w:rPr>
                <w:rFonts w:asciiTheme="minorHAnsi" w:eastAsia="Times New Roman" w:hAnsiTheme="minorHAnsi" w:cstheme="minorHAnsi"/>
                <w:sz w:val="18"/>
                <w:szCs w:val="18"/>
              </w:rPr>
              <w:t xml:space="preserve">t least annual adjustment of generation, transmission, </w:t>
            </w:r>
            <w:proofErr w:type="gramStart"/>
            <w:r w:rsidRPr="00200285">
              <w:rPr>
                <w:rFonts w:asciiTheme="minorHAnsi" w:eastAsia="Times New Roman" w:hAnsiTheme="minorHAnsi" w:cstheme="minorHAnsi"/>
                <w:sz w:val="18"/>
                <w:szCs w:val="18"/>
              </w:rPr>
              <w:t>distribution</w:t>
            </w:r>
            <w:proofErr w:type="gramEnd"/>
            <w:r w:rsidRPr="00200285">
              <w:rPr>
                <w:rFonts w:asciiTheme="minorHAnsi" w:eastAsia="Times New Roman" w:hAnsiTheme="minorHAnsi" w:cstheme="minorHAnsi"/>
                <w:sz w:val="18"/>
                <w:szCs w:val="18"/>
              </w:rPr>
              <w:t xml:space="preserve"> and end-user tariffs as per new tariff methodology and consistent with the targets approved under the Electricity Tariff Paper</w:t>
            </w:r>
            <w:r>
              <w:rPr>
                <w:rFonts w:asciiTheme="minorHAnsi" w:eastAsia="Times New Roman" w:hAnsiTheme="minorHAnsi" w:cstheme="minorHAnsi"/>
                <w:sz w:val="18"/>
                <w:szCs w:val="18"/>
              </w:rPr>
              <w:t>.</w:t>
            </w:r>
          </w:p>
        </w:tc>
        <w:tc>
          <w:tcPr>
            <w:tcW w:w="1350" w:type="dxa"/>
          </w:tcPr>
          <w:p w14:paraId="51B89CEA" w14:textId="0E959065" w:rsidR="005A237D" w:rsidRPr="005A237D" w:rsidRDefault="005A237D" w:rsidP="005A237D">
            <w:pPr>
              <w:rPr>
                <w:rFonts w:asciiTheme="minorHAnsi" w:hAnsiTheme="minorHAnsi" w:cstheme="minorHAnsi"/>
                <w:sz w:val="18"/>
                <w:szCs w:val="18"/>
              </w:rPr>
            </w:pPr>
            <w:r>
              <w:rPr>
                <w:rFonts w:asciiTheme="minorHAnsi" w:hAnsiTheme="minorHAnsi" w:cstheme="minorHAnsi"/>
                <w:sz w:val="18"/>
                <w:szCs w:val="18"/>
              </w:rPr>
              <w:t>US$</w:t>
            </w:r>
            <w:r w:rsidRPr="005A237D">
              <w:rPr>
                <w:rFonts w:asciiTheme="minorHAnsi" w:hAnsiTheme="minorHAnsi" w:cstheme="minorHAnsi"/>
                <w:sz w:val="18"/>
                <w:szCs w:val="18"/>
              </w:rPr>
              <w:t>200,000</w:t>
            </w:r>
          </w:p>
        </w:tc>
        <w:tc>
          <w:tcPr>
            <w:tcW w:w="990" w:type="dxa"/>
          </w:tcPr>
          <w:p w14:paraId="3268919A" w14:textId="77777777" w:rsidR="005A237D" w:rsidRPr="005379D3" w:rsidRDefault="005A237D" w:rsidP="005A237D">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70A69D8E" w14:textId="7EA1BE6F" w:rsidR="005A237D" w:rsidRPr="005379D3" w:rsidRDefault="005A237D" w:rsidP="005A237D">
            <w:pPr>
              <w:rPr>
                <w:rFonts w:asciiTheme="minorHAnsi" w:hAnsiTheme="minorHAnsi" w:cstheme="minorHAnsi"/>
                <w:sz w:val="18"/>
                <w:szCs w:val="18"/>
              </w:rPr>
            </w:pPr>
            <w:r w:rsidRPr="005379D3">
              <w:rPr>
                <w:rFonts w:asciiTheme="minorHAnsi" w:hAnsiTheme="minorHAnsi" w:cstheme="minorHAnsi"/>
                <w:sz w:val="18"/>
                <w:szCs w:val="18"/>
              </w:rPr>
              <w:t>Dec. 31, 202</w:t>
            </w:r>
            <w:r>
              <w:rPr>
                <w:rFonts w:asciiTheme="minorHAnsi" w:hAnsiTheme="minorHAnsi" w:cstheme="minorHAnsi"/>
                <w:sz w:val="18"/>
                <w:szCs w:val="18"/>
              </w:rPr>
              <w:t>7</w:t>
            </w:r>
          </w:p>
        </w:tc>
        <w:tc>
          <w:tcPr>
            <w:tcW w:w="2700" w:type="dxa"/>
          </w:tcPr>
          <w:p w14:paraId="42F73DE8" w14:textId="77777777" w:rsidR="005A237D" w:rsidRPr="005379D3" w:rsidRDefault="005A237D" w:rsidP="005A237D">
            <w:pPr>
              <w:rPr>
                <w:rFonts w:asciiTheme="minorHAnsi" w:hAnsiTheme="minorHAnsi" w:cstheme="minorHAnsi"/>
                <w:sz w:val="18"/>
                <w:szCs w:val="18"/>
              </w:rPr>
            </w:pPr>
            <w:r>
              <w:rPr>
                <w:rFonts w:asciiTheme="minorHAnsi" w:eastAsia="Times New Roman" w:hAnsiTheme="minorHAnsi" w:cstheme="minorHAnsi"/>
                <w:sz w:val="18"/>
                <w:szCs w:val="18"/>
              </w:rPr>
              <w:t>A</w:t>
            </w:r>
            <w:r w:rsidRPr="005379D3">
              <w:rPr>
                <w:rFonts w:asciiTheme="minorHAnsi" w:eastAsia="Times New Roman" w:hAnsiTheme="minorHAnsi" w:cstheme="minorHAnsi"/>
                <w:sz w:val="18"/>
                <w:szCs w:val="18"/>
              </w:rPr>
              <w:t xml:space="preserve">djustment of generation, transmission, </w:t>
            </w:r>
            <w:proofErr w:type="gramStart"/>
            <w:r w:rsidRPr="005379D3">
              <w:rPr>
                <w:rFonts w:asciiTheme="minorHAnsi" w:eastAsia="Times New Roman" w:hAnsiTheme="minorHAnsi" w:cstheme="minorHAnsi"/>
                <w:sz w:val="18"/>
                <w:szCs w:val="18"/>
              </w:rPr>
              <w:t>distribution</w:t>
            </w:r>
            <w:proofErr w:type="gramEnd"/>
            <w:r w:rsidRPr="005379D3">
              <w:rPr>
                <w:rFonts w:asciiTheme="minorHAnsi" w:eastAsia="Times New Roman" w:hAnsiTheme="minorHAnsi" w:cstheme="minorHAnsi"/>
                <w:sz w:val="18"/>
                <w:szCs w:val="18"/>
              </w:rPr>
              <w:t xml:space="preserve"> and end-user tariffs as per new tariff methodology and consistent with the targets approved under the Electricity Tariff Paper.</w:t>
            </w:r>
          </w:p>
        </w:tc>
        <w:tc>
          <w:tcPr>
            <w:tcW w:w="2430" w:type="dxa"/>
          </w:tcPr>
          <w:p w14:paraId="220EC7B9" w14:textId="77777777" w:rsidR="005A237D" w:rsidRPr="005379D3" w:rsidRDefault="005A237D" w:rsidP="005A237D">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2C10C0E7" w14:textId="77777777" w:rsidR="005A237D" w:rsidRPr="005379D3" w:rsidRDefault="005A237D" w:rsidP="005A237D">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 </w:t>
            </w:r>
            <w:r w:rsidRPr="005379D3">
              <w:rPr>
                <w:rFonts w:asciiTheme="minorHAnsi" w:hAnsiTheme="minorHAnsi" w:cstheme="minorHAnsi"/>
                <w:sz w:val="18"/>
                <w:szCs w:val="18"/>
              </w:rPr>
              <w:t>disbursement for full compliance. No disbursement in case of partial or complete non-compliance.</w:t>
            </w:r>
          </w:p>
        </w:tc>
      </w:tr>
      <w:tr w:rsidR="005A237D" w:rsidRPr="005379D3" w14:paraId="75FE631D" w14:textId="77777777" w:rsidTr="00A64B72">
        <w:trPr>
          <w:trHeight w:val="665"/>
        </w:trPr>
        <w:tc>
          <w:tcPr>
            <w:tcW w:w="3127" w:type="dxa"/>
          </w:tcPr>
          <w:p w14:paraId="6E36847B" w14:textId="1A1DF411" w:rsidR="005A237D" w:rsidRPr="005379D3" w:rsidRDefault="005A237D" w:rsidP="005A237D">
            <w:pPr>
              <w:ind w:left="-40"/>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DLR 1.7: By September 30, 2022, </w:t>
            </w:r>
            <w:r w:rsidRPr="002845CB">
              <w:rPr>
                <w:rFonts w:asciiTheme="minorHAnsi" w:eastAsia="Times New Roman" w:hAnsiTheme="minorHAnsi" w:cstheme="minorHAnsi"/>
                <w:sz w:val="18"/>
                <w:szCs w:val="18"/>
              </w:rPr>
              <w:t>(a) approval by the Recipient’s government of the Electricity Tariff Paper satisfactory to the Association, with estimated full cost-recovery tariff and tariff adjustment plan to reach full cost-recovery by the end of 20</w:t>
            </w:r>
            <w:r>
              <w:rPr>
                <w:rFonts w:asciiTheme="minorHAnsi" w:eastAsia="Times New Roman" w:hAnsiTheme="minorHAnsi" w:cstheme="minorHAnsi"/>
                <w:sz w:val="18"/>
                <w:szCs w:val="18"/>
              </w:rPr>
              <w:t>31</w:t>
            </w:r>
            <w:r w:rsidRPr="002845CB">
              <w:rPr>
                <w:rFonts w:asciiTheme="minorHAnsi" w:eastAsia="Times New Roman" w:hAnsiTheme="minorHAnsi" w:cstheme="minorHAnsi"/>
                <w:sz w:val="18"/>
                <w:szCs w:val="18"/>
              </w:rPr>
              <w:t>; and (b) establishment of an adequately staffed Tariff Unit at the AM</w:t>
            </w:r>
            <w:r w:rsidR="00842CA3">
              <w:rPr>
                <w:rFonts w:asciiTheme="minorHAnsi" w:eastAsia="Times New Roman" w:hAnsiTheme="minorHAnsi" w:cstheme="minorHAnsi"/>
                <w:sz w:val="18"/>
                <w:szCs w:val="18"/>
              </w:rPr>
              <w:t>S</w:t>
            </w:r>
          </w:p>
        </w:tc>
        <w:tc>
          <w:tcPr>
            <w:tcW w:w="1350" w:type="dxa"/>
          </w:tcPr>
          <w:p w14:paraId="3C8543DE" w14:textId="5D6B01EF" w:rsidR="005A237D" w:rsidRPr="005A237D" w:rsidRDefault="005A237D" w:rsidP="005A237D">
            <w:pPr>
              <w:rPr>
                <w:rFonts w:asciiTheme="minorHAnsi" w:hAnsiTheme="minorHAnsi" w:cstheme="minorHAnsi"/>
                <w:sz w:val="18"/>
                <w:szCs w:val="18"/>
              </w:rPr>
            </w:pPr>
            <w:r>
              <w:rPr>
                <w:rFonts w:asciiTheme="minorHAnsi" w:hAnsiTheme="minorHAnsi" w:cstheme="minorHAnsi"/>
                <w:sz w:val="18"/>
                <w:szCs w:val="18"/>
              </w:rPr>
              <w:t>US$</w:t>
            </w:r>
            <w:r w:rsidRPr="005A237D">
              <w:rPr>
                <w:rFonts w:asciiTheme="minorHAnsi" w:hAnsiTheme="minorHAnsi" w:cstheme="minorHAnsi"/>
                <w:sz w:val="18"/>
                <w:szCs w:val="18"/>
              </w:rPr>
              <w:t>200,000</w:t>
            </w:r>
          </w:p>
        </w:tc>
        <w:tc>
          <w:tcPr>
            <w:tcW w:w="990" w:type="dxa"/>
          </w:tcPr>
          <w:p w14:paraId="5F8965C0" w14:textId="7344A366" w:rsidR="005A237D" w:rsidRDefault="005A237D" w:rsidP="005A237D">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3511693E" w14:textId="6BF3B6F4" w:rsidR="005A237D" w:rsidRPr="005379D3" w:rsidRDefault="005A237D" w:rsidP="005A237D">
            <w:pPr>
              <w:rPr>
                <w:rFonts w:asciiTheme="minorHAnsi" w:hAnsiTheme="minorHAnsi" w:cstheme="minorHAnsi"/>
                <w:sz w:val="18"/>
                <w:szCs w:val="18"/>
              </w:rPr>
            </w:pPr>
            <w:r>
              <w:rPr>
                <w:rFonts w:asciiTheme="minorHAnsi" w:hAnsiTheme="minorHAnsi" w:cstheme="minorHAnsi"/>
                <w:sz w:val="18"/>
                <w:szCs w:val="18"/>
              </w:rPr>
              <w:t>Sep. 30, 2022</w:t>
            </w:r>
          </w:p>
        </w:tc>
        <w:tc>
          <w:tcPr>
            <w:tcW w:w="2700" w:type="dxa"/>
          </w:tcPr>
          <w:p w14:paraId="77FF37FA" w14:textId="5DAE15E2" w:rsidR="005A237D" w:rsidRDefault="005A237D" w:rsidP="005A237D">
            <w:pPr>
              <w:rPr>
                <w:rFonts w:asciiTheme="minorHAnsi" w:eastAsia="Times New Roman" w:hAnsiTheme="minorHAnsi" w:cstheme="minorHAnsi"/>
                <w:sz w:val="18"/>
                <w:szCs w:val="18"/>
              </w:rPr>
            </w:pPr>
            <w:r>
              <w:rPr>
                <w:rFonts w:asciiTheme="minorHAnsi" w:eastAsia="Times New Roman" w:hAnsiTheme="minorHAnsi" w:cstheme="minorHAnsi"/>
                <w:sz w:val="18"/>
                <w:szCs w:val="18"/>
              </w:rPr>
              <w:t>A</w:t>
            </w:r>
            <w:r w:rsidRPr="005379D3">
              <w:rPr>
                <w:rFonts w:asciiTheme="minorHAnsi" w:eastAsia="Times New Roman" w:hAnsiTheme="minorHAnsi" w:cstheme="minorHAnsi"/>
                <w:sz w:val="18"/>
                <w:szCs w:val="18"/>
              </w:rPr>
              <w:t>dequately staffed Tariff Unit at AM</w:t>
            </w:r>
            <w:r w:rsidR="00842CA3">
              <w:rPr>
                <w:rFonts w:asciiTheme="minorHAnsi" w:eastAsia="Times New Roman" w:hAnsiTheme="minorHAnsi" w:cstheme="minorHAnsi"/>
                <w:sz w:val="18"/>
                <w:szCs w:val="18"/>
              </w:rPr>
              <w:t>S</w:t>
            </w:r>
            <w:r w:rsidRPr="005379D3">
              <w:rPr>
                <w:rFonts w:asciiTheme="minorHAnsi" w:eastAsia="Times New Roman" w:hAnsiTheme="minorHAnsi" w:cstheme="minorHAnsi"/>
                <w:sz w:val="18"/>
                <w:szCs w:val="18"/>
              </w:rPr>
              <w:t xml:space="preserve"> is established; approval of the Electricity Tariff Paper (which may be updated) with estimated full cost-recovery tariff and tariff adjustment plan to reach full cost-recovery by the end of 20</w:t>
            </w:r>
            <w:r>
              <w:rPr>
                <w:rFonts w:asciiTheme="minorHAnsi" w:eastAsia="Times New Roman" w:hAnsiTheme="minorHAnsi" w:cstheme="minorHAnsi"/>
                <w:sz w:val="18"/>
                <w:szCs w:val="18"/>
              </w:rPr>
              <w:t>31.</w:t>
            </w:r>
          </w:p>
        </w:tc>
        <w:tc>
          <w:tcPr>
            <w:tcW w:w="2430" w:type="dxa"/>
          </w:tcPr>
          <w:p w14:paraId="15136477" w14:textId="123594E7" w:rsidR="005A237D" w:rsidRPr="005379D3" w:rsidRDefault="005A237D" w:rsidP="005A237D">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2401D969" w14:textId="6EF458D4" w:rsidR="005A237D" w:rsidRPr="005379D3" w:rsidRDefault="005A237D" w:rsidP="005A237D">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 </w:t>
            </w:r>
            <w:r w:rsidRPr="005379D3">
              <w:rPr>
                <w:rFonts w:asciiTheme="minorHAnsi" w:hAnsiTheme="minorHAnsi" w:cstheme="minorHAnsi"/>
                <w:sz w:val="18"/>
                <w:szCs w:val="18"/>
              </w:rPr>
              <w:t>disbursement for full compliance. No disbursement in case of partial or complete non-compliance.</w:t>
            </w:r>
          </w:p>
        </w:tc>
      </w:tr>
      <w:tr w:rsidR="005A237D" w:rsidRPr="005379D3" w14:paraId="3CE9CFA5" w14:textId="77777777" w:rsidTr="00A64B72">
        <w:trPr>
          <w:trHeight w:val="665"/>
        </w:trPr>
        <w:tc>
          <w:tcPr>
            <w:tcW w:w="3127" w:type="dxa"/>
          </w:tcPr>
          <w:p w14:paraId="02AAB934" w14:textId="26A4416A" w:rsidR="005A237D" w:rsidRPr="005379D3" w:rsidRDefault="005A237D" w:rsidP="005A237D">
            <w:pPr>
              <w:ind w:left="-40"/>
              <w:rPr>
                <w:rFonts w:asciiTheme="minorHAnsi" w:eastAsia="Times New Roman" w:hAnsiTheme="minorHAnsi" w:cstheme="minorHAnsi"/>
                <w:sz w:val="18"/>
                <w:szCs w:val="18"/>
              </w:rPr>
            </w:pPr>
            <w:r w:rsidRPr="002845CB">
              <w:rPr>
                <w:rFonts w:asciiTheme="minorHAnsi" w:eastAsia="Times New Roman" w:hAnsiTheme="minorHAnsi" w:cstheme="minorHAnsi"/>
                <w:sz w:val="18"/>
                <w:szCs w:val="18"/>
              </w:rPr>
              <w:t>DL</w:t>
            </w:r>
            <w:r>
              <w:rPr>
                <w:rFonts w:asciiTheme="minorHAnsi" w:eastAsia="Times New Roman" w:hAnsiTheme="minorHAnsi" w:cstheme="minorHAnsi"/>
                <w:sz w:val="18"/>
                <w:szCs w:val="18"/>
              </w:rPr>
              <w:t>R</w:t>
            </w:r>
            <w:r w:rsidRPr="002845CB">
              <w:rPr>
                <w:rFonts w:asciiTheme="minorHAnsi" w:eastAsia="Times New Roman" w:hAnsiTheme="minorHAnsi" w:cstheme="minorHAnsi"/>
                <w:sz w:val="18"/>
                <w:szCs w:val="18"/>
              </w:rPr>
              <w:t xml:space="preserve"> 1.8: </w:t>
            </w:r>
            <w:r>
              <w:rPr>
                <w:rFonts w:asciiTheme="minorHAnsi" w:eastAsia="Times New Roman" w:hAnsiTheme="minorHAnsi" w:cstheme="minorHAnsi"/>
                <w:sz w:val="18"/>
                <w:szCs w:val="18"/>
              </w:rPr>
              <w:t>By December 31, 2028, a</w:t>
            </w:r>
            <w:r w:rsidRPr="002845CB">
              <w:rPr>
                <w:rFonts w:asciiTheme="minorHAnsi" w:eastAsia="Times New Roman" w:hAnsiTheme="minorHAnsi" w:cstheme="minorHAnsi"/>
                <w:sz w:val="18"/>
                <w:szCs w:val="18"/>
              </w:rPr>
              <w:t>t least annual adjustment of generation, transmission, distribution, and end-user tariffs as per the new tariff methodology and consistent with the targets approved under the Electricity Tariff Paper</w:t>
            </w:r>
            <w:r>
              <w:rPr>
                <w:rFonts w:asciiTheme="minorHAnsi" w:eastAsia="Times New Roman" w:hAnsiTheme="minorHAnsi" w:cstheme="minorHAnsi"/>
                <w:sz w:val="18"/>
                <w:szCs w:val="18"/>
              </w:rPr>
              <w:t>.</w:t>
            </w:r>
          </w:p>
        </w:tc>
        <w:tc>
          <w:tcPr>
            <w:tcW w:w="1350" w:type="dxa"/>
          </w:tcPr>
          <w:p w14:paraId="6A8FA25B" w14:textId="29B88D8C" w:rsidR="005A237D" w:rsidRPr="005A237D" w:rsidRDefault="005A237D" w:rsidP="005A237D">
            <w:pPr>
              <w:rPr>
                <w:rFonts w:asciiTheme="minorHAnsi" w:hAnsiTheme="minorHAnsi" w:cstheme="minorHAnsi"/>
                <w:sz w:val="18"/>
                <w:szCs w:val="18"/>
              </w:rPr>
            </w:pPr>
            <w:r>
              <w:rPr>
                <w:rFonts w:asciiTheme="minorHAnsi" w:hAnsiTheme="minorHAnsi" w:cstheme="minorHAnsi"/>
                <w:sz w:val="18"/>
                <w:szCs w:val="18"/>
              </w:rPr>
              <w:t>US$</w:t>
            </w:r>
            <w:r w:rsidRPr="005A237D">
              <w:rPr>
                <w:rFonts w:asciiTheme="minorHAnsi" w:hAnsiTheme="minorHAnsi" w:cstheme="minorHAnsi"/>
                <w:sz w:val="18"/>
                <w:szCs w:val="18"/>
              </w:rPr>
              <w:t>200,000</w:t>
            </w:r>
          </w:p>
        </w:tc>
        <w:tc>
          <w:tcPr>
            <w:tcW w:w="990" w:type="dxa"/>
          </w:tcPr>
          <w:p w14:paraId="23546C2F" w14:textId="65D15079" w:rsidR="005A237D" w:rsidRDefault="005A237D" w:rsidP="005A237D">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78C6F97F" w14:textId="544457FD" w:rsidR="005A237D" w:rsidRPr="005379D3" w:rsidRDefault="005A237D" w:rsidP="005A237D">
            <w:pPr>
              <w:rPr>
                <w:rFonts w:asciiTheme="minorHAnsi" w:hAnsiTheme="minorHAnsi" w:cstheme="minorHAnsi"/>
                <w:sz w:val="18"/>
                <w:szCs w:val="18"/>
              </w:rPr>
            </w:pPr>
            <w:r>
              <w:rPr>
                <w:rFonts w:asciiTheme="minorHAnsi" w:hAnsiTheme="minorHAnsi" w:cstheme="minorHAnsi"/>
                <w:sz w:val="18"/>
                <w:szCs w:val="18"/>
              </w:rPr>
              <w:t>Dec. 31, 2028</w:t>
            </w:r>
          </w:p>
        </w:tc>
        <w:tc>
          <w:tcPr>
            <w:tcW w:w="2700" w:type="dxa"/>
          </w:tcPr>
          <w:p w14:paraId="045E86B6" w14:textId="2C9E2D72" w:rsidR="005A237D" w:rsidRDefault="005A237D" w:rsidP="005A237D">
            <w:pPr>
              <w:rPr>
                <w:rFonts w:asciiTheme="minorHAnsi" w:eastAsia="Times New Roman" w:hAnsiTheme="minorHAnsi" w:cstheme="minorHAnsi"/>
                <w:sz w:val="18"/>
                <w:szCs w:val="18"/>
              </w:rPr>
            </w:pPr>
            <w:r>
              <w:rPr>
                <w:rFonts w:asciiTheme="minorHAnsi" w:eastAsia="Times New Roman" w:hAnsiTheme="minorHAnsi" w:cstheme="minorHAnsi"/>
                <w:sz w:val="18"/>
                <w:szCs w:val="18"/>
              </w:rPr>
              <w:t>A</w:t>
            </w:r>
            <w:r w:rsidRPr="005379D3">
              <w:rPr>
                <w:rFonts w:asciiTheme="minorHAnsi" w:eastAsia="Times New Roman" w:hAnsiTheme="minorHAnsi" w:cstheme="minorHAnsi"/>
                <w:sz w:val="18"/>
                <w:szCs w:val="18"/>
              </w:rPr>
              <w:t xml:space="preserve">djustment of generation, transmission, </w:t>
            </w:r>
            <w:proofErr w:type="gramStart"/>
            <w:r w:rsidRPr="005379D3">
              <w:rPr>
                <w:rFonts w:asciiTheme="minorHAnsi" w:eastAsia="Times New Roman" w:hAnsiTheme="minorHAnsi" w:cstheme="minorHAnsi"/>
                <w:sz w:val="18"/>
                <w:szCs w:val="18"/>
              </w:rPr>
              <w:t>distribution</w:t>
            </w:r>
            <w:proofErr w:type="gramEnd"/>
            <w:r w:rsidRPr="005379D3">
              <w:rPr>
                <w:rFonts w:asciiTheme="minorHAnsi" w:eastAsia="Times New Roman" w:hAnsiTheme="minorHAnsi" w:cstheme="minorHAnsi"/>
                <w:sz w:val="18"/>
                <w:szCs w:val="18"/>
              </w:rPr>
              <w:t xml:space="preserve"> and end-user tariffs as per new tariff methodology and consistent with the targets approved under the Electricity Tariff Paper.</w:t>
            </w:r>
          </w:p>
        </w:tc>
        <w:tc>
          <w:tcPr>
            <w:tcW w:w="2430" w:type="dxa"/>
          </w:tcPr>
          <w:p w14:paraId="3962941D" w14:textId="4B424BD9" w:rsidR="005A237D" w:rsidRPr="005379D3" w:rsidRDefault="005A237D" w:rsidP="005A237D">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15D8E585" w14:textId="2DD2C29F" w:rsidR="005A237D" w:rsidRPr="005379D3" w:rsidRDefault="005A237D" w:rsidP="005A237D">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 </w:t>
            </w:r>
            <w:r w:rsidRPr="005379D3">
              <w:rPr>
                <w:rFonts w:asciiTheme="minorHAnsi" w:hAnsiTheme="minorHAnsi" w:cstheme="minorHAnsi"/>
                <w:sz w:val="18"/>
                <w:szCs w:val="18"/>
              </w:rPr>
              <w:t>disbursement for full compliance. No disbursement in case of partial or complete non-compliance.</w:t>
            </w:r>
          </w:p>
        </w:tc>
      </w:tr>
      <w:tr w:rsidR="005A237D" w:rsidRPr="005379D3" w14:paraId="159CEF3D" w14:textId="77777777" w:rsidTr="00A64B72">
        <w:trPr>
          <w:trHeight w:val="665"/>
        </w:trPr>
        <w:tc>
          <w:tcPr>
            <w:tcW w:w="3127" w:type="dxa"/>
          </w:tcPr>
          <w:p w14:paraId="2DEB9684" w14:textId="16371D7E" w:rsidR="005A237D" w:rsidRPr="005379D3" w:rsidRDefault="005A237D" w:rsidP="005A237D">
            <w:pPr>
              <w:ind w:left="-40"/>
              <w:rPr>
                <w:rFonts w:asciiTheme="minorHAnsi" w:eastAsia="Times New Roman" w:hAnsiTheme="minorHAnsi" w:cstheme="minorHAnsi"/>
                <w:sz w:val="18"/>
                <w:szCs w:val="18"/>
              </w:rPr>
            </w:pPr>
            <w:r w:rsidRPr="002845CB">
              <w:rPr>
                <w:rFonts w:asciiTheme="minorHAnsi" w:eastAsia="Times New Roman" w:hAnsiTheme="minorHAnsi" w:cstheme="minorHAnsi"/>
                <w:sz w:val="18"/>
                <w:szCs w:val="18"/>
              </w:rPr>
              <w:t>D</w:t>
            </w:r>
            <w:r>
              <w:rPr>
                <w:rFonts w:asciiTheme="minorHAnsi" w:eastAsia="Times New Roman" w:hAnsiTheme="minorHAnsi" w:cstheme="minorHAnsi"/>
                <w:sz w:val="18"/>
                <w:szCs w:val="18"/>
              </w:rPr>
              <w:t>LR</w:t>
            </w:r>
            <w:r w:rsidRPr="002845CB">
              <w:rPr>
                <w:rFonts w:asciiTheme="minorHAnsi" w:eastAsia="Times New Roman" w:hAnsiTheme="minorHAnsi" w:cstheme="minorHAnsi"/>
                <w:sz w:val="18"/>
                <w:szCs w:val="18"/>
              </w:rPr>
              <w:t xml:space="preserve"> 1.9: </w:t>
            </w:r>
            <w:r>
              <w:rPr>
                <w:rFonts w:asciiTheme="minorHAnsi" w:eastAsia="Times New Roman" w:hAnsiTheme="minorHAnsi" w:cstheme="minorHAnsi"/>
                <w:sz w:val="18"/>
                <w:szCs w:val="18"/>
              </w:rPr>
              <w:t>By December 31, 2029, a</w:t>
            </w:r>
            <w:r w:rsidRPr="002845CB">
              <w:rPr>
                <w:rFonts w:asciiTheme="minorHAnsi" w:eastAsia="Times New Roman" w:hAnsiTheme="minorHAnsi" w:cstheme="minorHAnsi"/>
                <w:sz w:val="18"/>
                <w:szCs w:val="18"/>
              </w:rPr>
              <w:t>t least annual adjustment of generation, transmission, distribution, and end-user tariffs as per the new tariff methodology and consistent with the targets approved under the Electricity Tariff Paper</w:t>
            </w:r>
            <w:r>
              <w:rPr>
                <w:rFonts w:asciiTheme="minorHAnsi" w:eastAsia="Times New Roman" w:hAnsiTheme="minorHAnsi" w:cstheme="minorHAnsi"/>
                <w:sz w:val="18"/>
                <w:szCs w:val="18"/>
              </w:rPr>
              <w:t>.</w:t>
            </w:r>
          </w:p>
        </w:tc>
        <w:tc>
          <w:tcPr>
            <w:tcW w:w="1350" w:type="dxa"/>
          </w:tcPr>
          <w:p w14:paraId="41FA1DFE" w14:textId="108AD6E1" w:rsidR="005A237D" w:rsidRPr="005A237D" w:rsidRDefault="005A237D" w:rsidP="005A237D">
            <w:pPr>
              <w:rPr>
                <w:rFonts w:asciiTheme="minorHAnsi" w:hAnsiTheme="minorHAnsi" w:cstheme="minorHAnsi"/>
                <w:sz w:val="18"/>
                <w:szCs w:val="18"/>
              </w:rPr>
            </w:pPr>
            <w:r>
              <w:rPr>
                <w:rFonts w:asciiTheme="minorHAnsi" w:hAnsiTheme="minorHAnsi" w:cstheme="minorHAnsi"/>
                <w:sz w:val="18"/>
                <w:szCs w:val="18"/>
              </w:rPr>
              <w:t>US$</w:t>
            </w:r>
            <w:r w:rsidRPr="005A237D">
              <w:rPr>
                <w:rFonts w:asciiTheme="minorHAnsi" w:hAnsiTheme="minorHAnsi" w:cstheme="minorHAnsi"/>
                <w:sz w:val="18"/>
                <w:szCs w:val="18"/>
              </w:rPr>
              <w:t>200,000</w:t>
            </w:r>
          </w:p>
        </w:tc>
        <w:tc>
          <w:tcPr>
            <w:tcW w:w="990" w:type="dxa"/>
          </w:tcPr>
          <w:p w14:paraId="335D8386" w14:textId="6F1E1DA8" w:rsidR="005A237D" w:rsidRDefault="005A237D" w:rsidP="005A237D">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258B74E3" w14:textId="6EFC85E9" w:rsidR="005A237D" w:rsidRPr="005379D3" w:rsidRDefault="005A237D" w:rsidP="005A237D">
            <w:pPr>
              <w:rPr>
                <w:rFonts w:asciiTheme="minorHAnsi" w:hAnsiTheme="minorHAnsi" w:cstheme="minorHAnsi"/>
                <w:sz w:val="18"/>
                <w:szCs w:val="18"/>
              </w:rPr>
            </w:pPr>
            <w:r>
              <w:rPr>
                <w:rFonts w:asciiTheme="minorHAnsi" w:hAnsiTheme="minorHAnsi" w:cstheme="minorHAnsi"/>
                <w:sz w:val="18"/>
                <w:szCs w:val="18"/>
              </w:rPr>
              <w:t>Dec. 31, 2029</w:t>
            </w:r>
          </w:p>
        </w:tc>
        <w:tc>
          <w:tcPr>
            <w:tcW w:w="2700" w:type="dxa"/>
          </w:tcPr>
          <w:p w14:paraId="720FEDB2" w14:textId="17FBC896" w:rsidR="005A237D" w:rsidRDefault="005A237D" w:rsidP="005A237D">
            <w:pPr>
              <w:rPr>
                <w:rFonts w:asciiTheme="minorHAnsi" w:eastAsia="Times New Roman" w:hAnsiTheme="minorHAnsi" w:cstheme="minorHAnsi"/>
                <w:sz w:val="18"/>
                <w:szCs w:val="18"/>
              </w:rPr>
            </w:pPr>
            <w:r w:rsidRPr="005379D3">
              <w:rPr>
                <w:rFonts w:asciiTheme="minorHAnsi" w:eastAsia="Times New Roman" w:hAnsiTheme="minorHAnsi" w:cstheme="minorHAnsi"/>
                <w:sz w:val="18"/>
                <w:szCs w:val="18"/>
              </w:rPr>
              <w:t xml:space="preserve">Adjustment of generation, transmission, </w:t>
            </w:r>
            <w:proofErr w:type="gramStart"/>
            <w:r w:rsidRPr="005379D3">
              <w:rPr>
                <w:rFonts w:asciiTheme="minorHAnsi" w:eastAsia="Times New Roman" w:hAnsiTheme="minorHAnsi" w:cstheme="minorHAnsi"/>
                <w:sz w:val="18"/>
                <w:szCs w:val="18"/>
              </w:rPr>
              <w:t>distribution</w:t>
            </w:r>
            <w:proofErr w:type="gramEnd"/>
            <w:r w:rsidRPr="005379D3">
              <w:rPr>
                <w:rFonts w:asciiTheme="minorHAnsi" w:eastAsia="Times New Roman" w:hAnsiTheme="minorHAnsi" w:cstheme="minorHAnsi"/>
                <w:sz w:val="18"/>
                <w:szCs w:val="18"/>
              </w:rPr>
              <w:t xml:space="preserve"> and end-user tariffs as per new tariff methodology and consistent with the targets approved under the Electricity Tariff Paper.</w:t>
            </w:r>
          </w:p>
        </w:tc>
        <w:tc>
          <w:tcPr>
            <w:tcW w:w="2430" w:type="dxa"/>
          </w:tcPr>
          <w:p w14:paraId="681EBF92" w14:textId="314AF13E" w:rsidR="005A237D" w:rsidRPr="005379D3" w:rsidRDefault="005A237D" w:rsidP="005A237D">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7EA83241" w14:textId="037D4A63" w:rsidR="005A237D" w:rsidRPr="005379D3" w:rsidRDefault="005A237D" w:rsidP="005A237D">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 </w:t>
            </w:r>
            <w:r w:rsidRPr="005379D3">
              <w:rPr>
                <w:rFonts w:asciiTheme="minorHAnsi" w:hAnsiTheme="minorHAnsi" w:cstheme="minorHAnsi"/>
                <w:sz w:val="18"/>
                <w:szCs w:val="18"/>
              </w:rPr>
              <w:t>disbursement for full compliance. No disbursement in case of partial or complete non-compliance.</w:t>
            </w:r>
          </w:p>
        </w:tc>
      </w:tr>
      <w:tr w:rsidR="005A237D" w:rsidRPr="005379D3" w14:paraId="21F5950A" w14:textId="77777777" w:rsidTr="00A64B72">
        <w:trPr>
          <w:trHeight w:val="665"/>
        </w:trPr>
        <w:tc>
          <w:tcPr>
            <w:tcW w:w="3127" w:type="dxa"/>
          </w:tcPr>
          <w:p w14:paraId="6A74A888" w14:textId="7C788F7E" w:rsidR="005A237D" w:rsidRPr="005379D3" w:rsidRDefault="005A237D" w:rsidP="005A237D">
            <w:pPr>
              <w:ind w:left="-40"/>
              <w:rPr>
                <w:rFonts w:asciiTheme="minorHAnsi" w:eastAsia="Times New Roman" w:hAnsiTheme="minorHAnsi" w:cstheme="minorHAnsi"/>
                <w:sz w:val="18"/>
                <w:szCs w:val="18"/>
              </w:rPr>
            </w:pPr>
            <w:r w:rsidRPr="002845CB">
              <w:rPr>
                <w:rFonts w:asciiTheme="minorHAnsi" w:eastAsia="Times New Roman" w:hAnsiTheme="minorHAnsi" w:cstheme="minorHAnsi"/>
                <w:sz w:val="18"/>
                <w:szCs w:val="18"/>
              </w:rPr>
              <w:lastRenderedPageBreak/>
              <w:t>D</w:t>
            </w:r>
            <w:r>
              <w:rPr>
                <w:rFonts w:asciiTheme="minorHAnsi" w:eastAsia="Times New Roman" w:hAnsiTheme="minorHAnsi" w:cstheme="minorHAnsi"/>
                <w:sz w:val="18"/>
                <w:szCs w:val="18"/>
              </w:rPr>
              <w:t>LR</w:t>
            </w:r>
            <w:r w:rsidRPr="002845CB">
              <w:rPr>
                <w:rFonts w:asciiTheme="minorHAnsi" w:eastAsia="Times New Roman" w:hAnsiTheme="minorHAnsi" w:cstheme="minorHAnsi"/>
                <w:sz w:val="18"/>
                <w:szCs w:val="18"/>
              </w:rPr>
              <w:t xml:space="preserve"> 1.10: </w:t>
            </w:r>
            <w:r>
              <w:rPr>
                <w:rFonts w:asciiTheme="minorHAnsi" w:eastAsia="Times New Roman" w:hAnsiTheme="minorHAnsi" w:cstheme="minorHAnsi"/>
                <w:sz w:val="18"/>
                <w:szCs w:val="18"/>
              </w:rPr>
              <w:t>By December 31, 2030, at</w:t>
            </w:r>
            <w:r w:rsidRPr="002845CB">
              <w:rPr>
                <w:rFonts w:asciiTheme="minorHAnsi" w:eastAsia="Times New Roman" w:hAnsiTheme="minorHAnsi" w:cstheme="minorHAnsi"/>
                <w:sz w:val="18"/>
                <w:szCs w:val="18"/>
              </w:rPr>
              <w:t xml:space="preserve"> least annual adjustment of generation, transmission, distribution, and end-user tariffs as per the new tariff methodology and consistent with the targets approved under the Electricity Tariff Paper</w:t>
            </w:r>
            <w:r>
              <w:rPr>
                <w:rFonts w:asciiTheme="minorHAnsi" w:eastAsia="Times New Roman" w:hAnsiTheme="minorHAnsi" w:cstheme="minorHAnsi"/>
                <w:sz w:val="18"/>
                <w:szCs w:val="18"/>
              </w:rPr>
              <w:t>.</w:t>
            </w:r>
          </w:p>
        </w:tc>
        <w:tc>
          <w:tcPr>
            <w:tcW w:w="1350" w:type="dxa"/>
          </w:tcPr>
          <w:p w14:paraId="1872602C" w14:textId="2521E9E9" w:rsidR="005A237D" w:rsidRPr="005A237D" w:rsidRDefault="005A237D" w:rsidP="005A237D">
            <w:pPr>
              <w:rPr>
                <w:rFonts w:asciiTheme="minorHAnsi" w:hAnsiTheme="minorHAnsi" w:cstheme="minorHAnsi"/>
                <w:sz w:val="18"/>
                <w:szCs w:val="18"/>
              </w:rPr>
            </w:pPr>
            <w:r>
              <w:rPr>
                <w:rFonts w:asciiTheme="minorHAnsi" w:hAnsiTheme="minorHAnsi" w:cstheme="minorHAnsi"/>
                <w:sz w:val="18"/>
                <w:szCs w:val="18"/>
              </w:rPr>
              <w:t>US$</w:t>
            </w:r>
            <w:r w:rsidRPr="005A237D">
              <w:rPr>
                <w:rFonts w:asciiTheme="minorHAnsi" w:hAnsiTheme="minorHAnsi" w:cstheme="minorHAnsi"/>
                <w:sz w:val="18"/>
                <w:szCs w:val="18"/>
              </w:rPr>
              <w:t>200,000</w:t>
            </w:r>
          </w:p>
        </w:tc>
        <w:tc>
          <w:tcPr>
            <w:tcW w:w="990" w:type="dxa"/>
          </w:tcPr>
          <w:p w14:paraId="76E027A3" w14:textId="7BFB1A04" w:rsidR="005A237D" w:rsidRDefault="005A237D" w:rsidP="005A237D">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105D8623" w14:textId="061E0028" w:rsidR="005A237D" w:rsidRPr="005379D3" w:rsidRDefault="005A237D" w:rsidP="005A237D">
            <w:pPr>
              <w:rPr>
                <w:rFonts w:asciiTheme="minorHAnsi" w:hAnsiTheme="minorHAnsi" w:cstheme="minorHAnsi"/>
                <w:sz w:val="18"/>
                <w:szCs w:val="18"/>
              </w:rPr>
            </w:pPr>
            <w:r>
              <w:rPr>
                <w:rFonts w:asciiTheme="minorHAnsi" w:hAnsiTheme="minorHAnsi" w:cstheme="minorHAnsi"/>
                <w:sz w:val="18"/>
                <w:szCs w:val="18"/>
              </w:rPr>
              <w:t>Dec. 31, 2030</w:t>
            </w:r>
          </w:p>
        </w:tc>
        <w:tc>
          <w:tcPr>
            <w:tcW w:w="2700" w:type="dxa"/>
          </w:tcPr>
          <w:p w14:paraId="6EEFB22C" w14:textId="2315ADB1" w:rsidR="005A237D" w:rsidRDefault="005A237D" w:rsidP="005A237D">
            <w:pPr>
              <w:rPr>
                <w:rFonts w:asciiTheme="minorHAnsi" w:eastAsia="Times New Roman" w:hAnsiTheme="minorHAnsi" w:cstheme="minorHAnsi"/>
                <w:sz w:val="18"/>
                <w:szCs w:val="18"/>
              </w:rPr>
            </w:pPr>
            <w:r>
              <w:rPr>
                <w:rFonts w:asciiTheme="minorHAnsi" w:eastAsia="Times New Roman" w:hAnsiTheme="minorHAnsi" w:cstheme="minorHAnsi"/>
                <w:sz w:val="18"/>
                <w:szCs w:val="18"/>
              </w:rPr>
              <w:t>A</w:t>
            </w:r>
            <w:r w:rsidRPr="005379D3">
              <w:rPr>
                <w:rFonts w:asciiTheme="minorHAnsi" w:eastAsia="Times New Roman" w:hAnsiTheme="minorHAnsi" w:cstheme="minorHAnsi"/>
                <w:sz w:val="18"/>
                <w:szCs w:val="18"/>
              </w:rPr>
              <w:t xml:space="preserve">djustment of generation, transmission, </w:t>
            </w:r>
            <w:proofErr w:type="gramStart"/>
            <w:r w:rsidRPr="005379D3">
              <w:rPr>
                <w:rFonts w:asciiTheme="minorHAnsi" w:eastAsia="Times New Roman" w:hAnsiTheme="minorHAnsi" w:cstheme="minorHAnsi"/>
                <w:sz w:val="18"/>
                <w:szCs w:val="18"/>
              </w:rPr>
              <w:t>distribution</w:t>
            </w:r>
            <w:proofErr w:type="gramEnd"/>
            <w:r w:rsidRPr="005379D3">
              <w:rPr>
                <w:rFonts w:asciiTheme="minorHAnsi" w:eastAsia="Times New Roman" w:hAnsiTheme="minorHAnsi" w:cstheme="minorHAnsi"/>
                <w:sz w:val="18"/>
                <w:szCs w:val="18"/>
              </w:rPr>
              <w:t xml:space="preserve"> and end-user tariffs as per new tariff methodology and consistent with the targets approved under the Electricity Tariff Paper.</w:t>
            </w:r>
          </w:p>
        </w:tc>
        <w:tc>
          <w:tcPr>
            <w:tcW w:w="2430" w:type="dxa"/>
          </w:tcPr>
          <w:p w14:paraId="7C932A6E" w14:textId="11B534CC" w:rsidR="005A237D" w:rsidRPr="005379D3" w:rsidRDefault="005A237D" w:rsidP="005A237D">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34CFC642" w14:textId="480A48FD" w:rsidR="005A237D" w:rsidRPr="005379D3" w:rsidRDefault="005A237D" w:rsidP="005A237D">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 </w:t>
            </w:r>
            <w:r w:rsidRPr="005379D3">
              <w:rPr>
                <w:rFonts w:asciiTheme="minorHAnsi" w:hAnsiTheme="minorHAnsi" w:cstheme="minorHAnsi"/>
                <w:sz w:val="18"/>
                <w:szCs w:val="18"/>
              </w:rPr>
              <w:t>disbursement for full compliance. No disbursement in case of partial or complete non-compliance.</w:t>
            </w:r>
          </w:p>
        </w:tc>
      </w:tr>
      <w:tr w:rsidR="005A237D" w:rsidRPr="005379D3" w14:paraId="0AE557BC" w14:textId="77777777" w:rsidTr="00A64B72">
        <w:trPr>
          <w:trHeight w:val="665"/>
        </w:trPr>
        <w:tc>
          <w:tcPr>
            <w:tcW w:w="3127" w:type="dxa"/>
          </w:tcPr>
          <w:p w14:paraId="7AEDAD5D" w14:textId="7C01014F" w:rsidR="005A237D" w:rsidRPr="002845CB" w:rsidRDefault="005A237D" w:rsidP="005A237D">
            <w:pPr>
              <w:ind w:left="-40"/>
              <w:rPr>
                <w:rFonts w:asciiTheme="minorHAnsi" w:eastAsia="Times New Roman" w:hAnsiTheme="minorHAnsi" w:cstheme="minorHAnsi"/>
                <w:sz w:val="18"/>
                <w:szCs w:val="18"/>
              </w:rPr>
            </w:pPr>
            <w:r w:rsidRPr="002845CB">
              <w:rPr>
                <w:rFonts w:asciiTheme="minorHAnsi" w:eastAsia="Times New Roman" w:hAnsiTheme="minorHAnsi" w:cstheme="minorHAnsi"/>
                <w:sz w:val="18"/>
                <w:szCs w:val="18"/>
              </w:rPr>
              <w:t>D</w:t>
            </w:r>
            <w:r>
              <w:rPr>
                <w:rFonts w:asciiTheme="minorHAnsi" w:eastAsia="Times New Roman" w:hAnsiTheme="minorHAnsi" w:cstheme="minorHAnsi"/>
                <w:sz w:val="18"/>
                <w:szCs w:val="18"/>
              </w:rPr>
              <w:t>LR</w:t>
            </w:r>
            <w:r w:rsidRPr="002845CB">
              <w:rPr>
                <w:rFonts w:asciiTheme="minorHAnsi" w:eastAsia="Times New Roman" w:hAnsiTheme="minorHAnsi" w:cstheme="minorHAnsi"/>
                <w:sz w:val="18"/>
                <w:szCs w:val="18"/>
              </w:rPr>
              <w:t xml:space="preserve"> 1.1</w:t>
            </w:r>
            <w:r>
              <w:rPr>
                <w:rFonts w:asciiTheme="minorHAnsi" w:eastAsia="Times New Roman" w:hAnsiTheme="minorHAnsi" w:cstheme="minorHAnsi"/>
                <w:sz w:val="18"/>
                <w:szCs w:val="18"/>
              </w:rPr>
              <w:t>1</w:t>
            </w:r>
            <w:r w:rsidRPr="002845CB">
              <w:rPr>
                <w:rFonts w:asciiTheme="minorHAnsi" w:eastAsia="Times New Roman" w:hAnsiTheme="minorHAnsi" w:cstheme="minorHAnsi"/>
                <w:sz w:val="18"/>
                <w:szCs w:val="18"/>
              </w:rPr>
              <w:t>:</w:t>
            </w:r>
            <w:r>
              <w:rPr>
                <w:rFonts w:asciiTheme="minorHAnsi" w:eastAsia="Times New Roman" w:hAnsiTheme="minorHAnsi" w:cstheme="minorHAnsi"/>
                <w:sz w:val="18"/>
                <w:szCs w:val="18"/>
              </w:rPr>
              <w:t xml:space="preserve"> By December 31, 2031,</w:t>
            </w:r>
            <w:r w:rsidRPr="002845CB">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at</w:t>
            </w:r>
            <w:r w:rsidRPr="002845CB">
              <w:rPr>
                <w:rFonts w:asciiTheme="minorHAnsi" w:eastAsia="Times New Roman" w:hAnsiTheme="minorHAnsi" w:cstheme="minorHAnsi"/>
                <w:sz w:val="18"/>
                <w:szCs w:val="18"/>
              </w:rPr>
              <w:t xml:space="preserve"> least annual adjustment of generation, transmission, distribution, and end-user tariffs as per the new tariff methodology and consistent with the targets approved under the Electricity Tariff Paper</w:t>
            </w:r>
            <w:r>
              <w:rPr>
                <w:rFonts w:asciiTheme="minorHAnsi" w:eastAsia="Times New Roman" w:hAnsiTheme="minorHAnsi" w:cstheme="minorHAnsi"/>
                <w:sz w:val="18"/>
                <w:szCs w:val="18"/>
              </w:rPr>
              <w:t>.</w:t>
            </w:r>
          </w:p>
        </w:tc>
        <w:tc>
          <w:tcPr>
            <w:tcW w:w="1350" w:type="dxa"/>
          </w:tcPr>
          <w:p w14:paraId="0B20B49C" w14:textId="1A913760" w:rsidR="005A237D" w:rsidRPr="005A237D" w:rsidRDefault="005A237D" w:rsidP="005A237D">
            <w:pPr>
              <w:rPr>
                <w:rFonts w:asciiTheme="minorHAnsi" w:hAnsiTheme="minorHAnsi" w:cstheme="minorHAnsi"/>
                <w:sz w:val="18"/>
                <w:szCs w:val="18"/>
              </w:rPr>
            </w:pPr>
            <w:r>
              <w:rPr>
                <w:rFonts w:asciiTheme="minorHAnsi" w:hAnsiTheme="minorHAnsi" w:cstheme="minorHAnsi"/>
                <w:sz w:val="18"/>
                <w:szCs w:val="18"/>
              </w:rPr>
              <w:t>US$</w:t>
            </w:r>
            <w:r w:rsidRPr="005A237D">
              <w:rPr>
                <w:rFonts w:asciiTheme="minorHAnsi" w:hAnsiTheme="minorHAnsi" w:cstheme="minorHAnsi"/>
                <w:sz w:val="18"/>
                <w:szCs w:val="18"/>
              </w:rPr>
              <w:t>200,000</w:t>
            </w:r>
          </w:p>
        </w:tc>
        <w:tc>
          <w:tcPr>
            <w:tcW w:w="990" w:type="dxa"/>
          </w:tcPr>
          <w:p w14:paraId="00BD86D6" w14:textId="28F9B863" w:rsidR="005A237D" w:rsidRDefault="005A237D" w:rsidP="005A237D">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01EA8222" w14:textId="355F1ABB" w:rsidR="005A237D" w:rsidRPr="005379D3" w:rsidRDefault="005A237D" w:rsidP="005A237D">
            <w:pPr>
              <w:rPr>
                <w:rFonts w:asciiTheme="minorHAnsi" w:hAnsiTheme="minorHAnsi" w:cstheme="minorHAnsi"/>
                <w:sz w:val="18"/>
                <w:szCs w:val="18"/>
              </w:rPr>
            </w:pPr>
            <w:r>
              <w:rPr>
                <w:rFonts w:asciiTheme="minorHAnsi" w:hAnsiTheme="minorHAnsi" w:cstheme="minorHAnsi"/>
                <w:sz w:val="18"/>
                <w:szCs w:val="18"/>
              </w:rPr>
              <w:t xml:space="preserve">Dec. 31, </w:t>
            </w:r>
            <w:proofErr w:type="gramStart"/>
            <w:r>
              <w:rPr>
                <w:rFonts w:asciiTheme="minorHAnsi" w:hAnsiTheme="minorHAnsi" w:cstheme="minorHAnsi"/>
                <w:sz w:val="18"/>
                <w:szCs w:val="18"/>
              </w:rPr>
              <w:t>2031</w:t>
            </w:r>
            <w:proofErr w:type="gramEnd"/>
            <w:r>
              <w:rPr>
                <w:rFonts w:asciiTheme="minorHAnsi" w:hAnsiTheme="minorHAnsi" w:cstheme="minorHAnsi"/>
                <w:sz w:val="18"/>
                <w:szCs w:val="18"/>
              </w:rPr>
              <w:t xml:space="preserve"> </w:t>
            </w:r>
          </w:p>
        </w:tc>
        <w:tc>
          <w:tcPr>
            <w:tcW w:w="2700" w:type="dxa"/>
          </w:tcPr>
          <w:p w14:paraId="1C8F0349" w14:textId="066AB581" w:rsidR="005A237D" w:rsidRDefault="005A237D" w:rsidP="005A237D">
            <w:pPr>
              <w:rPr>
                <w:rFonts w:asciiTheme="minorHAnsi" w:eastAsia="Times New Roman" w:hAnsiTheme="minorHAnsi" w:cstheme="minorHAnsi"/>
                <w:sz w:val="18"/>
                <w:szCs w:val="18"/>
              </w:rPr>
            </w:pPr>
            <w:r w:rsidRPr="005379D3">
              <w:rPr>
                <w:rFonts w:asciiTheme="minorHAnsi" w:eastAsia="Times New Roman" w:hAnsiTheme="minorHAnsi" w:cstheme="minorHAnsi"/>
                <w:sz w:val="18"/>
                <w:szCs w:val="18"/>
              </w:rPr>
              <w:t xml:space="preserve">Adjustment of generation, transmission, </w:t>
            </w:r>
            <w:proofErr w:type="gramStart"/>
            <w:r w:rsidRPr="005379D3">
              <w:rPr>
                <w:rFonts w:asciiTheme="minorHAnsi" w:eastAsia="Times New Roman" w:hAnsiTheme="minorHAnsi" w:cstheme="minorHAnsi"/>
                <w:sz w:val="18"/>
                <w:szCs w:val="18"/>
              </w:rPr>
              <w:t>distribution</w:t>
            </w:r>
            <w:proofErr w:type="gramEnd"/>
            <w:r w:rsidRPr="005379D3">
              <w:rPr>
                <w:rFonts w:asciiTheme="minorHAnsi" w:eastAsia="Times New Roman" w:hAnsiTheme="minorHAnsi" w:cstheme="minorHAnsi"/>
                <w:sz w:val="18"/>
                <w:szCs w:val="18"/>
              </w:rPr>
              <w:t xml:space="preserve"> and end-user tariffs as per new tariff methodology and consistent with the targets approved under the Electricity Tariff Paper.</w:t>
            </w:r>
          </w:p>
        </w:tc>
        <w:tc>
          <w:tcPr>
            <w:tcW w:w="2430" w:type="dxa"/>
          </w:tcPr>
          <w:p w14:paraId="357DB796" w14:textId="46C1D8C6" w:rsidR="005A237D" w:rsidRPr="005379D3" w:rsidRDefault="005A237D" w:rsidP="005A237D">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32F8B931" w14:textId="66FF43F3" w:rsidR="005A237D" w:rsidRPr="005379D3" w:rsidRDefault="005A237D" w:rsidP="005A237D">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 </w:t>
            </w:r>
            <w:r w:rsidRPr="005379D3">
              <w:rPr>
                <w:rFonts w:asciiTheme="minorHAnsi" w:hAnsiTheme="minorHAnsi" w:cstheme="minorHAnsi"/>
                <w:sz w:val="18"/>
                <w:szCs w:val="18"/>
              </w:rPr>
              <w:t>disbursement for full compliance. No disbursement in case of partial or complete non-compliance.</w:t>
            </w:r>
          </w:p>
        </w:tc>
      </w:tr>
      <w:tr w:rsidR="005A237D" w:rsidRPr="005379D3" w14:paraId="07B31687" w14:textId="77777777" w:rsidTr="000E6697">
        <w:trPr>
          <w:trHeight w:val="503"/>
        </w:trPr>
        <w:tc>
          <w:tcPr>
            <w:tcW w:w="3127" w:type="dxa"/>
            <w:vAlign w:val="center"/>
          </w:tcPr>
          <w:p w14:paraId="38F6D8D4" w14:textId="77777777" w:rsidR="005A237D" w:rsidRPr="005379D3" w:rsidRDefault="005A237D" w:rsidP="005A237D">
            <w:pPr>
              <w:ind w:left="-40"/>
              <w:rPr>
                <w:rFonts w:asciiTheme="minorHAnsi" w:hAnsiTheme="minorHAnsi" w:cstheme="minorHAnsi"/>
                <w:b/>
                <w:sz w:val="18"/>
                <w:szCs w:val="18"/>
              </w:rPr>
            </w:pPr>
            <w:r w:rsidRPr="005379D3">
              <w:rPr>
                <w:rFonts w:asciiTheme="minorHAnsi" w:eastAsia="Times New Roman" w:hAnsiTheme="minorHAnsi" w:cstheme="minorHAnsi"/>
                <w:b/>
                <w:bCs/>
                <w:sz w:val="18"/>
                <w:szCs w:val="18"/>
              </w:rPr>
              <w:t xml:space="preserve">DLI 2: </w:t>
            </w:r>
            <w:r w:rsidRPr="00D74F15">
              <w:rPr>
                <w:rFonts w:asciiTheme="minorHAnsi" w:hAnsiTheme="minorHAnsi" w:cstheme="minorHAnsi"/>
                <w:b/>
                <w:sz w:val="18"/>
                <w:szCs w:val="18"/>
              </w:rPr>
              <w:t xml:space="preserve">Revision of </w:t>
            </w:r>
            <w:r>
              <w:rPr>
                <w:rFonts w:asciiTheme="minorHAnsi" w:hAnsiTheme="minorHAnsi" w:cstheme="minorHAnsi"/>
                <w:b/>
                <w:sz w:val="18"/>
                <w:szCs w:val="18"/>
              </w:rPr>
              <w:t>the S</w:t>
            </w:r>
            <w:r w:rsidRPr="00D74F15">
              <w:rPr>
                <w:rFonts w:asciiTheme="minorHAnsi" w:hAnsiTheme="minorHAnsi" w:cstheme="minorHAnsi"/>
                <w:b/>
                <w:sz w:val="18"/>
                <w:szCs w:val="18"/>
              </w:rPr>
              <w:t>ubsidiary</w:t>
            </w:r>
            <w:r>
              <w:rPr>
                <w:rFonts w:asciiTheme="minorHAnsi" w:hAnsiTheme="minorHAnsi" w:cstheme="minorHAnsi"/>
                <w:b/>
                <w:sz w:val="18"/>
                <w:szCs w:val="18"/>
              </w:rPr>
              <w:t xml:space="preserve"> A</w:t>
            </w:r>
            <w:r w:rsidRPr="00D74F15">
              <w:rPr>
                <w:rFonts w:asciiTheme="minorHAnsi" w:hAnsiTheme="minorHAnsi" w:cstheme="minorHAnsi"/>
                <w:b/>
                <w:sz w:val="18"/>
                <w:szCs w:val="18"/>
              </w:rPr>
              <w:t>greements between MOF and BT</w:t>
            </w:r>
          </w:p>
        </w:tc>
        <w:tc>
          <w:tcPr>
            <w:tcW w:w="1350" w:type="dxa"/>
            <w:vAlign w:val="center"/>
          </w:tcPr>
          <w:p w14:paraId="70E912F5" w14:textId="1193B8E0" w:rsidR="005A237D" w:rsidRPr="005A237D" w:rsidRDefault="005A237D" w:rsidP="005A237D">
            <w:pPr>
              <w:rPr>
                <w:rFonts w:asciiTheme="minorHAnsi" w:hAnsiTheme="minorHAnsi" w:cstheme="minorHAnsi"/>
                <w:b/>
                <w:sz w:val="18"/>
                <w:szCs w:val="18"/>
              </w:rPr>
            </w:pPr>
            <w:r>
              <w:rPr>
                <w:rFonts w:asciiTheme="minorHAnsi" w:hAnsiTheme="minorHAnsi" w:cstheme="minorHAnsi"/>
                <w:b/>
                <w:sz w:val="18"/>
                <w:szCs w:val="18"/>
              </w:rPr>
              <w:t>US$3,000,000</w:t>
            </w:r>
          </w:p>
        </w:tc>
        <w:tc>
          <w:tcPr>
            <w:tcW w:w="990" w:type="dxa"/>
            <w:vAlign w:val="center"/>
          </w:tcPr>
          <w:p w14:paraId="388927F5" w14:textId="77777777" w:rsidR="005A237D" w:rsidRPr="005379D3" w:rsidRDefault="005A237D" w:rsidP="005A237D">
            <w:pPr>
              <w:rPr>
                <w:rFonts w:asciiTheme="minorHAnsi" w:hAnsiTheme="minorHAnsi" w:cstheme="minorHAnsi"/>
                <w:b/>
                <w:sz w:val="18"/>
                <w:szCs w:val="18"/>
              </w:rPr>
            </w:pPr>
          </w:p>
        </w:tc>
        <w:tc>
          <w:tcPr>
            <w:tcW w:w="1530" w:type="dxa"/>
            <w:vAlign w:val="center"/>
          </w:tcPr>
          <w:p w14:paraId="00CEABAA" w14:textId="77777777" w:rsidR="005A237D" w:rsidRPr="005379D3" w:rsidRDefault="005A237D" w:rsidP="005A237D">
            <w:pPr>
              <w:pStyle w:val="ListParagraph"/>
              <w:ind w:left="72"/>
              <w:contextualSpacing w:val="0"/>
              <w:rPr>
                <w:rFonts w:asciiTheme="minorHAnsi" w:hAnsiTheme="minorHAnsi" w:cstheme="minorHAnsi"/>
                <w:b/>
                <w:sz w:val="18"/>
                <w:szCs w:val="18"/>
              </w:rPr>
            </w:pPr>
          </w:p>
        </w:tc>
        <w:tc>
          <w:tcPr>
            <w:tcW w:w="2700" w:type="dxa"/>
          </w:tcPr>
          <w:p w14:paraId="139C3B14" w14:textId="0F8C9C34" w:rsidR="005A237D" w:rsidRPr="005379D3" w:rsidRDefault="005A237D" w:rsidP="005A237D">
            <w:pPr>
              <w:rPr>
                <w:rFonts w:asciiTheme="minorHAnsi" w:hAnsiTheme="minorHAnsi" w:cstheme="minorHAnsi"/>
                <w:b/>
                <w:sz w:val="18"/>
                <w:szCs w:val="18"/>
              </w:rPr>
            </w:pPr>
          </w:p>
        </w:tc>
        <w:tc>
          <w:tcPr>
            <w:tcW w:w="2430" w:type="dxa"/>
          </w:tcPr>
          <w:p w14:paraId="6B932915" w14:textId="64403DB8" w:rsidR="005A237D" w:rsidRPr="005379D3" w:rsidRDefault="005A237D" w:rsidP="005A237D">
            <w:pPr>
              <w:rPr>
                <w:rFonts w:asciiTheme="minorHAnsi" w:hAnsiTheme="minorHAnsi" w:cstheme="minorHAnsi"/>
                <w:b/>
                <w:sz w:val="18"/>
                <w:szCs w:val="18"/>
              </w:rPr>
            </w:pPr>
          </w:p>
        </w:tc>
        <w:tc>
          <w:tcPr>
            <w:tcW w:w="2340" w:type="dxa"/>
            <w:vAlign w:val="center"/>
          </w:tcPr>
          <w:p w14:paraId="079C0687" w14:textId="77777777" w:rsidR="005A237D" w:rsidRPr="005379D3" w:rsidRDefault="005A237D" w:rsidP="005A237D">
            <w:pPr>
              <w:rPr>
                <w:rFonts w:asciiTheme="minorHAnsi" w:hAnsiTheme="minorHAnsi" w:cstheme="minorHAnsi"/>
                <w:b/>
                <w:sz w:val="18"/>
                <w:szCs w:val="18"/>
              </w:rPr>
            </w:pPr>
          </w:p>
        </w:tc>
      </w:tr>
      <w:tr w:rsidR="00FD7AF5" w:rsidRPr="005379D3" w14:paraId="1CC0B93A" w14:textId="77777777" w:rsidTr="002F4FC1">
        <w:trPr>
          <w:trHeight w:val="1169"/>
        </w:trPr>
        <w:tc>
          <w:tcPr>
            <w:tcW w:w="3127" w:type="dxa"/>
          </w:tcPr>
          <w:p w14:paraId="7C73F655" w14:textId="0DD1CC8B" w:rsidR="00FD7AF5" w:rsidRPr="00F33C53" w:rsidRDefault="00FD7AF5" w:rsidP="00FD7AF5">
            <w:pPr>
              <w:ind w:left="-40"/>
              <w:rPr>
                <w:rFonts w:asciiTheme="minorHAnsi" w:hAnsiTheme="minorHAnsi" w:cstheme="minorHAnsi"/>
                <w:sz w:val="18"/>
                <w:szCs w:val="18"/>
              </w:rPr>
            </w:pPr>
            <w:r w:rsidRPr="00F33C53">
              <w:rPr>
                <w:rFonts w:asciiTheme="minorHAnsi" w:hAnsiTheme="minorHAnsi" w:cstheme="minorHAnsi"/>
                <w:sz w:val="18"/>
                <w:szCs w:val="18"/>
              </w:rPr>
              <w:t>DLR 2.1: By October 30, 2020, the Recipient converts into equity ownership of BT the outstanding principal amounts and interest payable by BT for ten (10) loans under Group 1 Subsidiary Agreements</w:t>
            </w:r>
          </w:p>
        </w:tc>
        <w:tc>
          <w:tcPr>
            <w:tcW w:w="1350" w:type="dxa"/>
          </w:tcPr>
          <w:p w14:paraId="07BE0B0D" w14:textId="3F1E9B49" w:rsidR="00FD7AF5" w:rsidRPr="00FD7AF5" w:rsidRDefault="00FD7AF5" w:rsidP="00FD7AF5">
            <w:pPr>
              <w:rPr>
                <w:rFonts w:asciiTheme="minorHAnsi" w:hAnsiTheme="minorHAnsi" w:cstheme="minorHAnsi"/>
                <w:sz w:val="18"/>
                <w:szCs w:val="18"/>
              </w:rPr>
            </w:pPr>
            <w:r w:rsidRPr="00FD7AF5">
              <w:rPr>
                <w:rFonts w:asciiTheme="minorHAnsi" w:hAnsiTheme="minorHAnsi" w:cstheme="minorHAnsi"/>
                <w:sz w:val="18"/>
                <w:szCs w:val="18"/>
              </w:rPr>
              <w:t>-</w:t>
            </w:r>
          </w:p>
        </w:tc>
        <w:tc>
          <w:tcPr>
            <w:tcW w:w="990" w:type="dxa"/>
          </w:tcPr>
          <w:p w14:paraId="20BAA20E" w14:textId="77777777" w:rsidR="00FD7AF5" w:rsidRPr="005379D3" w:rsidRDefault="00FD7AF5" w:rsidP="00FD7AF5">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32E7ACA2" w14:textId="5C5FC865" w:rsidR="00FD7AF5" w:rsidRPr="005379D3" w:rsidRDefault="00FD7AF5" w:rsidP="00FD7AF5">
            <w:pPr>
              <w:pStyle w:val="ListParagraph"/>
              <w:ind w:left="72"/>
              <w:contextualSpacing w:val="0"/>
              <w:rPr>
                <w:rFonts w:asciiTheme="minorHAnsi" w:hAnsiTheme="minorHAnsi" w:cstheme="minorHAnsi"/>
                <w:sz w:val="18"/>
                <w:szCs w:val="18"/>
              </w:rPr>
            </w:pPr>
            <w:r>
              <w:rPr>
                <w:rFonts w:asciiTheme="minorHAnsi" w:hAnsiTheme="minorHAnsi" w:cstheme="minorHAnsi"/>
                <w:sz w:val="18"/>
                <w:szCs w:val="18"/>
              </w:rPr>
              <w:t xml:space="preserve">Oct. </w:t>
            </w:r>
            <w:r w:rsidRPr="005379D3">
              <w:rPr>
                <w:rFonts w:asciiTheme="minorHAnsi" w:hAnsiTheme="minorHAnsi" w:cstheme="minorHAnsi"/>
                <w:sz w:val="18"/>
                <w:szCs w:val="18"/>
              </w:rPr>
              <w:t>3</w:t>
            </w:r>
            <w:r>
              <w:rPr>
                <w:rFonts w:asciiTheme="minorHAnsi" w:hAnsiTheme="minorHAnsi" w:cstheme="minorHAnsi"/>
                <w:sz w:val="18"/>
                <w:szCs w:val="18"/>
              </w:rPr>
              <w:t>0</w:t>
            </w:r>
            <w:r w:rsidRPr="005379D3">
              <w:rPr>
                <w:rFonts w:asciiTheme="minorHAnsi" w:hAnsiTheme="minorHAnsi" w:cstheme="minorHAnsi"/>
                <w:sz w:val="18"/>
                <w:szCs w:val="18"/>
              </w:rPr>
              <w:t>, 20</w:t>
            </w:r>
            <w:r>
              <w:rPr>
                <w:rFonts w:asciiTheme="minorHAnsi" w:hAnsiTheme="minorHAnsi" w:cstheme="minorHAnsi"/>
                <w:sz w:val="18"/>
                <w:szCs w:val="18"/>
              </w:rPr>
              <w:t>20</w:t>
            </w:r>
          </w:p>
        </w:tc>
        <w:tc>
          <w:tcPr>
            <w:tcW w:w="2700" w:type="dxa"/>
          </w:tcPr>
          <w:p w14:paraId="4D662514" w14:textId="36300693" w:rsidR="00FD7AF5" w:rsidRPr="003570EC" w:rsidRDefault="00FD7AF5" w:rsidP="00FD7AF5">
            <w:pPr>
              <w:rPr>
                <w:rFonts w:asciiTheme="minorHAnsi" w:eastAsia="Times New Roman" w:hAnsiTheme="minorHAnsi" w:cstheme="minorHAnsi"/>
                <w:bCs/>
                <w:sz w:val="18"/>
                <w:szCs w:val="18"/>
              </w:rPr>
            </w:pPr>
            <w:r w:rsidRPr="003570EC">
              <w:rPr>
                <w:rFonts w:asciiTheme="minorHAnsi" w:eastAsia="Times New Roman" w:hAnsiTheme="minorHAnsi" w:cstheme="minorHAnsi"/>
                <w:bCs/>
                <w:sz w:val="18"/>
                <w:szCs w:val="18"/>
              </w:rPr>
              <w:t>Conversion into equity of the outstanding principal amounts and interest payable for any ten loans under Group 1 Subsidiary Agreements.</w:t>
            </w:r>
          </w:p>
        </w:tc>
        <w:tc>
          <w:tcPr>
            <w:tcW w:w="2430" w:type="dxa"/>
          </w:tcPr>
          <w:p w14:paraId="16611EE5" w14:textId="60FACFA1" w:rsidR="00FD7AF5" w:rsidRPr="002F4FC1" w:rsidRDefault="00FD7AF5" w:rsidP="00FD7AF5">
            <w:pPr>
              <w:rPr>
                <w:rFonts w:asciiTheme="minorHAnsi" w:eastAsia="Times New Roman" w:hAnsiTheme="minorHAnsi" w:cstheme="minorHAnsi"/>
                <w:bCs/>
                <w:sz w:val="18"/>
                <w:szCs w:val="18"/>
              </w:rPr>
            </w:pPr>
            <w:r w:rsidRPr="003570EC">
              <w:rPr>
                <w:rFonts w:asciiTheme="minorHAnsi" w:eastAsia="Times New Roman" w:hAnsiTheme="minorHAnsi" w:cstheme="minorHAnsi"/>
                <w:bCs/>
                <w:sz w:val="18"/>
                <w:szCs w:val="18"/>
              </w:rPr>
              <w:t>Conversion into equity of the outstanding principal amounts and interest payable for any ten loans under Group 1 Subsidiary Agreements.</w:t>
            </w:r>
          </w:p>
        </w:tc>
        <w:tc>
          <w:tcPr>
            <w:tcW w:w="2340" w:type="dxa"/>
          </w:tcPr>
          <w:p w14:paraId="26EAE786" w14:textId="4823F8D0" w:rsidR="00FD7AF5" w:rsidRPr="003570EC" w:rsidRDefault="00FD7AF5" w:rsidP="00FD7AF5">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 </w:t>
            </w:r>
            <w:r w:rsidRPr="005379D3">
              <w:rPr>
                <w:rFonts w:asciiTheme="minorHAnsi" w:hAnsiTheme="minorHAnsi" w:cstheme="minorHAnsi"/>
                <w:sz w:val="18"/>
                <w:szCs w:val="18"/>
              </w:rPr>
              <w:t>disbursement for full compliance. No disbursement in case of partial or complete non-compliance.</w:t>
            </w:r>
          </w:p>
        </w:tc>
      </w:tr>
      <w:tr w:rsidR="00FD7AF5" w:rsidRPr="005379D3" w14:paraId="5EF8503E" w14:textId="77777777" w:rsidTr="00A64B72">
        <w:trPr>
          <w:trHeight w:val="665"/>
        </w:trPr>
        <w:tc>
          <w:tcPr>
            <w:tcW w:w="3127" w:type="dxa"/>
          </w:tcPr>
          <w:p w14:paraId="288EACBB" w14:textId="44A0A685" w:rsidR="00FD7AF5" w:rsidRPr="00F33C53" w:rsidRDefault="00FD7AF5" w:rsidP="00FD7AF5">
            <w:pPr>
              <w:pStyle w:val="BodyText"/>
              <w:ind w:left="-40"/>
              <w:rPr>
                <w:rFonts w:asciiTheme="minorHAnsi" w:hAnsiTheme="minorHAnsi" w:cstheme="minorHAnsi"/>
                <w:b w:val="0"/>
                <w:sz w:val="18"/>
                <w:szCs w:val="18"/>
              </w:rPr>
            </w:pPr>
            <w:r w:rsidRPr="00F33C53">
              <w:rPr>
                <w:rFonts w:asciiTheme="minorHAnsi" w:hAnsiTheme="minorHAnsi" w:cstheme="minorHAnsi"/>
                <w:b w:val="0"/>
                <w:bCs w:val="0"/>
                <w:sz w:val="18"/>
                <w:szCs w:val="18"/>
              </w:rPr>
              <w:t>DLR 2.2: By October 30, 2020, the terms of any new financing received by BT from the MOF are aligned with the terms in the respective legal agreements between the Recipient and the financiers</w:t>
            </w:r>
          </w:p>
        </w:tc>
        <w:tc>
          <w:tcPr>
            <w:tcW w:w="1350" w:type="dxa"/>
          </w:tcPr>
          <w:p w14:paraId="0485406E" w14:textId="14382235" w:rsidR="00FD7AF5" w:rsidRPr="00FD7AF5" w:rsidRDefault="00FD7AF5" w:rsidP="00FD7AF5">
            <w:pPr>
              <w:rPr>
                <w:rFonts w:asciiTheme="minorHAnsi" w:hAnsiTheme="minorHAnsi" w:cstheme="minorHAnsi"/>
                <w:sz w:val="18"/>
                <w:szCs w:val="18"/>
              </w:rPr>
            </w:pPr>
            <w:r w:rsidRPr="00FD7AF5">
              <w:rPr>
                <w:rFonts w:asciiTheme="minorHAnsi" w:hAnsiTheme="minorHAnsi" w:cstheme="minorHAnsi"/>
                <w:sz w:val="18"/>
                <w:szCs w:val="18"/>
              </w:rPr>
              <w:t>-</w:t>
            </w:r>
          </w:p>
        </w:tc>
        <w:tc>
          <w:tcPr>
            <w:tcW w:w="990" w:type="dxa"/>
          </w:tcPr>
          <w:p w14:paraId="07055BCF" w14:textId="77777777" w:rsidR="00FD7AF5" w:rsidRDefault="00FD7AF5" w:rsidP="00FD7AF5">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739FCF3D" w14:textId="2DCB5B18" w:rsidR="00FD7AF5" w:rsidRDefault="00FD7AF5" w:rsidP="00FD7AF5">
            <w:pPr>
              <w:pStyle w:val="ListParagraph"/>
              <w:ind w:left="72"/>
              <w:contextualSpacing w:val="0"/>
              <w:rPr>
                <w:rFonts w:asciiTheme="minorHAnsi" w:hAnsiTheme="minorHAnsi" w:cstheme="minorHAnsi"/>
                <w:sz w:val="18"/>
                <w:szCs w:val="18"/>
              </w:rPr>
            </w:pPr>
            <w:r>
              <w:rPr>
                <w:rFonts w:asciiTheme="minorHAnsi" w:hAnsiTheme="minorHAnsi" w:cstheme="minorHAnsi"/>
                <w:sz w:val="18"/>
                <w:szCs w:val="18"/>
              </w:rPr>
              <w:t>Oct.</w:t>
            </w:r>
            <w:r w:rsidRPr="005379D3">
              <w:rPr>
                <w:rFonts w:asciiTheme="minorHAnsi" w:hAnsiTheme="minorHAnsi" w:cstheme="minorHAnsi"/>
                <w:sz w:val="18"/>
                <w:szCs w:val="18"/>
              </w:rPr>
              <w:t xml:space="preserve"> 3</w:t>
            </w:r>
            <w:r>
              <w:rPr>
                <w:rFonts w:asciiTheme="minorHAnsi" w:hAnsiTheme="minorHAnsi" w:cstheme="minorHAnsi"/>
                <w:sz w:val="18"/>
                <w:szCs w:val="18"/>
              </w:rPr>
              <w:t>0</w:t>
            </w:r>
            <w:r w:rsidRPr="005379D3">
              <w:rPr>
                <w:rFonts w:asciiTheme="minorHAnsi" w:hAnsiTheme="minorHAnsi" w:cstheme="minorHAnsi"/>
                <w:sz w:val="18"/>
                <w:szCs w:val="18"/>
              </w:rPr>
              <w:t>, 20</w:t>
            </w:r>
            <w:r>
              <w:rPr>
                <w:rFonts w:asciiTheme="minorHAnsi" w:hAnsiTheme="minorHAnsi" w:cstheme="minorHAnsi"/>
                <w:sz w:val="18"/>
                <w:szCs w:val="18"/>
              </w:rPr>
              <w:t>20</w:t>
            </w:r>
          </w:p>
        </w:tc>
        <w:tc>
          <w:tcPr>
            <w:tcW w:w="2700" w:type="dxa"/>
          </w:tcPr>
          <w:p w14:paraId="54DE5C75" w14:textId="77777777" w:rsidR="00FD7AF5" w:rsidRPr="003570EC" w:rsidRDefault="00FD7AF5" w:rsidP="00FD7AF5">
            <w:pPr>
              <w:rPr>
                <w:rFonts w:asciiTheme="minorHAnsi" w:eastAsia="Times New Roman" w:hAnsiTheme="minorHAnsi" w:cstheme="minorHAnsi"/>
                <w:bCs/>
                <w:sz w:val="18"/>
                <w:szCs w:val="18"/>
              </w:rPr>
            </w:pPr>
            <w:r>
              <w:rPr>
                <w:rFonts w:asciiTheme="minorHAnsi" w:hAnsiTheme="minorHAnsi" w:cstheme="minorHAnsi"/>
                <w:sz w:val="18"/>
                <w:szCs w:val="22"/>
              </w:rPr>
              <w:t>T</w:t>
            </w:r>
            <w:r w:rsidRPr="00061738">
              <w:rPr>
                <w:rFonts w:asciiTheme="minorHAnsi" w:hAnsiTheme="minorHAnsi" w:cstheme="minorHAnsi"/>
                <w:sz w:val="18"/>
                <w:szCs w:val="22"/>
              </w:rPr>
              <w:t xml:space="preserve">he financial terms of any new financing received by BT from the MOF are aligned with the terms </w:t>
            </w:r>
            <w:r>
              <w:rPr>
                <w:rFonts w:asciiTheme="minorHAnsi" w:hAnsiTheme="minorHAnsi" w:cstheme="minorHAnsi"/>
                <w:sz w:val="18"/>
                <w:szCs w:val="22"/>
              </w:rPr>
              <w:t>in the respective legal documents between the Recipient and the financiers.</w:t>
            </w:r>
          </w:p>
        </w:tc>
        <w:tc>
          <w:tcPr>
            <w:tcW w:w="2430" w:type="dxa"/>
          </w:tcPr>
          <w:p w14:paraId="718DD3BC" w14:textId="77777777" w:rsidR="00FD7AF5" w:rsidRPr="003570EC" w:rsidRDefault="00FD7AF5" w:rsidP="00FD7AF5">
            <w:pPr>
              <w:rPr>
                <w:rFonts w:asciiTheme="minorHAnsi" w:eastAsia="Times New Roman" w:hAnsiTheme="minorHAnsi" w:cstheme="minorHAnsi"/>
                <w:bCs/>
                <w:sz w:val="18"/>
                <w:szCs w:val="18"/>
              </w:rPr>
            </w:pPr>
            <w:r>
              <w:rPr>
                <w:rFonts w:asciiTheme="minorHAnsi" w:hAnsiTheme="minorHAnsi" w:cstheme="minorHAnsi"/>
                <w:sz w:val="18"/>
                <w:szCs w:val="22"/>
              </w:rPr>
              <w:t>T</w:t>
            </w:r>
            <w:r w:rsidRPr="00061738">
              <w:rPr>
                <w:rFonts w:asciiTheme="minorHAnsi" w:hAnsiTheme="minorHAnsi" w:cstheme="minorHAnsi"/>
                <w:sz w:val="18"/>
                <w:szCs w:val="22"/>
              </w:rPr>
              <w:t xml:space="preserve">he financial terms of any new financing received by BT from the MOF are aligned with the terms </w:t>
            </w:r>
            <w:r>
              <w:rPr>
                <w:rFonts w:asciiTheme="minorHAnsi" w:hAnsiTheme="minorHAnsi" w:cstheme="minorHAnsi"/>
                <w:sz w:val="18"/>
                <w:szCs w:val="22"/>
              </w:rPr>
              <w:t>in the legal documents between the Recipient and the financiers.</w:t>
            </w:r>
          </w:p>
        </w:tc>
        <w:tc>
          <w:tcPr>
            <w:tcW w:w="2340" w:type="dxa"/>
          </w:tcPr>
          <w:p w14:paraId="6900CE54" w14:textId="55F7B6E4" w:rsidR="00FD7AF5" w:rsidRPr="00CB356C" w:rsidRDefault="00FD7AF5" w:rsidP="00FD7AF5">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 </w:t>
            </w:r>
            <w:r w:rsidRPr="005379D3">
              <w:rPr>
                <w:rFonts w:asciiTheme="minorHAnsi" w:hAnsiTheme="minorHAnsi" w:cstheme="minorHAnsi"/>
                <w:sz w:val="18"/>
                <w:szCs w:val="18"/>
              </w:rPr>
              <w:t>disbursement for full compliance. No disbursement in case of partial or complete non-compliance.</w:t>
            </w:r>
          </w:p>
        </w:tc>
      </w:tr>
      <w:tr w:rsidR="00FD7AF5" w:rsidRPr="005379D3" w14:paraId="64C1F5C3" w14:textId="77777777" w:rsidTr="00A64B72">
        <w:trPr>
          <w:trHeight w:val="1331"/>
        </w:trPr>
        <w:tc>
          <w:tcPr>
            <w:tcW w:w="3127" w:type="dxa"/>
          </w:tcPr>
          <w:p w14:paraId="772B51A8" w14:textId="622114BB" w:rsidR="00FD7AF5" w:rsidRPr="00F33C53" w:rsidRDefault="00FD7AF5" w:rsidP="00FD7AF5">
            <w:pPr>
              <w:pStyle w:val="BodyText"/>
              <w:ind w:left="-40"/>
              <w:rPr>
                <w:rFonts w:asciiTheme="minorHAnsi" w:hAnsiTheme="minorHAnsi" w:cstheme="minorHAnsi"/>
                <w:b w:val="0"/>
                <w:sz w:val="18"/>
                <w:szCs w:val="18"/>
              </w:rPr>
            </w:pPr>
            <w:r w:rsidRPr="00F33C53">
              <w:rPr>
                <w:rFonts w:asciiTheme="minorHAnsi" w:hAnsiTheme="minorHAnsi" w:cstheme="minorHAnsi"/>
                <w:b w:val="0"/>
                <w:bCs w:val="0"/>
                <w:sz w:val="18"/>
                <w:szCs w:val="18"/>
              </w:rPr>
              <w:t>DLR 2.3: By December 31, 2020, the Recipient converts into equity ownership of BT the outstanding principal amounts and interest payable under additional four (4) Group 1 Subsidiary Agreements</w:t>
            </w:r>
          </w:p>
        </w:tc>
        <w:tc>
          <w:tcPr>
            <w:tcW w:w="1350" w:type="dxa"/>
          </w:tcPr>
          <w:p w14:paraId="53E892E4" w14:textId="4884F7D6" w:rsidR="00FD7AF5" w:rsidRPr="00FD7AF5" w:rsidRDefault="00FD7AF5" w:rsidP="00FD7AF5">
            <w:pPr>
              <w:rPr>
                <w:rFonts w:asciiTheme="minorHAnsi" w:hAnsiTheme="minorHAnsi" w:cstheme="minorHAnsi"/>
                <w:sz w:val="18"/>
                <w:szCs w:val="18"/>
              </w:rPr>
            </w:pPr>
            <w:r w:rsidRPr="00FD7AF5">
              <w:rPr>
                <w:rFonts w:asciiTheme="minorHAnsi" w:hAnsiTheme="minorHAnsi" w:cstheme="minorHAnsi"/>
                <w:sz w:val="18"/>
                <w:szCs w:val="18"/>
              </w:rPr>
              <w:t>-</w:t>
            </w:r>
          </w:p>
        </w:tc>
        <w:tc>
          <w:tcPr>
            <w:tcW w:w="990" w:type="dxa"/>
          </w:tcPr>
          <w:p w14:paraId="1C580E38" w14:textId="77777777" w:rsidR="00FD7AF5" w:rsidRDefault="00FD7AF5" w:rsidP="00FD7AF5">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79264891" w14:textId="77777777" w:rsidR="00FD7AF5" w:rsidRDefault="00FD7AF5" w:rsidP="00FD7AF5">
            <w:pPr>
              <w:pStyle w:val="ListParagraph"/>
              <w:ind w:left="72"/>
              <w:contextualSpacing w:val="0"/>
              <w:rPr>
                <w:rFonts w:asciiTheme="minorHAnsi" w:hAnsiTheme="minorHAnsi" w:cstheme="minorHAnsi"/>
                <w:sz w:val="18"/>
                <w:szCs w:val="18"/>
              </w:rPr>
            </w:pPr>
            <w:r>
              <w:rPr>
                <w:rFonts w:asciiTheme="minorHAnsi" w:hAnsiTheme="minorHAnsi" w:cstheme="minorHAnsi"/>
                <w:sz w:val="18"/>
                <w:szCs w:val="18"/>
              </w:rPr>
              <w:t>Dec. 31, 2020</w:t>
            </w:r>
          </w:p>
        </w:tc>
        <w:tc>
          <w:tcPr>
            <w:tcW w:w="2700" w:type="dxa"/>
          </w:tcPr>
          <w:p w14:paraId="4CBAD4CB" w14:textId="77777777" w:rsidR="00FD7AF5" w:rsidRPr="00A3457E" w:rsidRDefault="00FD7AF5" w:rsidP="00FD7AF5">
            <w:pPr>
              <w:rPr>
                <w:rFonts w:asciiTheme="minorHAnsi" w:eastAsia="Times New Roman" w:hAnsiTheme="minorHAnsi" w:cstheme="minorHAnsi"/>
                <w:bCs/>
                <w:sz w:val="18"/>
                <w:szCs w:val="18"/>
              </w:rPr>
            </w:pPr>
            <w:r w:rsidRPr="003570EC">
              <w:rPr>
                <w:rFonts w:asciiTheme="minorHAnsi" w:eastAsia="Times New Roman" w:hAnsiTheme="minorHAnsi" w:cstheme="minorHAnsi"/>
                <w:bCs/>
                <w:sz w:val="18"/>
                <w:szCs w:val="18"/>
              </w:rPr>
              <w:t xml:space="preserve">Conversion into equity of the outstanding principal amounts and interest payable for any </w:t>
            </w:r>
            <w:r>
              <w:rPr>
                <w:rFonts w:asciiTheme="minorHAnsi" w:eastAsia="Times New Roman" w:hAnsiTheme="minorHAnsi" w:cstheme="minorHAnsi"/>
                <w:bCs/>
                <w:sz w:val="18"/>
                <w:szCs w:val="18"/>
              </w:rPr>
              <w:t>three additional</w:t>
            </w:r>
            <w:r w:rsidRPr="003570EC">
              <w:rPr>
                <w:rFonts w:asciiTheme="minorHAnsi" w:eastAsia="Times New Roman" w:hAnsiTheme="minorHAnsi" w:cstheme="minorHAnsi"/>
                <w:bCs/>
                <w:sz w:val="18"/>
                <w:szCs w:val="18"/>
              </w:rPr>
              <w:t xml:space="preserve"> loans under</w:t>
            </w:r>
            <w:r>
              <w:rPr>
                <w:rFonts w:asciiTheme="minorHAnsi" w:eastAsia="Times New Roman" w:hAnsiTheme="minorHAnsi" w:cstheme="minorHAnsi"/>
                <w:bCs/>
                <w:sz w:val="18"/>
                <w:szCs w:val="18"/>
              </w:rPr>
              <w:t xml:space="preserve"> </w:t>
            </w:r>
            <w:r w:rsidRPr="003570EC">
              <w:rPr>
                <w:rFonts w:asciiTheme="minorHAnsi" w:eastAsia="Times New Roman" w:hAnsiTheme="minorHAnsi" w:cstheme="minorHAnsi"/>
                <w:bCs/>
                <w:sz w:val="18"/>
                <w:szCs w:val="18"/>
              </w:rPr>
              <w:t>Group 1 Subsidiary Agreements.</w:t>
            </w:r>
          </w:p>
        </w:tc>
        <w:tc>
          <w:tcPr>
            <w:tcW w:w="2430" w:type="dxa"/>
          </w:tcPr>
          <w:p w14:paraId="36823BCD" w14:textId="77777777" w:rsidR="00FD7AF5" w:rsidRPr="00A3457E" w:rsidRDefault="00FD7AF5" w:rsidP="00FD7AF5">
            <w:pPr>
              <w:rPr>
                <w:rFonts w:asciiTheme="minorHAnsi" w:hAnsiTheme="minorHAnsi" w:cstheme="minorHAnsi"/>
                <w:sz w:val="18"/>
                <w:szCs w:val="18"/>
              </w:rPr>
            </w:pPr>
            <w:r w:rsidRPr="003570EC">
              <w:rPr>
                <w:rFonts w:asciiTheme="minorHAnsi" w:eastAsia="Times New Roman" w:hAnsiTheme="minorHAnsi" w:cstheme="minorHAnsi"/>
                <w:bCs/>
                <w:sz w:val="18"/>
                <w:szCs w:val="18"/>
              </w:rPr>
              <w:t xml:space="preserve">Conversion into equity of the outstanding principal amounts and interest payable for any </w:t>
            </w:r>
            <w:r>
              <w:rPr>
                <w:rFonts w:asciiTheme="minorHAnsi" w:eastAsia="Times New Roman" w:hAnsiTheme="minorHAnsi" w:cstheme="minorHAnsi"/>
                <w:bCs/>
                <w:sz w:val="18"/>
                <w:szCs w:val="18"/>
              </w:rPr>
              <w:t>three additional</w:t>
            </w:r>
            <w:r w:rsidRPr="003570EC">
              <w:rPr>
                <w:rFonts w:asciiTheme="minorHAnsi" w:eastAsia="Times New Roman" w:hAnsiTheme="minorHAnsi" w:cstheme="minorHAnsi"/>
                <w:bCs/>
                <w:sz w:val="18"/>
                <w:szCs w:val="18"/>
              </w:rPr>
              <w:t xml:space="preserve"> loans under Group 1 Subsidiary Agreements</w:t>
            </w:r>
            <w:r>
              <w:rPr>
                <w:rFonts w:asciiTheme="minorHAnsi" w:eastAsia="Times New Roman" w:hAnsiTheme="minorHAnsi" w:cstheme="minorHAnsi"/>
                <w:bCs/>
                <w:sz w:val="18"/>
                <w:szCs w:val="18"/>
              </w:rPr>
              <w:t>.</w:t>
            </w:r>
          </w:p>
        </w:tc>
        <w:tc>
          <w:tcPr>
            <w:tcW w:w="2340" w:type="dxa"/>
          </w:tcPr>
          <w:p w14:paraId="3D3CE8F6" w14:textId="78D361A2" w:rsidR="00FD7AF5" w:rsidRDefault="00FD7AF5" w:rsidP="00FD7AF5">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 </w:t>
            </w:r>
            <w:r w:rsidRPr="005379D3">
              <w:rPr>
                <w:rFonts w:asciiTheme="minorHAnsi" w:hAnsiTheme="minorHAnsi" w:cstheme="minorHAnsi"/>
                <w:sz w:val="18"/>
                <w:szCs w:val="18"/>
              </w:rPr>
              <w:t>disbursement for full compliance. No disbursement in case of partial or complete non-compliance.</w:t>
            </w:r>
          </w:p>
        </w:tc>
      </w:tr>
      <w:tr w:rsidR="00FD7AF5" w:rsidRPr="006F40AA" w14:paraId="3FB624B9" w14:textId="77777777" w:rsidTr="00A64B72">
        <w:trPr>
          <w:trHeight w:val="665"/>
        </w:trPr>
        <w:tc>
          <w:tcPr>
            <w:tcW w:w="3127" w:type="dxa"/>
          </w:tcPr>
          <w:p w14:paraId="5672F043" w14:textId="2A2530A9" w:rsidR="00FD7AF5" w:rsidRPr="00F33C53" w:rsidRDefault="00FD7AF5" w:rsidP="00FD7AF5">
            <w:pPr>
              <w:pStyle w:val="BodyText"/>
              <w:ind w:left="-40"/>
              <w:rPr>
                <w:rFonts w:asciiTheme="minorHAnsi" w:hAnsiTheme="minorHAnsi" w:cstheme="minorHAnsi"/>
                <w:b w:val="0"/>
                <w:sz w:val="18"/>
                <w:szCs w:val="18"/>
              </w:rPr>
            </w:pPr>
            <w:r w:rsidRPr="00F33C53">
              <w:rPr>
                <w:rFonts w:asciiTheme="minorHAnsi" w:hAnsiTheme="minorHAnsi" w:cstheme="minorHAnsi"/>
                <w:b w:val="0"/>
                <w:bCs w:val="0"/>
                <w:sz w:val="18"/>
                <w:szCs w:val="18"/>
              </w:rPr>
              <w:lastRenderedPageBreak/>
              <w:t>DLR 2.4: By December 31, 2020, the BT Supervisory Board adopts a formal decision to prohibit BT from receiving new financing from the MOF, unless the terms of such financing are aligned with the terms reflected in the legal documents between the Recipient and the financiers</w:t>
            </w:r>
          </w:p>
        </w:tc>
        <w:tc>
          <w:tcPr>
            <w:tcW w:w="1350" w:type="dxa"/>
          </w:tcPr>
          <w:p w14:paraId="1278262A" w14:textId="3024A981" w:rsidR="00FD7AF5" w:rsidRPr="00FD7AF5" w:rsidRDefault="00FD7AF5" w:rsidP="00FD7AF5">
            <w:pPr>
              <w:rPr>
                <w:rFonts w:asciiTheme="minorHAnsi" w:hAnsiTheme="minorHAnsi" w:cstheme="minorHAnsi"/>
                <w:sz w:val="18"/>
                <w:szCs w:val="18"/>
              </w:rPr>
            </w:pPr>
            <w:r w:rsidRPr="00FD7AF5">
              <w:rPr>
                <w:rFonts w:asciiTheme="minorHAnsi" w:hAnsiTheme="minorHAnsi" w:cstheme="minorHAnsi"/>
                <w:sz w:val="18"/>
                <w:szCs w:val="18"/>
              </w:rPr>
              <w:t>-</w:t>
            </w:r>
          </w:p>
        </w:tc>
        <w:tc>
          <w:tcPr>
            <w:tcW w:w="990" w:type="dxa"/>
          </w:tcPr>
          <w:p w14:paraId="265CDB59" w14:textId="77777777" w:rsidR="00FD7AF5" w:rsidRPr="006F40AA" w:rsidRDefault="00FD7AF5" w:rsidP="00FD7AF5">
            <w:pPr>
              <w:rPr>
                <w:rFonts w:asciiTheme="minorHAnsi" w:hAnsiTheme="minorHAnsi" w:cstheme="minorHAnsi"/>
                <w:sz w:val="18"/>
                <w:szCs w:val="18"/>
              </w:rPr>
            </w:pPr>
          </w:p>
        </w:tc>
        <w:tc>
          <w:tcPr>
            <w:tcW w:w="1530" w:type="dxa"/>
          </w:tcPr>
          <w:p w14:paraId="5357A0C0" w14:textId="77777777" w:rsidR="00FD7AF5" w:rsidRPr="006F40AA" w:rsidRDefault="00FD7AF5" w:rsidP="00FD7AF5">
            <w:pPr>
              <w:pStyle w:val="ListParagraph"/>
              <w:ind w:left="72"/>
              <w:contextualSpacing w:val="0"/>
              <w:rPr>
                <w:rFonts w:asciiTheme="minorHAnsi" w:hAnsiTheme="minorHAnsi" w:cstheme="minorHAnsi"/>
                <w:sz w:val="18"/>
                <w:szCs w:val="18"/>
              </w:rPr>
            </w:pPr>
            <w:r>
              <w:rPr>
                <w:rFonts w:asciiTheme="minorHAnsi" w:hAnsiTheme="minorHAnsi" w:cstheme="minorHAnsi"/>
                <w:sz w:val="18"/>
                <w:szCs w:val="18"/>
              </w:rPr>
              <w:t>Dec.</w:t>
            </w:r>
            <w:r w:rsidRPr="005379D3">
              <w:rPr>
                <w:rFonts w:asciiTheme="minorHAnsi" w:hAnsiTheme="minorHAnsi" w:cstheme="minorHAnsi"/>
                <w:sz w:val="18"/>
                <w:szCs w:val="18"/>
              </w:rPr>
              <w:t xml:space="preserve"> 3</w:t>
            </w:r>
            <w:r>
              <w:rPr>
                <w:rFonts w:asciiTheme="minorHAnsi" w:hAnsiTheme="minorHAnsi" w:cstheme="minorHAnsi"/>
                <w:sz w:val="18"/>
                <w:szCs w:val="18"/>
              </w:rPr>
              <w:t>1</w:t>
            </w:r>
            <w:r w:rsidRPr="005379D3">
              <w:rPr>
                <w:rFonts w:asciiTheme="minorHAnsi" w:hAnsiTheme="minorHAnsi" w:cstheme="minorHAnsi"/>
                <w:sz w:val="18"/>
                <w:szCs w:val="18"/>
              </w:rPr>
              <w:t>, 20</w:t>
            </w:r>
            <w:r>
              <w:rPr>
                <w:rFonts w:asciiTheme="minorHAnsi" w:hAnsiTheme="minorHAnsi" w:cstheme="minorHAnsi"/>
                <w:sz w:val="18"/>
                <w:szCs w:val="18"/>
              </w:rPr>
              <w:t>20</w:t>
            </w:r>
          </w:p>
        </w:tc>
        <w:tc>
          <w:tcPr>
            <w:tcW w:w="2700" w:type="dxa"/>
          </w:tcPr>
          <w:p w14:paraId="63BEC129" w14:textId="77777777" w:rsidR="00FD7AF5" w:rsidRPr="00C24312" w:rsidRDefault="00FD7AF5" w:rsidP="00FD7AF5">
            <w:pPr>
              <w:rPr>
                <w:rFonts w:asciiTheme="minorHAnsi" w:eastAsia="Times New Roman" w:hAnsiTheme="minorHAnsi" w:cstheme="minorHAnsi"/>
                <w:bCs/>
                <w:sz w:val="18"/>
                <w:szCs w:val="18"/>
              </w:rPr>
            </w:pPr>
            <w:r w:rsidRPr="00C24312">
              <w:rPr>
                <w:rFonts w:asciiTheme="minorHAnsi" w:eastAsia="Times New Roman" w:hAnsiTheme="minorHAnsi" w:cstheme="minorHAnsi"/>
                <w:bCs/>
                <w:sz w:val="18"/>
                <w:szCs w:val="18"/>
              </w:rPr>
              <w:t xml:space="preserve">Decision by the </w:t>
            </w:r>
            <w:r w:rsidRPr="00C24312">
              <w:rPr>
                <w:rFonts w:asciiTheme="minorHAnsi" w:hAnsiTheme="minorHAnsi" w:cstheme="minorHAnsi"/>
                <w:sz w:val="18"/>
                <w:szCs w:val="18"/>
              </w:rPr>
              <w:t xml:space="preserve">Supervisory Board of BT prohibiting receiving financial resources under terms, which are not aligned with the terms of financing in the </w:t>
            </w:r>
            <w:r w:rsidRPr="00C24312">
              <w:rPr>
                <w:rFonts w:asciiTheme="minorHAnsi" w:hAnsiTheme="minorHAnsi" w:cstheme="minorHAnsi"/>
                <w:sz w:val="18"/>
                <w:szCs w:val="22"/>
              </w:rPr>
              <w:t>legal documents between the Recipient and the financiers.</w:t>
            </w:r>
          </w:p>
          <w:p w14:paraId="280532D0" w14:textId="77777777" w:rsidR="00FD7AF5" w:rsidRPr="006F40AA" w:rsidRDefault="00FD7AF5" w:rsidP="00FD7AF5">
            <w:pPr>
              <w:rPr>
                <w:rFonts w:asciiTheme="minorHAnsi" w:hAnsiTheme="minorHAnsi" w:cstheme="minorHAnsi"/>
                <w:sz w:val="18"/>
                <w:szCs w:val="22"/>
              </w:rPr>
            </w:pPr>
          </w:p>
        </w:tc>
        <w:tc>
          <w:tcPr>
            <w:tcW w:w="2430" w:type="dxa"/>
          </w:tcPr>
          <w:p w14:paraId="6A7B2522" w14:textId="77777777" w:rsidR="00FD7AF5" w:rsidRPr="00C24312" w:rsidRDefault="00FD7AF5" w:rsidP="00FD7AF5">
            <w:pPr>
              <w:rPr>
                <w:rFonts w:asciiTheme="minorHAnsi" w:eastAsia="Times New Roman" w:hAnsiTheme="minorHAnsi" w:cstheme="minorHAnsi"/>
                <w:bCs/>
                <w:sz w:val="18"/>
                <w:szCs w:val="18"/>
              </w:rPr>
            </w:pPr>
            <w:r w:rsidRPr="00C24312">
              <w:rPr>
                <w:rFonts w:asciiTheme="minorHAnsi" w:eastAsia="Times New Roman" w:hAnsiTheme="minorHAnsi" w:cstheme="minorHAnsi"/>
                <w:bCs/>
                <w:sz w:val="18"/>
                <w:szCs w:val="18"/>
              </w:rPr>
              <w:t xml:space="preserve">Decision by the </w:t>
            </w:r>
            <w:r w:rsidRPr="00C24312">
              <w:rPr>
                <w:rFonts w:asciiTheme="minorHAnsi" w:hAnsiTheme="minorHAnsi" w:cstheme="minorHAnsi"/>
                <w:sz w:val="18"/>
                <w:szCs w:val="18"/>
              </w:rPr>
              <w:t xml:space="preserve">Supervisory Board of BT prohibiting receiving financial resources under terms, which are not aligned with the terms of financing in the </w:t>
            </w:r>
            <w:r w:rsidRPr="00C24312">
              <w:rPr>
                <w:rFonts w:asciiTheme="minorHAnsi" w:hAnsiTheme="minorHAnsi" w:cstheme="minorHAnsi"/>
                <w:sz w:val="18"/>
                <w:szCs w:val="22"/>
              </w:rPr>
              <w:t>legal documents between the Recipient and the financiers.</w:t>
            </w:r>
          </w:p>
        </w:tc>
        <w:tc>
          <w:tcPr>
            <w:tcW w:w="2340" w:type="dxa"/>
          </w:tcPr>
          <w:p w14:paraId="114C85D0" w14:textId="1B5DD388" w:rsidR="00FD7AF5" w:rsidRPr="006F40AA" w:rsidRDefault="00FD7AF5" w:rsidP="00FD7AF5">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 </w:t>
            </w:r>
            <w:r w:rsidRPr="005379D3">
              <w:rPr>
                <w:rFonts w:asciiTheme="minorHAnsi" w:hAnsiTheme="minorHAnsi" w:cstheme="minorHAnsi"/>
                <w:sz w:val="18"/>
                <w:szCs w:val="18"/>
              </w:rPr>
              <w:t>disbursement for full compliance. No disbursement in case of partial or complete non-compliance.</w:t>
            </w:r>
          </w:p>
        </w:tc>
      </w:tr>
      <w:tr w:rsidR="00FD7AF5" w:rsidRPr="005379D3" w14:paraId="311C4922" w14:textId="77777777" w:rsidTr="00A64B72">
        <w:trPr>
          <w:trHeight w:val="665"/>
        </w:trPr>
        <w:tc>
          <w:tcPr>
            <w:tcW w:w="3127" w:type="dxa"/>
          </w:tcPr>
          <w:p w14:paraId="49ABB4D5" w14:textId="6FC89E5B" w:rsidR="00FD7AF5" w:rsidRPr="00F33C53" w:rsidRDefault="00FD7AF5" w:rsidP="00FD7AF5">
            <w:pPr>
              <w:pStyle w:val="BodyText"/>
              <w:ind w:left="-40"/>
              <w:rPr>
                <w:rFonts w:asciiTheme="minorHAnsi" w:hAnsiTheme="minorHAnsi" w:cstheme="minorHAnsi"/>
                <w:b w:val="0"/>
                <w:sz w:val="18"/>
                <w:szCs w:val="18"/>
              </w:rPr>
            </w:pPr>
            <w:r w:rsidRPr="00F33C53">
              <w:rPr>
                <w:rFonts w:asciiTheme="minorHAnsi" w:hAnsiTheme="minorHAnsi" w:cstheme="minorHAnsi"/>
                <w:b w:val="0"/>
                <w:bCs w:val="0"/>
                <w:sz w:val="18"/>
                <w:szCs w:val="18"/>
              </w:rPr>
              <w:t>DLR 2.5: By December 31, 2020, the terms of any new financing received by BT from the MOF are aligned with the terms in the respective legal documents between the Recipient and the financiers</w:t>
            </w:r>
          </w:p>
        </w:tc>
        <w:tc>
          <w:tcPr>
            <w:tcW w:w="1350" w:type="dxa"/>
          </w:tcPr>
          <w:p w14:paraId="5B45313C" w14:textId="09878EC3" w:rsidR="00FD7AF5" w:rsidRPr="00FD7AF5" w:rsidRDefault="00FD7AF5" w:rsidP="00FD7AF5">
            <w:pPr>
              <w:rPr>
                <w:rFonts w:asciiTheme="minorHAnsi" w:hAnsiTheme="minorHAnsi" w:cstheme="minorHAnsi"/>
                <w:sz w:val="18"/>
                <w:szCs w:val="18"/>
              </w:rPr>
            </w:pPr>
            <w:r w:rsidRPr="00FD7AF5">
              <w:rPr>
                <w:rFonts w:asciiTheme="minorHAnsi" w:hAnsiTheme="minorHAnsi" w:cstheme="minorHAnsi"/>
                <w:sz w:val="18"/>
                <w:szCs w:val="18"/>
              </w:rPr>
              <w:t>-</w:t>
            </w:r>
          </w:p>
        </w:tc>
        <w:tc>
          <w:tcPr>
            <w:tcW w:w="990" w:type="dxa"/>
          </w:tcPr>
          <w:p w14:paraId="087EAD2E" w14:textId="77777777" w:rsidR="00FD7AF5" w:rsidRDefault="00FD7AF5" w:rsidP="00FD7AF5">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7EC68424" w14:textId="77777777" w:rsidR="00FD7AF5" w:rsidRDefault="00FD7AF5" w:rsidP="00FD7AF5">
            <w:pPr>
              <w:pStyle w:val="ListParagraph"/>
              <w:ind w:left="72"/>
              <w:contextualSpacing w:val="0"/>
              <w:rPr>
                <w:rFonts w:asciiTheme="minorHAnsi" w:hAnsiTheme="minorHAnsi" w:cstheme="minorHAnsi"/>
                <w:sz w:val="18"/>
                <w:szCs w:val="18"/>
              </w:rPr>
            </w:pPr>
            <w:r>
              <w:rPr>
                <w:rFonts w:asciiTheme="minorHAnsi" w:hAnsiTheme="minorHAnsi" w:cstheme="minorHAnsi"/>
                <w:sz w:val="18"/>
                <w:szCs w:val="18"/>
              </w:rPr>
              <w:t>Dec.</w:t>
            </w:r>
            <w:r w:rsidRPr="005379D3">
              <w:rPr>
                <w:rFonts w:asciiTheme="minorHAnsi" w:hAnsiTheme="minorHAnsi" w:cstheme="minorHAnsi"/>
                <w:sz w:val="18"/>
                <w:szCs w:val="18"/>
              </w:rPr>
              <w:t xml:space="preserve"> 3</w:t>
            </w:r>
            <w:r>
              <w:rPr>
                <w:rFonts w:asciiTheme="minorHAnsi" w:hAnsiTheme="minorHAnsi" w:cstheme="minorHAnsi"/>
                <w:sz w:val="18"/>
                <w:szCs w:val="18"/>
              </w:rPr>
              <w:t>1</w:t>
            </w:r>
            <w:r w:rsidRPr="005379D3">
              <w:rPr>
                <w:rFonts w:asciiTheme="minorHAnsi" w:hAnsiTheme="minorHAnsi" w:cstheme="minorHAnsi"/>
                <w:sz w:val="18"/>
                <w:szCs w:val="18"/>
              </w:rPr>
              <w:t>, 20</w:t>
            </w:r>
            <w:r>
              <w:rPr>
                <w:rFonts w:asciiTheme="minorHAnsi" w:hAnsiTheme="minorHAnsi" w:cstheme="minorHAnsi"/>
                <w:sz w:val="18"/>
                <w:szCs w:val="18"/>
              </w:rPr>
              <w:t>20</w:t>
            </w:r>
          </w:p>
        </w:tc>
        <w:tc>
          <w:tcPr>
            <w:tcW w:w="2700" w:type="dxa"/>
          </w:tcPr>
          <w:p w14:paraId="20C84F64" w14:textId="77777777" w:rsidR="00FD7AF5" w:rsidRDefault="00FD7AF5" w:rsidP="00FD7AF5">
            <w:pPr>
              <w:rPr>
                <w:rFonts w:asciiTheme="minorHAnsi" w:hAnsiTheme="minorHAnsi" w:cstheme="minorHAnsi"/>
                <w:sz w:val="18"/>
                <w:szCs w:val="22"/>
              </w:rPr>
            </w:pPr>
            <w:r>
              <w:rPr>
                <w:rFonts w:asciiTheme="minorHAnsi" w:hAnsiTheme="minorHAnsi" w:cstheme="minorHAnsi"/>
                <w:sz w:val="18"/>
                <w:szCs w:val="22"/>
              </w:rPr>
              <w:t>T</w:t>
            </w:r>
            <w:r w:rsidRPr="00061738">
              <w:rPr>
                <w:rFonts w:asciiTheme="minorHAnsi" w:hAnsiTheme="minorHAnsi" w:cstheme="minorHAnsi"/>
                <w:sz w:val="18"/>
                <w:szCs w:val="22"/>
              </w:rPr>
              <w:t xml:space="preserve">he financial terms of any new financing received by BT from the MOF are aligned with the terms </w:t>
            </w:r>
            <w:r>
              <w:rPr>
                <w:rFonts w:asciiTheme="minorHAnsi" w:hAnsiTheme="minorHAnsi" w:cstheme="minorHAnsi"/>
                <w:sz w:val="18"/>
                <w:szCs w:val="22"/>
              </w:rPr>
              <w:t>in the respective legal documents between the Recipient and the financiers.</w:t>
            </w:r>
          </w:p>
        </w:tc>
        <w:tc>
          <w:tcPr>
            <w:tcW w:w="2430" w:type="dxa"/>
          </w:tcPr>
          <w:p w14:paraId="3F9A81F9" w14:textId="77777777" w:rsidR="00FD7AF5" w:rsidRDefault="00FD7AF5" w:rsidP="00FD7AF5">
            <w:pPr>
              <w:rPr>
                <w:rFonts w:asciiTheme="minorHAnsi" w:hAnsiTheme="minorHAnsi" w:cstheme="minorHAnsi"/>
                <w:sz w:val="18"/>
                <w:szCs w:val="22"/>
              </w:rPr>
            </w:pPr>
            <w:r>
              <w:rPr>
                <w:rFonts w:asciiTheme="minorHAnsi" w:hAnsiTheme="minorHAnsi" w:cstheme="minorHAnsi"/>
                <w:sz w:val="18"/>
                <w:szCs w:val="22"/>
              </w:rPr>
              <w:t>T</w:t>
            </w:r>
            <w:r w:rsidRPr="00061738">
              <w:rPr>
                <w:rFonts w:asciiTheme="minorHAnsi" w:hAnsiTheme="minorHAnsi" w:cstheme="minorHAnsi"/>
                <w:sz w:val="18"/>
                <w:szCs w:val="22"/>
              </w:rPr>
              <w:t xml:space="preserve">he financial terms of any new financing received by BT from the MOF are aligned with the terms </w:t>
            </w:r>
            <w:r>
              <w:rPr>
                <w:rFonts w:asciiTheme="minorHAnsi" w:hAnsiTheme="minorHAnsi" w:cstheme="minorHAnsi"/>
                <w:sz w:val="18"/>
                <w:szCs w:val="22"/>
              </w:rPr>
              <w:t>in the legal documents between the Recipient and the financiers.</w:t>
            </w:r>
          </w:p>
        </w:tc>
        <w:tc>
          <w:tcPr>
            <w:tcW w:w="2340" w:type="dxa"/>
          </w:tcPr>
          <w:p w14:paraId="257914B6" w14:textId="59125615" w:rsidR="00FD7AF5" w:rsidRDefault="00FD7AF5" w:rsidP="00FD7AF5">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 </w:t>
            </w:r>
            <w:r w:rsidRPr="005379D3">
              <w:rPr>
                <w:rFonts w:asciiTheme="minorHAnsi" w:hAnsiTheme="minorHAnsi" w:cstheme="minorHAnsi"/>
                <w:sz w:val="18"/>
                <w:szCs w:val="18"/>
              </w:rPr>
              <w:t>disbursement for full compliance. No disbursement in case of partial or complete non-compliance.</w:t>
            </w:r>
          </w:p>
        </w:tc>
      </w:tr>
      <w:tr w:rsidR="00FD7AF5" w:rsidRPr="005379D3" w14:paraId="63F15DCF" w14:textId="77777777" w:rsidTr="00A64B72">
        <w:trPr>
          <w:trHeight w:val="665"/>
        </w:trPr>
        <w:tc>
          <w:tcPr>
            <w:tcW w:w="3127" w:type="dxa"/>
          </w:tcPr>
          <w:p w14:paraId="252E6DFA" w14:textId="59491487" w:rsidR="00FD7AF5" w:rsidRPr="00F33C53" w:rsidRDefault="00FD7AF5" w:rsidP="00FD7AF5">
            <w:pPr>
              <w:ind w:left="-40"/>
              <w:rPr>
                <w:rFonts w:asciiTheme="minorHAnsi" w:hAnsiTheme="minorHAnsi" w:cstheme="minorHAnsi"/>
                <w:b/>
                <w:sz w:val="18"/>
                <w:szCs w:val="18"/>
              </w:rPr>
            </w:pPr>
            <w:r w:rsidRPr="00F33C53">
              <w:rPr>
                <w:rFonts w:asciiTheme="minorHAnsi" w:hAnsiTheme="minorHAnsi" w:cstheme="minorHAnsi"/>
                <w:sz w:val="18"/>
                <w:szCs w:val="18"/>
              </w:rPr>
              <w:t xml:space="preserve">DLR 2.6: By September 30, 2022, (a) the MOF and BT revise the terms of ten (10) loans under Group 2 Subsidiary Agreements to align those with the terms in respective legal agreements between the Recipient and the financiers; and (b) the Recipient converts into equity the difference between the original and revised interest payable by BT to the MOF under each of the ten (10) loans from Group 2 Subsidiary Agreements, assuming the revised terms of each such loan were in effect since the effectiveness date of the respective Group 2 Subsidiary Agreements </w:t>
            </w:r>
          </w:p>
        </w:tc>
        <w:tc>
          <w:tcPr>
            <w:tcW w:w="1350" w:type="dxa"/>
          </w:tcPr>
          <w:p w14:paraId="013DD462" w14:textId="64976FDB" w:rsidR="00FD7AF5" w:rsidRPr="00FD7AF5" w:rsidRDefault="00FD7AF5" w:rsidP="00FD7AF5">
            <w:pPr>
              <w:rPr>
                <w:rFonts w:asciiTheme="minorHAnsi" w:hAnsiTheme="minorHAnsi" w:cstheme="minorHAnsi"/>
                <w:sz w:val="18"/>
                <w:szCs w:val="18"/>
              </w:rPr>
            </w:pPr>
            <w:r w:rsidRPr="00FD7AF5">
              <w:rPr>
                <w:rFonts w:asciiTheme="minorHAnsi" w:hAnsiTheme="minorHAnsi" w:cstheme="minorHAnsi"/>
                <w:sz w:val="18"/>
                <w:szCs w:val="18"/>
              </w:rPr>
              <w:t>US$,500,000</w:t>
            </w:r>
          </w:p>
        </w:tc>
        <w:tc>
          <w:tcPr>
            <w:tcW w:w="990" w:type="dxa"/>
          </w:tcPr>
          <w:p w14:paraId="3C096ECC" w14:textId="77777777" w:rsidR="00FD7AF5" w:rsidRDefault="00FD7AF5" w:rsidP="00FD7AF5">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50EC4E9E" w14:textId="46EB252E" w:rsidR="00FD7AF5" w:rsidRDefault="00FD7AF5" w:rsidP="00FD7AF5">
            <w:pPr>
              <w:pStyle w:val="ListParagraph"/>
              <w:ind w:left="72"/>
              <w:contextualSpacing w:val="0"/>
              <w:rPr>
                <w:rFonts w:asciiTheme="minorHAnsi" w:hAnsiTheme="minorHAnsi" w:cstheme="minorHAnsi"/>
                <w:sz w:val="18"/>
                <w:szCs w:val="18"/>
              </w:rPr>
            </w:pPr>
            <w:r>
              <w:rPr>
                <w:rFonts w:asciiTheme="minorHAnsi" w:hAnsiTheme="minorHAnsi" w:cstheme="minorHAnsi"/>
                <w:sz w:val="18"/>
                <w:szCs w:val="18"/>
              </w:rPr>
              <w:t>Sep. 30, 2022</w:t>
            </w:r>
          </w:p>
        </w:tc>
        <w:tc>
          <w:tcPr>
            <w:tcW w:w="2700" w:type="dxa"/>
          </w:tcPr>
          <w:p w14:paraId="1490E5C8" w14:textId="77777777" w:rsidR="00FD7AF5" w:rsidRPr="00C24312" w:rsidRDefault="00FD7AF5" w:rsidP="00CB0465">
            <w:pPr>
              <w:pStyle w:val="ListParagraph"/>
              <w:numPr>
                <w:ilvl w:val="0"/>
                <w:numId w:val="23"/>
              </w:numPr>
              <w:ind w:left="250" w:hanging="270"/>
              <w:rPr>
                <w:rFonts w:asciiTheme="minorHAnsi" w:eastAsia="Times New Roman" w:hAnsiTheme="minorHAnsi" w:cstheme="minorHAnsi"/>
                <w:bCs/>
                <w:sz w:val="18"/>
                <w:szCs w:val="18"/>
              </w:rPr>
            </w:pPr>
            <w:r>
              <w:rPr>
                <w:rFonts w:asciiTheme="minorHAnsi" w:eastAsia="Times New Roman" w:hAnsiTheme="minorHAnsi" w:cstheme="minorHAnsi"/>
                <w:sz w:val="18"/>
                <w:szCs w:val="18"/>
              </w:rPr>
              <w:t>Revision of the terms of any seven loans from Group 2 Subsidiary Agreements to align those with the terms in the respective legal documents between the Recipient</w:t>
            </w:r>
            <w:r w:rsidRPr="002C6B2B">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and the financiers.</w:t>
            </w:r>
          </w:p>
          <w:p w14:paraId="15CBF017" w14:textId="77777777" w:rsidR="00FD7AF5" w:rsidRPr="00C24312" w:rsidRDefault="00FD7AF5" w:rsidP="00CB0465">
            <w:pPr>
              <w:pStyle w:val="ListParagraph"/>
              <w:numPr>
                <w:ilvl w:val="0"/>
                <w:numId w:val="23"/>
              </w:numPr>
              <w:ind w:left="250" w:hanging="270"/>
              <w:rPr>
                <w:rFonts w:asciiTheme="minorHAnsi" w:eastAsia="Times New Roman" w:hAnsiTheme="minorHAnsi" w:cstheme="minorHAnsi"/>
                <w:bCs/>
                <w:sz w:val="18"/>
                <w:szCs w:val="18"/>
              </w:rPr>
            </w:pPr>
            <w:r>
              <w:rPr>
                <w:rFonts w:asciiTheme="minorHAnsi" w:hAnsiTheme="minorHAnsi" w:cstheme="minorHAnsi"/>
                <w:sz w:val="18"/>
                <w:szCs w:val="18"/>
              </w:rPr>
              <w:t>T</w:t>
            </w:r>
            <w:r w:rsidRPr="002A607A">
              <w:rPr>
                <w:rFonts w:asciiTheme="minorHAnsi" w:hAnsiTheme="minorHAnsi" w:cstheme="minorHAnsi"/>
                <w:sz w:val="18"/>
                <w:szCs w:val="18"/>
              </w:rPr>
              <w:t>he Recipient converts into equity the difference between the original and revised interest payable by BT to the MOF under each of the seven loans from Group 2 Subsidiary Agreements, assuming the revised terms of each such loan were in effect since the effectiveness date of the respective Group 2 Subsidiary Agreements.</w:t>
            </w:r>
          </w:p>
        </w:tc>
        <w:tc>
          <w:tcPr>
            <w:tcW w:w="2430" w:type="dxa"/>
          </w:tcPr>
          <w:p w14:paraId="4BC6724E" w14:textId="77777777" w:rsidR="00FD7AF5" w:rsidRPr="00D4410F" w:rsidRDefault="00FD7AF5" w:rsidP="00CB0465">
            <w:pPr>
              <w:pStyle w:val="ListParagraph"/>
              <w:numPr>
                <w:ilvl w:val="0"/>
                <w:numId w:val="24"/>
              </w:numPr>
              <w:ind w:left="250" w:hanging="270"/>
              <w:rPr>
                <w:rFonts w:asciiTheme="minorHAnsi" w:eastAsia="Times New Roman" w:hAnsiTheme="minorHAnsi" w:cstheme="minorHAnsi"/>
                <w:bCs/>
                <w:sz w:val="18"/>
                <w:szCs w:val="18"/>
              </w:rPr>
            </w:pPr>
            <w:r w:rsidRPr="00D4410F">
              <w:rPr>
                <w:rFonts w:asciiTheme="minorHAnsi" w:eastAsia="Times New Roman" w:hAnsiTheme="minorHAnsi" w:cstheme="minorHAnsi"/>
                <w:sz w:val="18"/>
                <w:szCs w:val="18"/>
              </w:rPr>
              <w:t xml:space="preserve">Revision of the terms of any seven loans from Group 2 Subsidiary Agreements to align those with the terms in the respective legal documents between the Recipient </w:t>
            </w:r>
            <w:r>
              <w:rPr>
                <w:rFonts w:asciiTheme="minorHAnsi" w:eastAsia="Times New Roman" w:hAnsiTheme="minorHAnsi" w:cstheme="minorHAnsi"/>
                <w:sz w:val="18"/>
                <w:szCs w:val="18"/>
              </w:rPr>
              <w:t>and the financiers.</w:t>
            </w:r>
          </w:p>
          <w:p w14:paraId="171BECE9" w14:textId="77777777" w:rsidR="00FD7AF5" w:rsidRPr="00A64AB9" w:rsidRDefault="00FD7AF5" w:rsidP="00CB0465">
            <w:pPr>
              <w:pStyle w:val="ListParagraph"/>
              <w:numPr>
                <w:ilvl w:val="0"/>
                <w:numId w:val="24"/>
              </w:numPr>
              <w:ind w:left="250" w:hanging="270"/>
              <w:rPr>
                <w:rFonts w:asciiTheme="minorHAnsi" w:eastAsia="Times New Roman" w:hAnsiTheme="minorHAnsi" w:cstheme="minorHAnsi"/>
                <w:bCs/>
                <w:sz w:val="18"/>
                <w:szCs w:val="18"/>
              </w:rPr>
            </w:pPr>
            <w:r>
              <w:rPr>
                <w:rFonts w:asciiTheme="minorHAnsi" w:hAnsiTheme="minorHAnsi" w:cstheme="minorHAnsi"/>
                <w:sz w:val="18"/>
                <w:szCs w:val="18"/>
              </w:rPr>
              <w:t>T</w:t>
            </w:r>
            <w:r w:rsidRPr="002A607A">
              <w:rPr>
                <w:rFonts w:asciiTheme="minorHAnsi" w:hAnsiTheme="minorHAnsi" w:cstheme="minorHAnsi"/>
                <w:sz w:val="18"/>
                <w:szCs w:val="18"/>
              </w:rPr>
              <w:t xml:space="preserve">he Recipient converts into equity the difference between the original and revised interest payable by BT to the MOF under each of the seven loans from Group 2 Subsidiary Agreements, assuming the revised terms of each such loan were in effect since the effectiveness date of the respective Group 2 </w:t>
            </w:r>
            <w:r w:rsidRPr="002A607A">
              <w:rPr>
                <w:rFonts w:asciiTheme="minorHAnsi" w:hAnsiTheme="minorHAnsi" w:cstheme="minorHAnsi"/>
                <w:sz w:val="18"/>
                <w:szCs w:val="18"/>
              </w:rPr>
              <w:lastRenderedPageBreak/>
              <w:t>Subsidiary Agreements.</w:t>
            </w:r>
          </w:p>
        </w:tc>
        <w:tc>
          <w:tcPr>
            <w:tcW w:w="2340" w:type="dxa"/>
          </w:tcPr>
          <w:p w14:paraId="255C6091" w14:textId="49E6F34B" w:rsidR="00FD7AF5" w:rsidRDefault="00FD7AF5" w:rsidP="00FD7AF5">
            <w:pPr>
              <w:rPr>
                <w:rFonts w:asciiTheme="minorHAnsi" w:hAnsiTheme="minorHAnsi" w:cstheme="minorHAnsi"/>
                <w:sz w:val="18"/>
                <w:szCs w:val="18"/>
              </w:rPr>
            </w:pPr>
            <w:r w:rsidRPr="005379D3">
              <w:rPr>
                <w:rFonts w:asciiTheme="minorHAnsi" w:hAnsiTheme="minorHAnsi" w:cstheme="minorHAnsi"/>
                <w:sz w:val="18"/>
                <w:szCs w:val="18"/>
              </w:rPr>
              <w:lastRenderedPageBreak/>
              <w:t>100</w:t>
            </w:r>
            <w:r>
              <w:rPr>
                <w:rFonts w:asciiTheme="minorHAnsi" w:hAnsiTheme="minorHAnsi" w:cstheme="minorHAnsi"/>
                <w:sz w:val="18"/>
                <w:szCs w:val="18"/>
              </w:rPr>
              <w:t xml:space="preserve"> percent </w:t>
            </w:r>
            <w:r w:rsidRPr="005379D3">
              <w:rPr>
                <w:rFonts w:asciiTheme="minorHAnsi" w:hAnsiTheme="minorHAnsi" w:cstheme="minorHAnsi"/>
                <w:sz w:val="18"/>
                <w:szCs w:val="18"/>
              </w:rPr>
              <w:t>disbursement for full compliance. No disbursement in case of partial or complete non-compliance.</w:t>
            </w:r>
          </w:p>
        </w:tc>
      </w:tr>
      <w:tr w:rsidR="00FD7AF5" w:rsidRPr="005379D3" w14:paraId="2FB79515" w14:textId="77777777" w:rsidTr="00A64B72">
        <w:trPr>
          <w:trHeight w:val="665"/>
        </w:trPr>
        <w:tc>
          <w:tcPr>
            <w:tcW w:w="3127" w:type="dxa"/>
          </w:tcPr>
          <w:p w14:paraId="0E9327A6" w14:textId="73C7D327" w:rsidR="00FD7AF5" w:rsidRPr="00F33C53" w:rsidRDefault="00FD7AF5" w:rsidP="00FD7AF5">
            <w:pPr>
              <w:ind w:left="-40"/>
              <w:rPr>
                <w:rFonts w:asciiTheme="minorHAnsi" w:hAnsiTheme="minorHAnsi" w:cstheme="minorHAnsi"/>
                <w:sz w:val="18"/>
                <w:szCs w:val="18"/>
              </w:rPr>
            </w:pPr>
            <w:r w:rsidRPr="00F33C53">
              <w:rPr>
                <w:rFonts w:asciiTheme="minorHAnsi" w:hAnsiTheme="minorHAnsi" w:cstheme="minorHAnsi"/>
                <w:sz w:val="18"/>
                <w:szCs w:val="18"/>
              </w:rPr>
              <w:t xml:space="preserve">DLR 2.7: By June 30, 2021, the terms of any new financing received by BT from the MOF are aligned with the terms in the respective legal documents between the Recipient and the financiers </w:t>
            </w:r>
          </w:p>
        </w:tc>
        <w:tc>
          <w:tcPr>
            <w:tcW w:w="1350" w:type="dxa"/>
          </w:tcPr>
          <w:p w14:paraId="3E64B4BE" w14:textId="32781C6B" w:rsidR="00FD7AF5" w:rsidRPr="00FD7AF5" w:rsidRDefault="00FD7AF5" w:rsidP="00FD7AF5">
            <w:pPr>
              <w:rPr>
                <w:rFonts w:asciiTheme="minorHAnsi" w:hAnsiTheme="minorHAnsi" w:cstheme="minorHAnsi"/>
                <w:sz w:val="18"/>
                <w:szCs w:val="18"/>
              </w:rPr>
            </w:pPr>
            <w:r w:rsidRPr="00FD7AF5">
              <w:rPr>
                <w:rFonts w:asciiTheme="minorHAnsi" w:hAnsiTheme="minorHAnsi" w:cstheme="minorHAnsi"/>
                <w:sz w:val="18"/>
                <w:szCs w:val="18"/>
              </w:rPr>
              <w:t>-</w:t>
            </w:r>
          </w:p>
        </w:tc>
        <w:tc>
          <w:tcPr>
            <w:tcW w:w="990" w:type="dxa"/>
          </w:tcPr>
          <w:p w14:paraId="3876A1A9" w14:textId="77777777" w:rsidR="00FD7AF5" w:rsidRDefault="00FD7AF5" w:rsidP="00FD7AF5">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3A24928F" w14:textId="173E26EF" w:rsidR="00FD7AF5" w:rsidRPr="00227530" w:rsidRDefault="00FD7AF5" w:rsidP="00FD7AF5">
            <w:pPr>
              <w:rPr>
                <w:rFonts w:asciiTheme="minorHAnsi" w:hAnsiTheme="minorHAnsi" w:cstheme="minorHAnsi"/>
                <w:sz w:val="18"/>
                <w:szCs w:val="18"/>
              </w:rPr>
            </w:pPr>
            <w:r>
              <w:rPr>
                <w:rFonts w:asciiTheme="minorHAnsi" w:hAnsiTheme="minorHAnsi" w:cstheme="minorHAnsi"/>
                <w:sz w:val="18"/>
                <w:szCs w:val="18"/>
              </w:rPr>
              <w:t xml:space="preserve">June </w:t>
            </w:r>
            <w:r w:rsidRPr="00227530">
              <w:rPr>
                <w:rFonts w:asciiTheme="minorHAnsi" w:hAnsiTheme="minorHAnsi" w:cstheme="minorHAnsi"/>
                <w:sz w:val="18"/>
                <w:szCs w:val="18"/>
              </w:rPr>
              <w:t>3</w:t>
            </w:r>
            <w:r>
              <w:rPr>
                <w:rFonts w:asciiTheme="minorHAnsi" w:hAnsiTheme="minorHAnsi" w:cstheme="minorHAnsi"/>
                <w:sz w:val="18"/>
                <w:szCs w:val="18"/>
              </w:rPr>
              <w:t>0</w:t>
            </w:r>
            <w:r w:rsidRPr="00227530">
              <w:rPr>
                <w:rFonts w:asciiTheme="minorHAnsi" w:hAnsiTheme="minorHAnsi" w:cstheme="minorHAnsi"/>
                <w:sz w:val="18"/>
                <w:szCs w:val="18"/>
              </w:rPr>
              <w:t>, 202</w:t>
            </w:r>
            <w:r>
              <w:rPr>
                <w:rFonts w:asciiTheme="minorHAnsi" w:hAnsiTheme="minorHAnsi" w:cstheme="minorHAnsi"/>
                <w:sz w:val="18"/>
                <w:szCs w:val="18"/>
              </w:rPr>
              <w:t>1</w:t>
            </w:r>
          </w:p>
        </w:tc>
        <w:tc>
          <w:tcPr>
            <w:tcW w:w="2700" w:type="dxa"/>
          </w:tcPr>
          <w:p w14:paraId="28173A56" w14:textId="77777777" w:rsidR="00FD7AF5" w:rsidRPr="00101DC6" w:rsidRDefault="00FD7AF5" w:rsidP="00FD7AF5">
            <w:pPr>
              <w:rPr>
                <w:rFonts w:asciiTheme="minorHAnsi" w:eastAsia="Times New Roman" w:hAnsiTheme="minorHAnsi" w:cstheme="minorHAnsi"/>
                <w:sz w:val="18"/>
                <w:szCs w:val="18"/>
              </w:rPr>
            </w:pPr>
            <w:r>
              <w:rPr>
                <w:rFonts w:asciiTheme="minorHAnsi" w:hAnsiTheme="minorHAnsi" w:cstheme="minorHAnsi"/>
                <w:sz w:val="18"/>
                <w:szCs w:val="22"/>
              </w:rPr>
              <w:t>T</w:t>
            </w:r>
            <w:r w:rsidRPr="00061738">
              <w:rPr>
                <w:rFonts w:asciiTheme="minorHAnsi" w:hAnsiTheme="minorHAnsi" w:cstheme="minorHAnsi"/>
                <w:sz w:val="18"/>
                <w:szCs w:val="22"/>
              </w:rPr>
              <w:t xml:space="preserve">he financial terms of any new financing received by BT from the MOF are aligned with the terms </w:t>
            </w:r>
            <w:r>
              <w:rPr>
                <w:rFonts w:asciiTheme="minorHAnsi" w:hAnsiTheme="minorHAnsi" w:cstheme="minorHAnsi"/>
                <w:sz w:val="18"/>
                <w:szCs w:val="22"/>
              </w:rPr>
              <w:t>in the respective legal documents between the Recipient and the financiers.</w:t>
            </w:r>
          </w:p>
        </w:tc>
        <w:tc>
          <w:tcPr>
            <w:tcW w:w="2430" w:type="dxa"/>
          </w:tcPr>
          <w:p w14:paraId="1E25CC89" w14:textId="77777777" w:rsidR="00FD7AF5" w:rsidRPr="00101DC6" w:rsidRDefault="00FD7AF5" w:rsidP="00FD7AF5">
            <w:pPr>
              <w:rPr>
                <w:rFonts w:asciiTheme="minorHAnsi" w:eastAsia="Times New Roman" w:hAnsiTheme="minorHAnsi" w:cstheme="minorHAnsi"/>
                <w:sz w:val="18"/>
                <w:szCs w:val="18"/>
              </w:rPr>
            </w:pPr>
            <w:r w:rsidRPr="00101DC6">
              <w:rPr>
                <w:rFonts w:asciiTheme="minorHAnsi" w:hAnsiTheme="minorHAnsi" w:cstheme="minorHAnsi"/>
                <w:sz w:val="18"/>
                <w:szCs w:val="22"/>
              </w:rPr>
              <w:t>The financial terms of any new financing received by BT from the MOF are aligned with the terms in the legal documents between the Recipient and the financiers.</w:t>
            </w:r>
          </w:p>
        </w:tc>
        <w:tc>
          <w:tcPr>
            <w:tcW w:w="2340" w:type="dxa"/>
          </w:tcPr>
          <w:p w14:paraId="2B246EB3" w14:textId="14F95E0F" w:rsidR="00FD7AF5" w:rsidRDefault="00FD7AF5" w:rsidP="00FD7AF5">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 </w:t>
            </w:r>
            <w:r w:rsidRPr="005379D3">
              <w:rPr>
                <w:rFonts w:asciiTheme="minorHAnsi" w:hAnsiTheme="minorHAnsi" w:cstheme="minorHAnsi"/>
                <w:sz w:val="18"/>
                <w:szCs w:val="18"/>
              </w:rPr>
              <w:t>disbursement for full compliance. No disbursement in case of partial or complete non-compliance.</w:t>
            </w:r>
          </w:p>
        </w:tc>
      </w:tr>
      <w:tr w:rsidR="00FD7AF5" w:rsidRPr="005379D3" w14:paraId="2E38951F" w14:textId="77777777" w:rsidTr="00A64B72">
        <w:trPr>
          <w:trHeight w:val="665"/>
        </w:trPr>
        <w:tc>
          <w:tcPr>
            <w:tcW w:w="3127" w:type="dxa"/>
          </w:tcPr>
          <w:p w14:paraId="7747374B" w14:textId="26DF0526" w:rsidR="00FD7AF5" w:rsidRPr="00F33C53" w:rsidRDefault="00FD7AF5" w:rsidP="00FD7AF5">
            <w:pPr>
              <w:ind w:left="-40"/>
              <w:rPr>
                <w:rFonts w:asciiTheme="minorHAnsi" w:hAnsiTheme="minorHAnsi" w:cstheme="minorHAnsi"/>
                <w:sz w:val="18"/>
                <w:szCs w:val="18"/>
              </w:rPr>
            </w:pPr>
            <w:r w:rsidRPr="00F33C53">
              <w:rPr>
                <w:rFonts w:asciiTheme="minorHAnsi" w:hAnsiTheme="minorHAnsi" w:cstheme="minorHAnsi"/>
                <w:sz w:val="18"/>
                <w:szCs w:val="18"/>
              </w:rPr>
              <w:t xml:space="preserve">DLR 2.8: By September 30, 2022:  (a) the MOF and BT revise the terms of nine (9) additional loans under Group 2 Subsidiary Agreements to align those with the terms in respective legal documents between the Recipient and the financiers; and (b) the Recipient converts into equity the difference between the original and revised interest payable by BT to MOF under each of the nine (9) loans from  Group 2 Subsidiary Agreements, assuming the revised terms of each such loan were in effect since the effectiveness date of the respective Group 2 Subsidiary Agreements </w:t>
            </w:r>
          </w:p>
        </w:tc>
        <w:tc>
          <w:tcPr>
            <w:tcW w:w="1350" w:type="dxa"/>
          </w:tcPr>
          <w:p w14:paraId="022134A2" w14:textId="0F79245C" w:rsidR="00FD7AF5" w:rsidRPr="00FD7AF5" w:rsidRDefault="00FD7AF5" w:rsidP="00FD7AF5">
            <w:pPr>
              <w:rPr>
                <w:rFonts w:asciiTheme="minorHAnsi" w:hAnsiTheme="minorHAnsi" w:cstheme="minorHAnsi"/>
                <w:sz w:val="18"/>
                <w:szCs w:val="18"/>
              </w:rPr>
            </w:pPr>
            <w:r w:rsidRPr="00FD7AF5">
              <w:rPr>
                <w:rFonts w:asciiTheme="minorHAnsi" w:hAnsiTheme="minorHAnsi" w:cstheme="minorHAnsi"/>
                <w:sz w:val="18"/>
                <w:szCs w:val="18"/>
              </w:rPr>
              <w:t>US$1,500,000</w:t>
            </w:r>
          </w:p>
        </w:tc>
        <w:tc>
          <w:tcPr>
            <w:tcW w:w="990" w:type="dxa"/>
          </w:tcPr>
          <w:p w14:paraId="4EECCC0B" w14:textId="77777777" w:rsidR="00FD7AF5" w:rsidRDefault="00FD7AF5" w:rsidP="00FD7AF5">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6D5CADBE" w14:textId="620187A8" w:rsidR="00FD7AF5" w:rsidRPr="00227530" w:rsidRDefault="00FD7AF5" w:rsidP="00FD7AF5">
            <w:pPr>
              <w:rPr>
                <w:rFonts w:asciiTheme="minorHAnsi" w:hAnsiTheme="minorHAnsi" w:cstheme="minorHAnsi"/>
                <w:sz w:val="18"/>
                <w:szCs w:val="18"/>
              </w:rPr>
            </w:pPr>
            <w:r>
              <w:rPr>
                <w:rFonts w:asciiTheme="minorHAnsi" w:hAnsiTheme="minorHAnsi" w:cstheme="minorHAnsi"/>
                <w:sz w:val="18"/>
                <w:szCs w:val="18"/>
              </w:rPr>
              <w:t>Sep</w:t>
            </w:r>
            <w:r w:rsidRPr="00227530">
              <w:rPr>
                <w:rFonts w:asciiTheme="minorHAnsi" w:hAnsiTheme="minorHAnsi" w:cstheme="minorHAnsi"/>
                <w:sz w:val="18"/>
                <w:szCs w:val="18"/>
              </w:rPr>
              <w:t>. 3</w:t>
            </w:r>
            <w:r>
              <w:rPr>
                <w:rFonts w:asciiTheme="minorHAnsi" w:hAnsiTheme="minorHAnsi" w:cstheme="minorHAnsi"/>
                <w:sz w:val="18"/>
                <w:szCs w:val="18"/>
              </w:rPr>
              <w:t>0</w:t>
            </w:r>
            <w:r w:rsidRPr="00227530">
              <w:rPr>
                <w:rFonts w:asciiTheme="minorHAnsi" w:hAnsiTheme="minorHAnsi" w:cstheme="minorHAnsi"/>
                <w:sz w:val="18"/>
                <w:szCs w:val="18"/>
              </w:rPr>
              <w:t>, 202</w:t>
            </w:r>
            <w:r>
              <w:rPr>
                <w:rFonts w:asciiTheme="minorHAnsi" w:hAnsiTheme="minorHAnsi" w:cstheme="minorHAnsi"/>
                <w:sz w:val="18"/>
                <w:szCs w:val="18"/>
              </w:rPr>
              <w:t>2</w:t>
            </w:r>
          </w:p>
        </w:tc>
        <w:tc>
          <w:tcPr>
            <w:tcW w:w="2700" w:type="dxa"/>
          </w:tcPr>
          <w:p w14:paraId="17824A83" w14:textId="77777777" w:rsidR="00FD7AF5" w:rsidRPr="00A8491D" w:rsidRDefault="00FD7AF5" w:rsidP="00CB0465">
            <w:pPr>
              <w:pStyle w:val="ListParagraph"/>
              <w:numPr>
                <w:ilvl w:val="0"/>
                <w:numId w:val="25"/>
              </w:numPr>
              <w:ind w:left="250" w:hanging="250"/>
              <w:rPr>
                <w:rFonts w:asciiTheme="minorHAnsi" w:eastAsia="Times New Roman" w:hAnsiTheme="minorHAnsi" w:cstheme="minorHAnsi"/>
                <w:bCs/>
                <w:sz w:val="18"/>
                <w:szCs w:val="18"/>
              </w:rPr>
            </w:pPr>
            <w:r w:rsidRPr="00A8491D">
              <w:rPr>
                <w:rFonts w:asciiTheme="minorHAnsi" w:eastAsia="Times New Roman" w:hAnsiTheme="minorHAnsi" w:cstheme="minorHAnsi"/>
                <w:sz w:val="18"/>
                <w:szCs w:val="18"/>
              </w:rPr>
              <w:t>Revision of the terms of any seven loans from Group 2 Subsidiary Agreements to align those with the terms in the respective legal documents between the Recipient and the financiers.</w:t>
            </w:r>
          </w:p>
          <w:p w14:paraId="7C713A0F" w14:textId="77777777" w:rsidR="00FD7AF5" w:rsidRPr="003A34F8" w:rsidRDefault="00FD7AF5" w:rsidP="00CB0465">
            <w:pPr>
              <w:pStyle w:val="ListParagraph"/>
              <w:numPr>
                <w:ilvl w:val="0"/>
                <w:numId w:val="25"/>
              </w:numPr>
              <w:ind w:left="250" w:hanging="270"/>
              <w:rPr>
                <w:rFonts w:asciiTheme="minorHAnsi" w:eastAsia="Times New Roman" w:hAnsiTheme="minorHAnsi" w:cstheme="minorHAnsi"/>
                <w:bCs/>
                <w:sz w:val="18"/>
                <w:szCs w:val="18"/>
              </w:rPr>
            </w:pPr>
            <w:r>
              <w:rPr>
                <w:rFonts w:asciiTheme="minorHAnsi" w:hAnsiTheme="minorHAnsi" w:cstheme="minorHAnsi"/>
                <w:sz w:val="18"/>
                <w:szCs w:val="18"/>
              </w:rPr>
              <w:t>T</w:t>
            </w:r>
            <w:r w:rsidRPr="002A607A">
              <w:rPr>
                <w:rFonts w:asciiTheme="minorHAnsi" w:hAnsiTheme="minorHAnsi" w:cstheme="minorHAnsi"/>
                <w:sz w:val="18"/>
                <w:szCs w:val="18"/>
              </w:rPr>
              <w:t>he Recipient converts into equity the difference between the original and revised interest payable by BT to the MOF under each of the seven loans from Group 2 Subsidiary Agreements, assuming the revised terms of each such loan were in effect since the effectiveness date of the respective Group 2 Subsidiary Agreements.</w:t>
            </w:r>
          </w:p>
        </w:tc>
        <w:tc>
          <w:tcPr>
            <w:tcW w:w="2430" w:type="dxa"/>
          </w:tcPr>
          <w:p w14:paraId="1ECD53AD" w14:textId="77777777" w:rsidR="00FD7AF5" w:rsidRPr="00A8491D" w:rsidRDefault="00FD7AF5" w:rsidP="00CB0465">
            <w:pPr>
              <w:pStyle w:val="ListParagraph"/>
              <w:numPr>
                <w:ilvl w:val="0"/>
                <w:numId w:val="26"/>
              </w:numPr>
              <w:ind w:left="250" w:hanging="270"/>
              <w:rPr>
                <w:rFonts w:asciiTheme="minorHAnsi" w:eastAsia="Times New Roman" w:hAnsiTheme="minorHAnsi" w:cstheme="minorHAnsi"/>
                <w:bCs/>
                <w:sz w:val="18"/>
                <w:szCs w:val="18"/>
              </w:rPr>
            </w:pPr>
            <w:r w:rsidRPr="00A8491D">
              <w:rPr>
                <w:rFonts w:asciiTheme="minorHAnsi" w:eastAsia="Times New Roman" w:hAnsiTheme="minorHAnsi" w:cstheme="minorHAnsi"/>
                <w:sz w:val="18"/>
                <w:szCs w:val="18"/>
              </w:rPr>
              <w:t>Revision of the terms of any seven loans from Group 2 Subsidiary Agreements to align those with the terms in the respective legal documents between the Recipient and the financiers.</w:t>
            </w:r>
          </w:p>
          <w:p w14:paraId="460FE1FF" w14:textId="77777777" w:rsidR="00FD7AF5" w:rsidRPr="00A8491D" w:rsidRDefault="00FD7AF5" w:rsidP="00CB0465">
            <w:pPr>
              <w:pStyle w:val="ListParagraph"/>
              <w:numPr>
                <w:ilvl w:val="0"/>
                <w:numId w:val="26"/>
              </w:numPr>
              <w:ind w:left="250" w:hanging="270"/>
              <w:rPr>
                <w:rFonts w:asciiTheme="minorHAnsi" w:eastAsia="Times New Roman" w:hAnsiTheme="minorHAnsi" w:cstheme="minorHAnsi"/>
                <w:bCs/>
                <w:sz w:val="18"/>
                <w:szCs w:val="18"/>
              </w:rPr>
            </w:pPr>
            <w:r w:rsidRPr="00A8491D">
              <w:rPr>
                <w:rFonts w:asciiTheme="minorHAnsi" w:hAnsiTheme="minorHAnsi" w:cstheme="minorHAnsi"/>
                <w:sz w:val="18"/>
                <w:szCs w:val="18"/>
              </w:rPr>
              <w:t>The Recipient converts into equity the difference between the original and revised interest payable by BT to the MOF under each of the seven loans from Group 2 Subsidiary Agreements, assuming the revised terms of each such loan were in effect since the effectiveness date of the respective Group 2 Subsidiary Agreements.</w:t>
            </w:r>
          </w:p>
        </w:tc>
        <w:tc>
          <w:tcPr>
            <w:tcW w:w="2340" w:type="dxa"/>
          </w:tcPr>
          <w:p w14:paraId="6A5DDEC8" w14:textId="01F3CC00" w:rsidR="00FD7AF5" w:rsidRDefault="00FD7AF5" w:rsidP="00FD7AF5">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 </w:t>
            </w:r>
            <w:r w:rsidRPr="005379D3">
              <w:rPr>
                <w:rFonts w:asciiTheme="minorHAnsi" w:hAnsiTheme="minorHAnsi" w:cstheme="minorHAnsi"/>
                <w:sz w:val="18"/>
                <w:szCs w:val="18"/>
              </w:rPr>
              <w:t>disbursement for full compliance. No disbursement in case of partial or complete non-compliance.</w:t>
            </w:r>
          </w:p>
        </w:tc>
      </w:tr>
      <w:tr w:rsidR="00FD7AF5" w:rsidRPr="005379D3" w14:paraId="1CECB04C" w14:textId="77777777" w:rsidTr="00A64B72">
        <w:trPr>
          <w:trHeight w:val="665"/>
        </w:trPr>
        <w:tc>
          <w:tcPr>
            <w:tcW w:w="3127" w:type="dxa"/>
          </w:tcPr>
          <w:p w14:paraId="3FF3EDD3" w14:textId="6D00E102" w:rsidR="00FD7AF5" w:rsidRPr="00F33C53" w:rsidRDefault="00FD7AF5" w:rsidP="00FD7AF5">
            <w:pPr>
              <w:ind w:left="-40"/>
              <w:rPr>
                <w:rFonts w:asciiTheme="minorHAnsi" w:hAnsiTheme="minorHAnsi" w:cstheme="minorHAnsi"/>
                <w:sz w:val="18"/>
                <w:szCs w:val="18"/>
              </w:rPr>
            </w:pPr>
            <w:r w:rsidRPr="00F33C53">
              <w:rPr>
                <w:rFonts w:asciiTheme="minorHAnsi" w:hAnsiTheme="minorHAnsi" w:cstheme="minorHAnsi"/>
                <w:sz w:val="18"/>
                <w:szCs w:val="18"/>
              </w:rPr>
              <w:t xml:space="preserve">DLR 2.9: By December 31, 2021, the terms of any new financing received by BT from the MOF are aligned with the </w:t>
            </w:r>
            <w:r w:rsidRPr="00F33C53">
              <w:rPr>
                <w:rFonts w:asciiTheme="minorHAnsi" w:hAnsiTheme="minorHAnsi" w:cstheme="minorHAnsi"/>
                <w:sz w:val="18"/>
                <w:szCs w:val="18"/>
              </w:rPr>
              <w:lastRenderedPageBreak/>
              <w:t xml:space="preserve">terms in the respective legal documents between the Recipient and the financiers </w:t>
            </w:r>
          </w:p>
        </w:tc>
        <w:tc>
          <w:tcPr>
            <w:tcW w:w="1350" w:type="dxa"/>
          </w:tcPr>
          <w:p w14:paraId="0BF77B8A" w14:textId="6F79CA4B" w:rsidR="00FD7AF5" w:rsidRPr="00FD7AF5" w:rsidRDefault="00FD7AF5" w:rsidP="00FD7AF5">
            <w:pPr>
              <w:rPr>
                <w:rFonts w:asciiTheme="minorHAnsi" w:hAnsiTheme="minorHAnsi" w:cstheme="minorHAnsi"/>
                <w:sz w:val="18"/>
                <w:szCs w:val="18"/>
              </w:rPr>
            </w:pPr>
            <w:r w:rsidRPr="00FD7AF5">
              <w:rPr>
                <w:rFonts w:asciiTheme="minorHAnsi" w:hAnsiTheme="minorHAnsi" w:cstheme="minorHAnsi"/>
                <w:sz w:val="18"/>
                <w:szCs w:val="18"/>
              </w:rPr>
              <w:lastRenderedPageBreak/>
              <w:t>-</w:t>
            </w:r>
          </w:p>
        </w:tc>
        <w:tc>
          <w:tcPr>
            <w:tcW w:w="990" w:type="dxa"/>
          </w:tcPr>
          <w:p w14:paraId="304B2657" w14:textId="77777777" w:rsidR="00FD7AF5" w:rsidRDefault="00FD7AF5" w:rsidP="00FD7AF5">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4E0A9CD7" w14:textId="26001845" w:rsidR="00FD7AF5" w:rsidRDefault="00FD7AF5" w:rsidP="00FD7AF5">
            <w:pPr>
              <w:pStyle w:val="ListParagraph"/>
              <w:ind w:left="72"/>
              <w:contextualSpacing w:val="0"/>
              <w:rPr>
                <w:rFonts w:asciiTheme="minorHAnsi" w:hAnsiTheme="minorHAnsi" w:cstheme="minorHAnsi"/>
                <w:sz w:val="18"/>
                <w:szCs w:val="18"/>
              </w:rPr>
            </w:pPr>
            <w:r>
              <w:rPr>
                <w:rFonts w:asciiTheme="minorHAnsi" w:hAnsiTheme="minorHAnsi" w:cstheme="minorHAnsi"/>
                <w:sz w:val="18"/>
                <w:szCs w:val="18"/>
              </w:rPr>
              <w:t>Dec. 31, 2021</w:t>
            </w:r>
          </w:p>
        </w:tc>
        <w:tc>
          <w:tcPr>
            <w:tcW w:w="2700" w:type="dxa"/>
          </w:tcPr>
          <w:p w14:paraId="082FB7A7" w14:textId="77777777" w:rsidR="00FD7AF5" w:rsidRPr="00101DC6" w:rsidRDefault="00FD7AF5" w:rsidP="00FD7AF5">
            <w:pPr>
              <w:rPr>
                <w:rFonts w:asciiTheme="minorHAnsi" w:eastAsia="Times New Roman" w:hAnsiTheme="minorHAnsi" w:cstheme="minorHAnsi"/>
                <w:sz w:val="18"/>
                <w:szCs w:val="18"/>
              </w:rPr>
            </w:pPr>
            <w:r>
              <w:rPr>
                <w:rFonts w:asciiTheme="minorHAnsi" w:hAnsiTheme="minorHAnsi" w:cstheme="minorHAnsi"/>
                <w:sz w:val="18"/>
                <w:szCs w:val="22"/>
              </w:rPr>
              <w:t>T</w:t>
            </w:r>
            <w:r w:rsidRPr="00061738">
              <w:rPr>
                <w:rFonts w:asciiTheme="minorHAnsi" w:hAnsiTheme="minorHAnsi" w:cstheme="minorHAnsi"/>
                <w:sz w:val="18"/>
                <w:szCs w:val="22"/>
              </w:rPr>
              <w:t xml:space="preserve">he financial terms of any new financing received by BT from the MOF are aligned with the terms </w:t>
            </w:r>
            <w:r>
              <w:rPr>
                <w:rFonts w:asciiTheme="minorHAnsi" w:hAnsiTheme="minorHAnsi" w:cstheme="minorHAnsi"/>
                <w:sz w:val="18"/>
                <w:szCs w:val="22"/>
              </w:rPr>
              <w:lastRenderedPageBreak/>
              <w:t>in the respective legal documents between the Recipient and the financiers.</w:t>
            </w:r>
          </w:p>
        </w:tc>
        <w:tc>
          <w:tcPr>
            <w:tcW w:w="2430" w:type="dxa"/>
          </w:tcPr>
          <w:p w14:paraId="29A54973" w14:textId="77777777" w:rsidR="00FD7AF5" w:rsidRPr="00101DC6" w:rsidRDefault="00FD7AF5" w:rsidP="00FD7AF5">
            <w:pPr>
              <w:rPr>
                <w:rFonts w:asciiTheme="minorHAnsi" w:eastAsia="Times New Roman" w:hAnsiTheme="minorHAnsi" w:cstheme="minorHAnsi"/>
                <w:sz w:val="18"/>
                <w:szCs w:val="18"/>
              </w:rPr>
            </w:pPr>
            <w:r w:rsidRPr="00101DC6">
              <w:rPr>
                <w:rFonts w:asciiTheme="minorHAnsi" w:hAnsiTheme="minorHAnsi" w:cstheme="minorHAnsi"/>
                <w:sz w:val="18"/>
                <w:szCs w:val="22"/>
              </w:rPr>
              <w:lastRenderedPageBreak/>
              <w:t xml:space="preserve">The financial terms of any new financing received by BT from the MOF are aligned </w:t>
            </w:r>
            <w:r w:rsidRPr="00101DC6">
              <w:rPr>
                <w:rFonts w:asciiTheme="minorHAnsi" w:hAnsiTheme="minorHAnsi" w:cstheme="minorHAnsi"/>
                <w:sz w:val="18"/>
                <w:szCs w:val="22"/>
              </w:rPr>
              <w:lastRenderedPageBreak/>
              <w:t>with the terms in the legal documents between the Recipient and the financiers.</w:t>
            </w:r>
          </w:p>
        </w:tc>
        <w:tc>
          <w:tcPr>
            <w:tcW w:w="2340" w:type="dxa"/>
          </w:tcPr>
          <w:p w14:paraId="44FF9B11" w14:textId="2A7D9FF4" w:rsidR="00FD7AF5" w:rsidRDefault="00FD7AF5" w:rsidP="00FD7AF5">
            <w:pPr>
              <w:rPr>
                <w:rFonts w:asciiTheme="minorHAnsi" w:hAnsiTheme="minorHAnsi" w:cstheme="minorHAnsi"/>
                <w:sz w:val="18"/>
                <w:szCs w:val="18"/>
              </w:rPr>
            </w:pPr>
            <w:r w:rsidRPr="005379D3">
              <w:rPr>
                <w:rFonts w:asciiTheme="minorHAnsi" w:hAnsiTheme="minorHAnsi" w:cstheme="minorHAnsi"/>
                <w:sz w:val="18"/>
                <w:szCs w:val="18"/>
              </w:rPr>
              <w:lastRenderedPageBreak/>
              <w:t>100</w:t>
            </w:r>
            <w:r>
              <w:rPr>
                <w:rFonts w:asciiTheme="minorHAnsi" w:hAnsiTheme="minorHAnsi" w:cstheme="minorHAnsi"/>
                <w:sz w:val="18"/>
                <w:szCs w:val="18"/>
              </w:rPr>
              <w:t xml:space="preserve"> percent </w:t>
            </w:r>
            <w:r w:rsidRPr="005379D3">
              <w:rPr>
                <w:rFonts w:asciiTheme="minorHAnsi" w:hAnsiTheme="minorHAnsi" w:cstheme="minorHAnsi"/>
                <w:sz w:val="18"/>
                <w:szCs w:val="18"/>
              </w:rPr>
              <w:t xml:space="preserve">disbursement for full compliance. No disbursement in case of </w:t>
            </w:r>
            <w:r w:rsidRPr="005379D3">
              <w:rPr>
                <w:rFonts w:asciiTheme="minorHAnsi" w:hAnsiTheme="minorHAnsi" w:cstheme="minorHAnsi"/>
                <w:sz w:val="18"/>
                <w:szCs w:val="18"/>
              </w:rPr>
              <w:lastRenderedPageBreak/>
              <w:t>partial or complete non-compliance.</w:t>
            </w:r>
          </w:p>
        </w:tc>
      </w:tr>
      <w:tr w:rsidR="00FD7AF5" w:rsidRPr="005379D3" w14:paraId="432B6EAD" w14:textId="77777777" w:rsidTr="00A64B72">
        <w:trPr>
          <w:trHeight w:val="440"/>
        </w:trPr>
        <w:tc>
          <w:tcPr>
            <w:tcW w:w="3127" w:type="dxa"/>
          </w:tcPr>
          <w:p w14:paraId="3F341446" w14:textId="4EEC23FF" w:rsidR="00FD7AF5" w:rsidRPr="0044668D" w:rsidRDefault="00FD7AF5" w:rsidP="00FD7AF5">
            <w:pPr>
              <w:ind w:left="-40"/>
              <w:rPr>
                <w:rFonts w:asciiTheme="minorHAnsi" w:hAnsiTheme="minorHAnsi" w:cstheme="minorHAnsi"/>
                <w:b/>
                <w:sz w:val="18"/>
                <w:szCs w:val="18"/>
              </w:rPr>
            </w:pPr>
            <w:r w:rsidRPr="0044668D">
              <w:rPr>
                <w:rFonts w:asciiTheme="minorHAnsi" w:eastAsia="Times New Roman" w:hAnsiTheme="minorHAnsi" w:cstheme="minorHAnsi"/>
                <w:b/>
                <w:sz w:val="18"/>
                <w:szCs w:val="18"/>
              </w:rPr>
              <w:lastRenderedPageBreak/>
              <w:t xml:space="preserve">DLI </w:t>
            </w:r>
            <w:r>
              <w:rPr>
                <w:rFonts w:asciiTheme="minorHAnsi" w:eastAsia="Times New Roman" w:hAnsiTheme="minorHAnsi" w:cstheme="minorHAnsi"/>
                <w:b/>
                <w:sz w:val="18"/>
                <w:szCs w:val="18"/>
              </w:rPr>
              <w:t>3</w:t>
            </w:r>
            <w:r w:rsidRPr="0044668D">
              <w:rPr>
                <w:rFonts w:asciiTheme="minorHAnsi" w:eastAsia="Times New Roman" w:hAnsiTheme="minorHAnsi" w:cstheme="minorHAnsi"/>
                <w:b/>
                <w:sz w:val="18"/>
                <w:szCs w:val="18"/>
              </w:rPr>
              <w:t xml:space="preserve">: </w:t>
            </w:r>
            <w:r>
              <w:rPr>
                <w:rFonts w:ascii="Calibri" w:eastAsia="Times New Roman" w:hAnsi="Calibri" w:cs="Calibri"/>
                <w:b/>
                <w:color w:val="auto"/>
                <w:sz w:val="18"/>
                <w:szCs w:val="18"/>
              </w:rPr>
              <w:t xml:space="preserve">Electricity sector’s </w:t>
            </w:r>
            <w:r w:rsidRPr="00C71DE1">
              <w:rPr>
                <w:rFonts w:ascii="Calibri" w:eastAsia="Times New Roman" w:hAnsi="Calibri" w:cs="Calibri"/>
                <w:b/>
                <w:color w:val="auto"/>
                <w:sz w:val="18"/>
                <w:szCs w:val="18"/>
              </w:rPr>
              <w:t>cash deficit</w:t>
            </w:r>
          </w:p>
        </w:tc>
        <w:tc>
          <w:tcPr>
            <w:tcW w:w="1350" w:type="dxa"/>
          </w:tcPr>
          <w:p w14:paraId="4BFA91E7" w14:textId="4FAC0ABA" w:rsidR="00FD7AF5" w:rsidRPr="00FC034E" w:rsidRDefault="00FD7AF5" w:rsidP="00FD7AF5">
            <w:pPr>
              <w:rPr>
                <w:rFonts w:asciiTheme="minorHAnsi" w:hAnsiTheme="minorHAnsi" w:cstheme="minorHAnsi"/>
                <w:b/>
                <w:sz w:val="18"/>
                <w:szCs w:val="18"/>
              </w:rPr>
            </w:pPr>
            <w:r>
              <w:rPr>
                <w:rFonts w:asciiTheme="minorHAnsi" w:hAnsiTheme="minorHAnsi" w:cstheme="minorHAnsi"/>
                <w:b/>
                <w:sz w:val="18"/>
                <w:szCs w:val="18"/>
              </w:rPr>
              <w:t>US$</w:t>
            </w:r>
            <w:r w:rsidR="002D700B">
              <w:rPr>
                <w:rFonts w:asciiTheme="minorHAnsi" w:hAnsiTheme="minorHAnsi" w:cstheme="minorHAnsi"/>
                <w:b/>
                <w:sz w:val="18"/>
                <w:szCs w:val="18"/>
              </w:rPr>
              <w:t>15</w:t>
            </w:r>
            <w:r>
              <w:rPr>
                <w:rFonts w:asciiTheme="minorHAnsi" w:hAnsiTheme="minorHAnsi" w:cstheme="minorHAnsi"/>
                <w:b/>
                <w:sz w:val="18"/>
                <w:szCs w:val="18"/>
              </w:rPr>
              <w:t>,000,000</w:t>
            </w:r>
          </w:p>
        </w:tc>
        <w:tc>
          <w:tcPr>
            <w:tcW w:w="990" w:type="dxa"/>
          </w:tcPr>
          <w:p w14:paraId="66BC27E7" w14:textId="77777777" w:rsidR="00FD7AF5" w:rsidRPr="005379D3" w:rsidRDefault="00FD7AF5" w:rsidP="00FD7AF5">
            <w:pPr>
              <w:rPr>
                <w:rFonts w:asciiTheme="minorHAnsi" w:hAnsiTheme="minorHAnsi" w:cstheme="minorHAnsi"/>
                <w:sz w:val="18"/>
                <w:szCs w:val="18"/>
              </w:rPr>
            </w:pPr>
          </w:p>
        </w:tc>
        <w:tc>
          <w:tcPr>
            <w:tcW w:w="1530" w:type="dxa"/>
          </w:tcPr>
          <w:p w14:paraId="5B53B2B7" w14:textId="77777777" w:rsidR="00FD7AF5" w:rsidRPr="007D4C6B" w:rsidRDefault="00FD7AF5" w:rsidP="00FD7AF5">
            <w:pPr>
              <w:pStyle w:val="ListParagraph"/>
              <w:widowControl/>
              <w:autoSpaceDE/>
              <w:autoSpaceDN/>
              <w:adjustRightInd/>
              <w:ind w:left="50"/>
              <w:rPr>
                <w:rFonts w:asciiTheme="minorHAnsi" w:hAnsiTheme="minorHAnsi" w:cstheme="minorHAnsi"/>
                <w:sz w:val="18"/>
                <w:szCs w:val="18"/>
              </w:rPr>
            </w:pPr>
          </w:p>
        </w:tc>
        <w:tc>
          <w:tcPr>
            <w:tcW w:w="2700" w:type="dxa"/>
          </w:tcPr>
          <w:p w14:paraId="34FC029A" w14:textId="77777777" w:rsidR="00FD7AF5" w:rsidRPr="0058157E" w:rsidRDefault="00FD7AF5" w:rsidP="00FD7AF5">
            <w:pPr>
              <w:pStyle w:val="ListParagraph"/>
              <w:widowControl/>
              <w:autoSpaceDE/>
              <w:autoSpaceDN/>
              <w:adjustRightInd/>
              <w:ind w:left="162"/>
              <w:contextualSpacing w:val="0"/>
              <w:rPr>
                <w:rFonts w:asciiTheme="minorHAnsi" w:hAnsiTheme="minorHAnsi" w:cstheme="minorHAnsi"/>
                <w:sz w:val="18"/>
                <w:szCs w:val="18"/>
              </w:rPr>
            </w:pPr>
          </w:p>
        </w:tc>
        <w:tc>
          <w:tcPr>
            <w:tcW w:w="2430" w:type="dxa"/>
          </w:tcPr>
          <w:p w14:paraId="42FCABE8" w14:textId="77777777" w:rsidR="00FD7AF5" w:rsidRPr="005379D3" w:rsidRDefault="00FD7AF5" w:rsidP="00FD7AF5">
            <w:pPr>
              <w:rPr>
                <w:rFonts w:asciiTheme="minorHAnsi" w:hAnsiTheme="minorHAnsi" w:cstheme="minorHAnsi"/>
                <w:sz w:val="18"/>
                <w:szCs w:val="18"/>
              </w:rPr>
            </w:pPr>
          </w:p>
        </w:tc>
        <w:tc>
          <w:tcPr>
            <w:tcW w:w="2340" w:type="dxa"/>
          </w:tcPr>
          <w:p w14:paraId="725BB493" w14:textId="77777777" w:rsidR="00FD7AF5" w:rsidRPr="00C03A19" w:rsidRDefault="00FD7AF5" w:rsidP="00FD7AF5">
            <w:pPr>
              <w:rPr>
                <w:rFonts w:asciiTheme="minorHAnsi" w:hAnsiTheme="minorHAnsi" w:cstheme="minorHAnsi"/>
                <w:sz w:val="18"/>
                <w:szCs w:val="18"/>
              </w:rPr>
            </w:pPr>
          </w:p>
        </w:tc>
      </w:tr>
      <w:tr w:rsidR="002D700B" w:rsidRPr="005379D3" w14:paraId="4D7C274F" w14:textId="77777777" w:rsidTr="00A64B72">
        <w:trPr>
          <w:trHeight w:val="530"/>
        </w:trPr>
        <w:tc>
          <w:tcPr>
            <w:tcW w:w="3127" w:type="dxa"/>
          </w:tcPr>
          <w:p w14:paraId="7441C5AD" w14:textId="36B69AB5" w:rsidR="002D700B" w:rsidRPr="008A1732" w:rsidRDefault="002D700B" w:rsidP="002D700B">
            <w:pPr>
              <w:widowControl/>
              <w:autoSpaceDE/>
              <w:autoSpaceDN/>
              <w:adjustRightInd/>
              <w:ind w:left="-40"/>
              <w:rPr>
                <w:rFonts w:ascii="Calibri" w:hAnsi="Calibri" w:cs="Calibri"/>
                <w:b/>
                <w:sz w:val="18"/>
                <w:szCs w:val="20"/>
              </w:rPr>
            </w:pPr>
            <w:r>
              <w:rPr>
                <w:rFonts w:asciiTheme="minorHAnsi" w:hAnsiTheme="minorHAnsi" w:cstheme="minorHAnsi"/>
                <w:sz w:val="18"/>
                <w:szCs w:val="18"/>
              </w:rPr>
              <w:t>DLR 3.1: By December 31, 2022, electricity sector’s cash deficit does not exceed TJS 14 billion.</w:t>
            </w:r>
          </w:p>
        </w:tc>
        <w:tc>
          <w:tcPr>
            <w:tcW w:w="1350" w:type="dxa"/>
          </w:tcPr>
          <w:p w14:paraId="1A496E18" w14:textId="54054BB8" w:rsidR="002D700B" w:rsidRPr="002D700B" w:rsidRDefault="002D700B" w:rsidP="002D700B">
            <w:pPr>
              <w:rPr>
                <w:rFonts w:asciiTheme="minorHAnsi" w:hAnsiTheme="minorHAnsi" w:cstheme="minorHAnsi"/>
                <w:sz w:val="18"/>
                <w:szCs w:val="18"/>
              </w:rPr>
            </w:pPr>
            <w:r>
              <w:rPr>
                <w:rFonts w:asciiTheme="minorHAnsi" w:hAnsiTheme="minorHAnsi" w:cstheme="minorHAnsi"/>
                <w:sz w:val="18"/>
                <w:szCs w:val="18"/>
              </w:rPr>
              <w:t>US$</w:t>
            </w:r>
            <w:r w:rsidRPr="002D700B">
              <w:rPr>
                <w:rFonts w:asciiTheme="minorHAnsi" w:hAnsiTheme="minorHAnsi" w:cstheme="minorHAnsi"/>
                <w:sz w:val="18"/>
                <w:szCs w:val="18"/>
              </w:rPr>
              <w:t>3,000,000</w:t>
            </w:r>
          </w:p>
        </w:tc>
        <w:tc>
          <w:tcPr>
            <w:tcW w:w="990" w:type="dxa"/>
          </w:tcPr>
          <w:p w14:paraId="0E114618" w14:textId="77777777" w:rsidR="002D700B" w:rsidRPr="005379D3" w:rsidRDefault="002D700B" w:rsidP="002D700B">
            <w:pPr>
              <w:rPr>
                <w:rFonts w:asciiTheme="minorHAnsi" w:hAnsiTheme="minorHAnsi" w:cstheme="minorHAnsi"/>
                <w:b/>
                <w:sz w:val="18"/>
                <w:szCs w:val="18"/>
              </w:rPr>
            </w:pPr>
            <w:r>
              <w:rPr>
                <w:rFonts w:asciiTheme="minorHAnsi" w:hAnsiTheme="minorHAnsi" w:cstheme="minorHAnsi"/>
                <w:b/>
                <w:sz w:val="18"/>
                <w:szCs w:val="18"/>
              </w:rPr>
              <w:t>-</w:t>
            </w:r>
          </w:p>
        </w:tc>
        <w:tc>
          <w:tcPr>
            <w:tcW w:w="1530" w:type="dxa"/>
          </w:tcPr>
          <w:p w14:paraId="47BAC31C" w14:textId="3934EA6C" w:rsidR="002D700B" w:rsidRPr="00C2066A" w:rsidRDefault="002D700B" w:rsidP="002D700B">
            <w:pPr>
              <w:widowControl/>
              <w:autoSpaceDE/>
              <w:autoSpaceDN/>
              <w:adjustRightInd/>
              <w:rPr>
                <w:rFonts w:asciiTheme="minorHAnsi" w:hAnsiTheme="minorHAnsi" w:cstheme="minorHAnsi"/>
                <w:sz w:val="18"/>
                <w:szCs w:val="18"/>
              </w:rPr>
            </w:pPr>
            <w:r w:rsidRPr="00C2066A">
              <w:rPr>
                <w:rFonts w:asciiTheme="minorHAnsi" w:hAnsiTheme="minorHAnsi" w:cstheme="minorHAnsi"/>
                <w:sz w:val="18"/>
                <w:szCs w:val="18"/>
              </w:rPr>
              <w:t>Dec. 31, 202</w:t>
            </w:r>
            <w:r>
              <w:rPr>
                <w:rFonts w:asciiTheme="minorHAnsi" w:hAnsiTheme="minorHAnsi" w:cstheme="minorHAnsi"/>
                <w:sz w:val="18"/>
                <w:szCs w:val="18"/>
              </w:rPr>
              <w:t>2</w:t>
            </w:r>
          </w:p>
          <w:p w14:paraId="62DBF272" w14:textId="77777777" w:rsidR="002D700B" w:rsidRPr="005379D3" w:rsidRDefault="002D700B" w:rsidP="002D700B">
            <w:pPr>
              <w:pStyle w:val="ListParagraph"/>
              <w:ind w:left="72"/>
              <w:contextualSpacing w:val="0"/>
              <w:rPr>
                <w:rFonts w:asciiTheme="minorHAnsi" w:hAnsiTheme="minorHAnsi" w:cstheme="minorHAnsi"/>
                <w:b/>
                <w:sz w:val="18"/>
                <w:szCs w:val="18"/>
              </w:rPr>
            </w:pPr>
          </w:p>
        </w:tc>
        <w:tc>
          <w:tcPr>
            <w:tcW w:w="2700" w:type="dxa"/>
          </w:tcPr>
          <w:p w14:paraId="2AF0E11F" w14:textId="0C1D4F69" w:rsidR="002D700B" w:rsidRPr="00CA05B0" w:rsidRDefault="002D700B" w:rsidP="002D700B">
            <w:pPr>
              <w:rPr>
                <w:rFonts w:asciiTheme="minorHAnsi" w:hAnsiTheme="minorHAnsi" w:cstheme="minorHAnsi"/>
                <w:b/>
                <w:sz w:val="18"/>
                <w:szCs w:val="18"/>
              </w:rPr>
            </w:pPr>
            <w:r>
              <w:rPr>
                <w:rFonts w:asciiTheme="minorHAnsi" w:hAnsiTheme="minorHAnsi" w:cstheme="minorHAnsi"/>
                <w:sz w:val="18"/>
                <w:szCs w:val="18"/>
              </w:rPr>
              <w:t>Cash deficit not exceeding TJS 14 billion.</w:t>
            </w:r>
          </w:p>
        </w:tc>
        <w:tc>
          <w:tcPr>
            <w:tcW w:w="2430" w:type="dxa"/>
          </w:tcPr>
          <w:p w14:paraId="75F936B4" w14:textId="53DBCF93" w:rsidR="002D700B" w:rsidRPr="00681FFF" w:rsidRDefault="002D700B" w:rsidP="002D700B">
            <w:pPr>
              <w:rPr>
                <w:rFonts w:asciiTheme="minorHAnsi" w:hAnsiTheme="minorHAnsi" w:cstheme="minorHAnsi"/>
                <w:sz w:val="18"/>
                <w:szCs w:val="18"/>
              </w:rPr>
            </w:pPr>
            <w:r>
              <w:rPr>
                <w:rFonts w:asciiTheme="minorHAnsi" w:hAnsiTheme="minorHAnsi" w:cstheme="minorHAnsi"/>
                <w:sz w:val="18"/>
                <w:szCs w:val="18"/>
              </w:rPr>
              <w:t>Any other lower value.</w:t>
            </w:r>
          </w:p>
        </w:tc>
        <w:tc>
          <w:tcPr>
            <w:tcW w:w="2340" w:type="dxa"/>
          </w:tcPr>
          <w:p w14:paraId="74B48C6D" w14:textId="148D5A63" w:rsidR="002D700B" w:rsidRPr="00F12DC3" w:rsidRDefault="002D700B" w:rsidP="002D700B">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 </w:t>
            </w:r>
            <w:r w:rsidRPr="005379D3">
              <w:rPr>
                <w:rFonts w:asciiTheme="minorHAnsi" w:hAnsiTheme="minorHAnsi" w:cstheme="minorHAnsi"/>
                <w:sz w:val="18"/>
                <w:szCs w:val="18"/>
              </w:rPr>
              <w:t>disbursement for full compliance. No disbursement in case of partial or complete non-compliance.</w:t>
            </w:r>
          </w:p>
        </w:tc>
      </w:tr>
      <w:tr w:rsidR="002D700B" w:rsidRPr="005379D3" w14:paraId="600C7103" w14:textId="77777777" w:rsidTr="00A64B72">
        <w:trPr>
          <w:trHeight w:val="530"/>
        </w:trPr>
        <w:tc>
          <w:tcPr>
            <w:tcW w:w="3127" w:type="dxa"/>
          </w:tcPr>
          <w:p w14:paraId="2EFCE954" w14:textId="79AED178" w:rsidR="002D700B" w:rsidRPr="005527D4" w:rsidRDefault="002D700B" w:rsidP="002D700B">
            <w:pPr>
              <w:pStyle w:val="BodyText"/>
              <w:ind w:left="-40"/>
              <w:rPr>
                <w:rFonts w:asciiTheme="minorHAnsi" w:hAnsiTheme="minorHAnsi" w:cstheme="minorHAnsi"/>
                <w:b w:val="0"/>
                <w:bCs w:val="0"/>
                <w:sz w:val="18"/>
                <w:szCs w:val="18"/>
              </w:rPr>
            </w:pPr>
            <w:r w:rsidRPr="005527D4">
              <w:rPr>
                <w:rFonts w:asciiTheme="minorHAnsi" w:hAnsiTheme="minorHAnsi" w:cstheme="minorHAnsi"/>
                <w:b w:val="0"/>
                <w:bCs w:val="0"/>
                <w:sz w:val="18"/>
                <w:szCs w:val="18"/>
              </w:rPr>
              <w:t>DLR 3.</w:t>
            </w:r>
            <w:r>
              <w:rPr>
                <w:rFonts w:asciiTheme="minorHAnsi" w:hAnsiTheme="minorHAnsi" w:cstheme="minorHAnsi"/>
                <w:b w:val="0"/>
                <w:bCs w:val="0"/>
                <w:sz w:val="18"/>
                <w:szCs w:val="18"/>
              </w:rPr>
              <w:t>2</w:t>
            </w:r>
            <w:r w:rsidRPr="005527D4">
              <w:rPr>
                <w:rFonts w:asciiTheme="minorHAnsi" w:hAnsiTheme="minorHAnsi" w:cstheme="minorHAnsi"/>
                <w:b w:val="0"/>
                <w:bCs w:val="0"/>
                <w:sz w:val="18"/>
                <w:szCs w:val="18"/>
              </w:rPr>
              <w:t>:</w:t>
            </w:r>
            <w:r>
              <w:rPr>
                <w:rFonts w:asciiTheme="minorHAnsi" w:hAnsiTheme="minorHAnsi" w:cstheme="minorHAnsi"/>
                <w:b w:val="0"/>
                <w:bCs w:val="0"/>
                <w:sz w:val="18"/>
                <w:szCs w:val="18"/>
              </w:rPr>
              <w:t xml:space="preserve"> By December 31, 2023,</w:t>
            </w:r>
            <w:r w:rsidRPr="005527D4">
              <w:rPr>
                <w:rFonts w:asciiTheme="minorHAnsi" w:hAnsiTheme="minorHAnsi" w:cstheme="minorHAnsi"/>
                <w:b w:val="0"/>
                <w:bCs w:val="0"/>
                <w:sz w:val="18"/>
                <w:szCs w:val="18"/>
              </w:rPr>
              <w:t xml:space="preserve"> </w:t>
            </w:r>
            <w:r>
              <w:rPr>
                <w:rFonts w:asciiTheme="minorHAnsi" w:hAnsiTheme="minorHAnsi" w:cstheme="minorHAnsi"/>
                <w:b w:val="0"/>
                <w:bCs w:val="0"/>
                <w:sz w:val="18"/>
                <w:szCs w:val="18"/>
              </w:rPr>
              <w:t>e</w:t>
            </w:r>
            <w:r w:rsidRPr="005527D4">
              <w:rPr>
                <w:rFonts w:asciiTheme="minorHAnsi" w:hAnsiTheme="minorHAnsi" w:cstheme="minorHAnsi"/>
                <w:b w:val="0"/>
                <w:bCs w:val="0"/>
                <w:sz w:val="18"/>
                <w:szCs w:val="18"/>
              </w:rPr>
              <w:t>lectricity sector’s cash deficit does not exceed TJS 16 billion.</w:t>
            </w:r>
          </w:p>
        </w:tc>
        <w:tc>
          <w:tcPr>
            <w:tcW w:w="1350" w:type="dxa"/>
          </w:tcPr>
          <w:p w14:paraId="378FF702" w14:textId="7962A402" w:rsidR="002D700B" w:rsidRPr="002D700B" w:rsidRDefault="002D700B" w:rsidP="002D700B">
            <w:pPr>
              <w:rPr>
                <w:rFonts w:asciiTheme="minorHAnsi" w:hAnsiTheme="minorHAnsi" w:cstheme="minorHAnsi"/>
                <w:sz w:val="18"/>
                <w:szCs w:val="18"/>
              </w:rPr>
            </w:pPr>
            <w:r>
              <w:rPr>
                <w:rFonts w:asciiTheme="minorHAnsi" w:hAnsiTheme="minorHAnsi" w:cstheme="minorHAnsi"/>
                <w:sz w:val="18"/>
                <w:szCs w:val="18"/>
              </w:rPr>
              <w:t>US$</w:t>
            </w:r>
            <w:r w:rsidRPr="002D700B">
              <w:rPr>
                <w:rFonts w:asciiTheme="minorHAnsi" w:hAnsiTheme="minorHAnsi" w:cstheme="minorHAnsi"/>
                <w:sz w:val="18"/>
                <w:szCs w:val="18"/>
              </w:rPr>
              <w:t>3,000,000</w:t>
            </w:r>
          </w:p>
        </w:tc>
        <w:tc>
          <w:tcPr>
            <w:tcW w:w="990" w:type="dxa"/>
          </w:tcPr>
          <w:p w14:paraId="2903EA1C" w14:textId="77777777" w:rsidR="002D700B" w:rsidRPr="005379D3" w:rsidRDefault="002D700B" w:rsidP="002D700B">
            <w:pPr>
              <w:rPr>
                <w:rFonts w:asciiTheme="minorHAnsi" w:hAnsiTheme="minorHAnsi" w:cstheme="minorHAnsi"/>
                <w:b/>
                <w:sz w:val="18"/>
                <w:szCs w:val="18"/>
              </w:rPr>
            </w:pPr>
            <w:r>
              <w:rPr>
                <w:rFonts w:asciiTheme="minorHAnsi" w:hAnsiTheme="minorHAnsi" w:cstheme="minorHAnsi"/>
                <w:b/>
                <w:sz w:val="18"/>
                <w:szCs w:val="18"/>
              </w:rPr>
              <w:t>-</w:t>
            </w:r>
          </w:p>
        </w:tc>
        <w:tc>
          <w:tcPr>
            <w:tcW w:w="1530" w:type="dxa"/>
          </w:tcPr>
          <w:p w14:paraId="1638FA9B" w14:textId="2F77ADD7" w:rsidR="002D700B" w:rsidRPr="00C2066A" w:rsidRDefault="002D700B" w:rsidP="002D700B">
            <w:pPr>
              <w:widowControl/>
              <w:autoSpaceDE/>
              <w:autoSpaceDN/>
              <w:adjustRightInd/>
              <w:rPr>
                <w:rFonts w:asciiTheme="minorHAnsi" w:hAnsiTheme="minorHAnsi" w:cstheme="minorHAnsi"/>
                <w:sz w:val="18"/>
                <w:szCs w:val="18"/>
              </w:rPr>
            </w:pPr>
            <w:r w:rsidRPr="00C2066A">
              <w:rPr>
                <w:rFonts w:asciiTheme="minorHAnsi" w:hAnsiTheme="minorHAnsi" w:cstheme="minorHAnsi"/>
                <w:sz w:val="18"/>
                <w:szCs w:val="18"/>
              </w:rPr>
              <w:t>Dec. 31, 202</w:t>
            </w:r>
            <w:r>
              <w:rPr>
                <w:rFonts w:asciiTheme="minorHAnsi" w:hAnsiTheme="minorHAnsi" w:cstheme="minorHAnsi"/>
                <w:sz w:val="18"/>
                <w:szCs w:val="18"/>
              </w:rPr>
              <w:t>3</w:t>
            </w:r>
          </w:p>
          <w:p w14:paraId="22F2DC42" w14:textId="77777777" w:rsidR="002D700B" w:rsidRPr="005379D3" w:rsidRDefault="002D700B" w:rsidP="002D700B">
            <w:pPr>
              <w:pStyle w:val="ListParagraph"/>
              <w:ind w:left="72"/>
              <w:contextualSpacing w:val="0"/>
              <w:rPr>
                <w:rFonts w:asciiTheme="minorHAnsi" w:hAnsiTheme="minorHAnsi" w:cstheme="minorHAnsi"/>
                <w:b/>
                <w:sz w:val="18"/>
                <w:szCs w:val="18"/>
              </w:rPr>
            </w:pPr>
          </w:p>
        </w:tc>
        <w:tc>
          <w:tcPr>
            <w:tcW w:w="2700" w:type="dxa"/>
          </w:tcPr>
          <w:p w14:paraId="59F8A28C" w14:textId="119CD253" w:rsidR="002D700B" w:rsidRPr="00CA05B0" w:rsidRDefault="002D700B" w:rsidP="002D700B">
            <w:pPr>
              <w:rPr>
                <w:rFonts w:asciiTheme="minorHAnsi" w:hAnsiTheme="minorHAnsi" w:cstheme="minorHAnsi"/>
                <w:b/>
                <w:sz w:val="18"/>
                <w:szCs w:val="18"/>
              </w:rPr>
            </w:pPr>
            <w:r>
              <w:rPr>
                <w:rFonts w:asciiTheme="minorHAnsi" w:hAnsiTheme="minorHAnsi" w:cstheme="minorHAnsi"/>
                <w:sz w:val="18"/>
                <w:szCs w:val="18"/>
              </w:rPr>
              <w:t>Cash deficit not exceeding TJS 16 billion.</w:t>
            </w:r>
          </w:p>
        </w:tc>
        <w:tc>
          <w:tcPr>
            <w:tcW w:w="2430" w:type="dxa"/>
          </w:tcPr>
          <w:p w14:paraId="3280B525" w14:textId="6D04C349" w:rsidR="002D700B" w:rsidRPr="005379D3" w:rsidRDefault="002D700B" w:rsidP="002D700B">
            <w:pPr>
              <w:rPr>
                <w:rFonts w:asciiTheme="minorHAnsi" w:hAnsiTheme="minorHAnsi" w:cstheme="minorHAnsi"/>
                <w:b/>
                <w:sz w:val="18"/>
                <w:szCs w:val="18"/>
              </w:rPr>
            </w:pPr>
            <w:r>
              <w:rPr>
                <w:rFonts w:asciiTheme="minorHAnsi" w:hAnsiTheme="minorHAnsi" w:cstheme="minorHAnsi"/>
                <w:sz w:val="18"/>
                <w:szCs w:val="18"/>
              </w:rPr>
              <w:t>Any other lower value.</w:t>
            </w:r>
          </w:p>
        </w:tc>
        <w:tc>
          <w:tcPr>
            <w:tcW w:w="2340" w:type="dxa"/>
          </w:tcPr>
          <w:p w14:paraId="0EB20F95" w14:textId="784205DD" w:rsidR="002D700B" w:rsidRPr="005379D3" w:rsidRDefault="002D700B" w:rsidP="002D700B">
            <w:pPr>
              <w:rPr>
                <w:rFonts w:asciiTheme="minorHAnsi" w:hAnsiTheme="minorHAnsi" w:cstheme="minorHAnsi"/>
                <w:b/>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 </w:t>
            </w:r>
            <w:r w:rsidRPr="005379D3">
              <w:rPr>
                <w:rFonts w:asciiTheme="minorHAnsi" w:hAnsiTheme="minorHAnsi" w:cstheme="minorHAnsi"/>
                <w:sz w:val="18"/>
                <w:szCs w:val="18"/>
              </w:rPr>
              <w:t>disbursement for full compliance. No disbursement in case of partial or complete non-compliance.</w:t>
            </w:r>
          </w:p>
        </w:tc>
      </w:tr>
      <w:tr w:rsidR="002D700B" w:rsidRPr="005379D3" w14:paraId="13C9A1A8" w14:textId="77777777" w:rsidTr="00A64B72">
        <w:trPr>
          <w:trHeight w:val="782"/>
        </w:trPr>
        <w:tc>
          <w:tcPr>
            <w:tcW w:w="3127" w:type="dxa"/>
          </w:tcPr>
          <w:p w14:paraId="58586E88" w14:textId="2A0D7C21" w:rsidR="002D700B" w:rsidRPr="00C2066A" w:rsidRDefault="002D700B" w:rsidP="002D700B">
            <w:pPr>
              <w:widowControl/>
              <w:autoSpaceDE/>
              <w:autoSpaceDN/>
              <w:adjustRightInd/>
              <w:ind w:left="-40"/>
              <w:rPr>
                <w:rFonts w:asciiTheme="minorHAnsi" w:hAnsiTheme="minorHAnsi" w:cstheme="minorHAnsi"/>
                <w:sz w:val="18"/>
                <w:szCs w:val="18"/>
              </w:rPr>
            </w:pPr>
            <w:r>
              <w:rPr>
                <w:rFonts w:asciiTheme="minorHAnsi" w:hAnsiTheme="minorHAnsi" w:cstheme="minorHAnsi"/>
                <w:sz w:val="18"/>
                <w:szCs w:val="18"/>
              </w:rPr>
              <w:t>DLR 3.3: By December 31, 2024, electricity sector’s cash deficit does not exceed TJS 16 billion.</w:t>
            </w:r>
          </w:p>
        </w:tc>
        <w:tc>
          <w:tcPr>
            <w:tcW w:w="1350" w:type="dxa"/>
          </w:tcPr>
          <w:p w14:paraId="53954D91" w14:textId="232E54D1" w:rsidR="002D700B" w:rsidRPr="002D700B" w:rsidRDefault="002D700B" w:rsidP="002D700B">
            <w:pPr>
              <w:rPr>
                <w:rFonts w:asciiTheme="minorHAnsi" w:hAnsiTheme="minorHAnsi" w:cstheme="minorHAnsi"/>
                <w:sz w:val="18"/>
                <w:szCs w:val="18"/>
              </w:rPr>
            </w:pPr>
            <w:r>
              <w:rPr>
                <w:rFonts w:asciiTheme="minorHAnsi" w:hAnsiTheme="minorHAnsi" w:cstheme="minorHAnsi"/>
                <w:sz w:val="18"/>
                <w:szCs w:val="18"/>
              </w:rPr>
              <w:t>US$</w:t>
            </w:r>
            <w:r w:rsidRPr="002D700B">
              <w:rPr>
                <w:rFonts w:asciiTheme="minorHAnsi" w:hAnsiTheme="minorHAnsi" w:cstheme="minorHAnsi"/>
                <w:sz w:val="18"/>
                <w:szCs w:val="18"/>
              </w:rPr>
              <w:t>2,000,000</w:t>
            </w:r>
          </w:p>
        </w:tc>
        <w:tc>
          <w:tcPr>
            <w:tcW w:w="990" w:type="dxa"/>
          </w:tcPr>
          <w:p w14:paraId="21CD9EAD" w14:textId="77777777" w:rsidR="002D700B" w:rsidRPr="005379D3" w:rsidRDefault="002D700B" w:rsidP="002D700B">
            <w:pPr>
              <w:rPr>
                <w:rFonts w:asciiTheme="minorHAnsi" w:hAnsiTheme="minorHAnsi" w:cstheme="minorHAnsi"/>
                <w:b/>
                <w:sz w:val="18"/>
                <w:szCs w:val="18"/>
              </w:rPr>
            </w:pPr>
            <w:r>
              <w:rPr>
                <w:rFonts w:asciiTheme="minorHAnsi" w:hAnsiTheme="minorHAnsi" w:cstheme="minorHAnsi"/>
                <w:b/>
                <w:sz w:val="18"/>
                <w:szCs w:val="18"/>
              </w:rPr>
              <w:t>-</w:t>
            </w:r>
          </w:p>
        </w:tc>
        <w:tc>
          <w:tcPr>
            <w:tcW w:w="1530" w:type="dxa"/>
          </w:tcPr>
          <w:p w14:paraId="684D1502" w14:textId="2AFBFD79" w:rsidR="002D700B" w:rsidRPr="00C2066A" w:rsidRDefault="002D700B" w:rsidP="002D700B">
            <w:pPr>
              <w:widowControl/>
              <w:autoSpaceDE/>
              <w:autoSpaceDN/>
              <w:adjustRightInd/>
              <w:rPr>
                <w:rFonts w:asciiTheme="minorHAnsi" w:hAnsiTheme="minorHAnsi" w:cstheme="minorHAnsi"/>
                <w:sz w:val="18"/>
                <w:szCs w:val="18"/>
              </w:rPr>
            </w:pPr>
            <w:r w:rsidRPr="00C2066A">
              <w:rPr>
                <w:rFonts w:asciiTheme="minorHAnsi" w:hAnsiTheme="minorHAnsi" w:cstheme="minorHAnsi"/>
                <w:sz w:val="18"/>
                <w:szCs w:val="18"/>
              </w:rPr>
              <w:t>Dec. 31, 202</w:t>
            </w:r>
            <w:r>
              <w:rPr>
                <w:rFonts w:asciiTheme="minorHAnsi" w:hAnsiTheme="minorHAnsi" w:cstheme="minorHAnsi"/>
                <w:sz w:val="18"/>
                <w:szCs w:val="18"/>
              </w:rPr>
              <w:t>4</w:t>
            </w:r>
          </w:p>
        </w:tc>
        <w:tc>
          <w:tcPr>
            <w:tcW w:w="2700" w:type="dxa"/>
          </w:tcPr>
          <w:p w14:paraId="702BD679" w14:textId="285353EE" w:rsidR="002D700B" w:rsidRPr="00CA05B0" w:rsidRDefault="002D700B" w:rsidP="002D700B">
            <w:pPr>
              <w:rPr>
                <w:rFonts w:asciiTheme="minorHAnsi" w:hAnsiTheme="minorHAnsi" w:cstheme="minorHAnsi"/>
                <w:b/>
                <w:sz w:val="18"/>
                <w:szCs w:val="18"/>
              </w:rPr>
            </w:pPr>
            <w:r>
              <w:rPr>
                <w:rFonts w:asciiTheme="minorHAnsi" w:hAnsiTheme="minorHAnsi" w:cstheme="minorHAnsi"/>
                <w:sz w:val="18"/>
                <w:szCs w:val="18"/>
              </w:rPr>
              <w:t>Cash deficit not exceeding TJS 16 billion.</w:t>
            </w:r>
          </w:p>
        </w:tc>
        <w:tc>
          <w:tcPr>
            <w:tcW w:w="2430" w:type="dxa"/>
          </w:tcPr>
          <w:p w14:paraId="5CCFDD9C" w14:textId="19DE00D4" w:rsidR="002D700B" w:rsidRPr="005379D3" w:rsidRDefault="002D700B" w:rsidP="002D700B">
            <w:pPr>
              <w:rPr>
                <w:rFonts w:asciiTheme="minorHAnsi" w:hAnsiTheme="minorHAnsi" w:cstheme="minorHAnsi"/>
                <w:b/>
                <w:sz w:val="18"/>
                <w:szCs w:val="18"/>
              </w:rPr>
            </w:pPr>
            <w:r>
              <w:rPr>
                <w:rFonts w:asciiTheme="minorHAnsi" w:hAnsiTheme="minorHAnsi" w:cstheme="minorHAnsi"/>
                <w:sz w:val="18"/>
                <w:szCs w:val="18"/>
              </w:rPr>
              <w:t>Any other lower value.</w:t>
            </w:r>
          </w:p>
        </w:tc>
        <w:tc>
          <w:tcPr>
            <w:tcW w:w="2340" w:type="dxa"/>
          </w:tcPr>
          <w:p w14:paraId="2D759B0A" w14:textId="1F68604B" w:rsidR="002D700B" w:rsidRPr="005379D3" w:rsidRDefault="002D700B" w:rsidP="002D700B">
            <w:pPr>
              <w:rPr>
                <w:rFonts w:asciiTheme="minorHAnsi" w:hAnsiTheme="minorHAnsi" w:cstheme="minorHAnsi"/>
                <w:b/>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 </w:t>
            </w:r>
            <w:r w:rsidRPr="005379D3">
              <w:rPr>
                <w:rFonts w:asciiTheme="minorHAnsi" w:hAnsiTheme="minorHAnsi" w:cstheme="minorHAnsi"/>
                <w:sz w:val="18"/>
                <w:szCs w:val="18"/>
              </w:rPr>
              <w:t>disbursement for full compliance. No disbursement in case of partial or complete non-compliance.</w:t>
            </w:r>
          </w:p>
        </w:tc>
      </w:tr>
      <w:tr w:rsidR="002D700B" w:rsidRPr="005379D3" w14:paraId="160F20EC" w14:textId="77777777" w:rsidTr="00A64B72">
        <w:trPr>
          <w:trHeight w:val="530"/>
        </w:trPr>
        <w:tc>
          <w:tcPr>
            <w:tcW w:w="3127" w:type="dxa"/>
          </w:tcPr>
          <w:p w14:paraId="394B6766" w14:textId="22FDED6A" w:rsidR="002D700B" w:rsidRPr="008A1732" w:rsidRDefault="002D700B" w:rsidP="002D700B">
            <w:pPr>
              <w:widowControl/>
              <w:autoSpaceDE/>
              <w:autoSpaceDN/>
              <w:adjustRightInd/>
              <w:ind w:left="-40"/>
              <w:rPr>
                <w:rFonts w:ascii="Calibri" w:hAnsi="Calibri" w:cs="Calibri"/>
                <w:b/>
                <w:sz w:val="18"/>
                <w:szCs w:val="20"/>
              </w:rPr>
            </w:pPr>
            <w:r>
              <w:rPr>
                <w:rFonts w:asciiTheme="minorHAnsi" w:hAnsiTheme="minorHAnsi" w:cstheme="minorHAnsi"/>
                <w:sz w:val="18"/>
                <w:szCs w:val="18"/>
              </w:rPr>
              <w:t>DLR 3.4: By December 31, 2025, electricity sector’s cash deficit does not exceed TJS 16 billion.</w:t>
            </w:r>
          </w:p>
        </w:tc>
        <w:tc>
          <w:tcPr>
            <w:tcW w:w="1350" w:type="dxa"/>
          </w:tcPr>
          <w:p w14:paraId="1CCA84D4" w14:textId="6B1D4284" w:rsidR="002D700B" w:rsidRPr="002D700B" w:rsidRDefault="002D700B" w:rsidP="002D700B">
            <w:pPr>
              <w:rPr>
                <w:rFonts w:asciiTheme="minorHAnsi" w:hAnsiTheme="minorHAnsi" w:cstheme="minorHAnsi"/>
                <w:sz w:val="18"/>
                <w:szCs w:val="18"/>
              </w:rPr>
            </w:pPr>
            <w:r>
              <w:rPr>
                <w:rFonts w:asciiTheme="minorHAnsi" w:hAnsiTheme="minorHAnsi" w:cstheme="minorHAnsi"/>
                <w:sz w:val="18"/>
                <w:szCs w:val="18"/>
              </w:rPr>
              <w:t>US$</w:t>
            </w:r>
            <w:r w:rsidRPr="002D700B">
              <w:rPr>
                <w:rFonts w:asciiTheme="minorHAnsi" w:hAnsiTheme="minorHAnsi" w:cstheme="minorHAnsi"/>
                <w:sz w:val="18"/>
                <w:szCs w:val="18"/>
              </w:rPr>
              <w:t>1,000,000</w:t>
            </w:r>
          </w:p>
        </w:tc>
        <w:tc>
          <w:tcPr>
            <w:tcW w:w="990" w:type="dxa"/>
          </w:tcPr>
          <w:p w14:paraId="20568B84" w14:textId="77777777" w:rsidR="002D700B" w:rsidRPr="005379D3" w:rsidRDefault="002D700B" w:rsidP="002D700B">
            <w:pPr>
              <w:rPr>
                <w:rFonts w:asciiTheme="minorHAnsi" w:hAnsiTheme="minorHAnsi" w:cstheme="minorHAnsi"/>
                <w:b/>
                <w:sz w:val="18"/>
                <w:szCs w:val="18"/>
              </w:rPr>
            </w:pPr>
            <w:r>
              <w:rPr>
                <w:rFonts w:asciiTheme="minorHAnsi" w:hAnsiTheme="minorHAnsi" w:cstheme="minorHAnsi"/>
                <w:b/>
                <w:sz w:val="18"/>
                <w:szCs w:val="18"/>
              </w:rPr>
              <w:t>-</w:t>
            </w:r>
          </w:p>
        </w:tc>
        <w:tc>
          <w:tcPr>
            <w:tcW w:w="1530" w:type="dxa"/>
          </w:tcPr>
          <w:p w14:paraId="3332F9E8" w14:textId="613C21D0" w:rsidR="002D700B" w:rsidRPr="00C2066A" w:rsidRDefault="002D700B" w:rsidP="002D700B">
            <w:pPr>
              <w:widowControl/>
              <w:autoSpaceDE/>
              <w:autoSpaceDN/>
              <w:adjustRightInd/>
              <w:rPr>
                <w:rFonts w:asciiTheme="minorHAnsi" w:hAnsiTheme="minorHAnsi" w:cstheme="minorHAnsi"/>
                <w:sz w:val="18"/>
                <w:szCs w:val="18"/>
              </w:rPr>
            </w:pPr>
            <w:r w:rsidRPr="00C2066A">
              <w:rPr>
                <w:rFonts w:asciiTheme="minorHAnsi" w:hAnsiTheme="minorHAnsi" w:cstheme="minorHAnsi"/>
                <w:sz w:val="18"/>
                <w:szCs w:val="18"/>
              </w:rPr>
              <w:t>Dec. 31, 202</w:t>
            </w:r>
            <w:r>
              <w:rPr>
                <w:rFonts w:asciiTheme="minorHAnsi" w:hAnsiTheme="minorHAnsi" w:cstheme="minorHAnsi"/>
                <w:sz w:val="18"/>
                <w:szCs w:val="18"/>
              </w:rPr>
              <w:t>5</w:t>
            </w:r>
          </w:p>
        </w:tc>
        <w:tc>
          <w:tcPr>
            <w:tcW w:w="2700" w:type="dxa"/>
          </w:tcPr>
          <w:p w14:paraId="45AA008A" w14:textId="061BD298" w:rsidR="002D700B" w:rsidRPr="00CA05B0" w:rsidRDefault="002D700B" w:rsidP="002D700B">
            <w:pPr>
              <w:rPr>
                <w:rFonts w:asciiTheme="minorHAnsi" w:hAnsiTheme="minorHAnsi" w:cstheme="minorHAnsi"/>
                <w:b/>
                <w:sz w:val="18"/>
                <w:szCs w:val="18"/>
              </w:rPr>
            </w:pPr>
            <w:r>
              <w:rPr>
                <w:rFonts w:asciiTheme="minorHAnsi" w:hAnsiTheme="minorHAnsi" w:cstheme="minorHAnsi"/>
                <w:sz w:val="18"/>
                <w:szCs w:val="18"/>
              </w:rPr>
              <w:t>Cash deficit not exceeding TJS 16 billion.</w:t>
            </w:r>
          </w:p>
        </w:tc>
        <w:tc>
          <w:tcPr>
            <w:tcW w:w="2430" w:type="dxa"/>
          </w:tcPr>
          <w:p w14:paraId="25E37E02" w14:textId="532B468A" w:rsidR="002D700B" w:rsidRPr="005379D3" w:rsidRDefault="002D700B" w:rsidP="002D700B">
            <w:pPr>
              <w:rPr>
                <w:rFonts w:asciiTheme="minorHAnsi" w:hAnsiTheme="minorHAnsi" w:cstheme="minorHAnsi"/>
                <w:b/>
                <w:sz w:val="18"/>
                <w:szCs w:val="18"/>
              </w:rPr>
            </w:pPr>
            <w:r>
              <w:rPr>
                <w:rFonts w:asciiTheme="minorHAnsi" w:hAnsiTheme="minorHAnsi" w:cstheme="minorHAnsi"/>
                <w:sz w:val="18"/>
                <w:szCs w:val="18"/>
              </w:rPr>
              <w:t>Any other lower value.</w:t>
            </w:r>
          </w:p>
        </w:tc>
        <w:tc>
          <w:tcPr>
            <w:tcW w:w="2340" w:type="dxa"/>
          </w:tcPr>
          <w:p w14:paraId="2365DE55" w14:textId="626F5B00" w:rsidR="002D700B" w:rsidRPr="005379D3" w:rsidRDefault="002D700B" w:rsidP="002D700B">
            <w:pPr>
              <w:rPr>
                <w:rFonts w:asciiTheme="minorHAnsi" w:hAnsiTheme="minorHAnsi" w:cstheme="minorHAnsi"/>
                <w:b/>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 </w:t>
            </w:r>
            <w:r w:rsidRPr="005379D3">
              <w:rPr>
                <w:rFonts w:asciiTheme="minorHAnsi" w:hAnsiTheme="minorHAnsi" w:cstheme="minorHAnsi"/>
                <w:sz w:val="18"/>
                <w:szCs w:val="18"/>
              </w:rPr>
              <w:t>disbursement for full compliance. No disbursement in case of partial or complete non-compliance.</w:t>
            </w:r>
          </w:p>
        </w:tc>
      </w:tr>
      <w:tr w:rsidR="002D700B" w:rsidRPr="005379D3" w14:paraId="44D304AB" w14:textId="77777777" w:rsidTr="00A64B72">
        <w:trPr>
          <w:trHeight w:val="530"/>
        </w:trPr>
        <w:tc>
          <w:tcPr>
            <w:tcW w:w="3127" w:type="dxa"/>
          </w:tcPr>
          <w:p w14:paraId="5D6EC07E" w14:textId="5DF25797" w:rsidR="002D700B" w:rsidRPr="008A1732" w:rsidRDefault="002D700B" w:rsidP="002D700B">
            <w:pPr>
              <w:widowControl/>
              <w:autoSpaceDE/>
              <w:autoSpaceDN/>
              <w:adjustRightInd/>
              <w:ind w:left="-40"/>
              <w:rPr>
                <w:rFonts w:ascii="Calibri" w:hAnsi="Calibri" w:cs="Calibri"/>
                <w:b/>
                <w:sz w:val="18"/>
                <w:szCs w:val="20"/>
              </w:rPr>
            </w:pPr>
            <w:r>
              <w:rPr>
                <w:rFonts w:asciiTheme="minorHAnsi" w:hAnsiTheme="minorHAnsi" w:cstheme="minorHAnsi"/>
                <w:sz w:val="18"/>
                <w:szCs w:val="18"/>
              </w:rPr>
              <w:t>DLR 3.5: By December 31, 2026, electricity sector’s cash deficit does not exceed TJS 15 billion.</w:t>
            </w:r>
          </w:p>
        </w:tc>
        <w:tc>
          <w:tcPr>
            <w:tcW w:w="1350" w:type="dxa"/>
          </w:tcPr>
          <w:p w14:paraId="7CDB9BE7" w14:textId="02D36534" w:rsidR="002D700B" w:rsidRPr="002D700B" w:rsidRDefault="002D700B" w:rsidP="002D700B">
            <w:pPr>
              <w:rPr>
                <w:rFonts w:asciiTheme="minorHAnsi" w:hAnsiTheme="minorHAnsi" w:cstheme="minorHAnsi"/>
                <w:sz w:val="18"/>
                <w:szCs w:val="18"/>
              </w:rPr>
            </w:pPr>
            <w:r>
              <w:rPr>
                <w:rFonts w:asciiTheme="minorHAnsi" w:hAnsiTheme="minorHAnsi" w:cstheme="minorHAnsi"/>
                <w:sz w:val="18"/>
                <w:szCs w:val="18"/>
              </w:rPr>
              <w:t>US$1</w:t>
            </w:r>
            <w:r w:rsidRPr="002D700B">
              <w:rPr>
                <w:rFonts w:asciiTheme="minorHAnsi" w:hAnsiTheme="minorHAnsi" w:cstheme="minorHAnsi"/>
                <w:sz w:val="18"/>
                <w:szCs w:val="18"/>
              </w:rPr>
              <w:t>,000,000</w:t>
            </w:r>
          </w:p>
        </w:tc>
        <w:tc>
          <w:tcPr>
            <w:tcW w:w="990" w:type="dxa"/>
          </w:tcPr>
          <w:p w14:paraId="0FF8EFF9" w14:textId="77777777" w:rsidR="002D700B" w:rsidRPr="005379D3" w:rsidRDefault="002D700B" w:rsidP="002D700B">
            <w:pPr>
              <w:rPr>
                <w:rFonts w:asciiTheme="minorHAnsi" w:hAnsiTheme="minorHAnsi" w:cstheme="minorHAnsi"/>
                <w:b/>
                <w:sz w:val="18"/>
                <w:szCs w:val="18"/>
              </w:rPr>
            </w:pPr>
            <w:r>
              <w:rPr>
                <w:rFonts w:asciiTheme="minorHAnsi" w:hAnsiTheme="minorHAnsi" w:cstheme="minorHAnsi"/>
                <w:b/>
                <w:sz w:val="18"/>
                <w:szCs w:val="18"/>
              </w:rPr>
              <w:t>-</w:t>
            </w:r>
          </w:p>
        </w:tc>
        <w:tc>
          <w:tcPr>
            <w:tcW w:w="1530" w:type="dxa"/>
          </w:tcPr>
          <w:p w14:paraId="5C1ACB18" w14:textId="424F5B00" w:rsidR="002D700B" w:rsidRPr="00C2066A" w:rsidRDefault="002D700B" w:rsidP="002D700B">
            <w:pPr>
              <w:widowControl/>
              <w:autoSpaceDE/>
              <w:autoSpaceDN/>
              <w:adjustRightInd/>
              <w:rPr>
                <w:rFonts w:asciiTheme="minorHAnsi" w:hAnsiTheme="minorHAnsi" w:cstheme="minorHAnsi"/>
                <w:sz w:val="18"/>
                <w:szCs w:val="18"/>
              </w:rPr>
            </w:pPr>
            <w:r w:rsidRPr="00C2066A">
              <w:rPr>
                <w:rFonts w:asciiTheme="minorHAnsi" w:hAnsiTheme="minorHAnsi" w:cstheme="minorHAnsi"/>
                <w:sz w:val="18"/>
                <w:szCs w:val="18"/>
              </w:rPr>
              <w:t>Dec. 31, 202</w:t>
            </w:r>
            <w:r>
              <w:rPr>
                <w:rFonts w:asciiTheme="minorHAnsi" w:hAnsiTheme="minorHAnsi" w:cstheme="minorHAnsi"/>
                <w:sz w:val="18"/>
                <w:szCs w:val="18"/>
              </w:rPr>
              <w:t>6</w:t>
            </w:r>
          </w:p>
        </w:tc>
        <w:tc>
          <w:tcPr>
            <w:tcW w:w="2700" w:type="dxa"/>
          </w:tcPr>
          <w:p w14:paraId="0AEE34EF" w14:textId="7BDF50C8" w:rsidR="002D700B" w:rsidRPr="00CA05B0" w:rsidRDefault="002D700B" w:rsidP="002D700B">
            <w:pPr>
              <w:rPr>
                <w:rFonts w:asciiTheme="minorHAnsi" w:hAnsiTheme="minorHAnsi" w:cstheme="minorHAnsi"/>
                <w:b/>
                <w:sz w:val="18"/>
                <w:szCs w:val="18"/>
              </w:rPr>
            </w:pPr>
            <w:r>
              <w:rPr>
                <w:rFonts w:asciiTheme="minorHAnsi" w:hAnsiTheme="minorHAnsi" w:cstheme="minorHAnsi"/>
                <w:sz w:val="18"/>
                <w:szCs w:val="18"/>
              </w:rPr>
              <w:t>Cash deficit not exceeding TJS 15 billion.</w:t>
            </w:r>
          </w:p>
        </w:tc>
        <w:tc>
          <w:tcPr>
            <w:tcW w:w="2430" w:type="dxa"/>
          </w:tcPr>
          <w:p w14:paraId="6F7166CC" w14:textId="28E1F244" w:rsidR="002D700B" w:rsidRPr="005379D3" w:rsidRDefault="002D700B" w:rsidP="002D700B">
            <w:pPr>
              <w:rPr>
                <w:rFonts w:asciiTheme="minorHAnsi" w:hAnsiTheme="minorHAnsi" w:cstheme="minorHAnsi"/>
                <w:b/>
                <w:sz w:val="18"/>
                <w:szCs w:val="18"/>
              </w:rPr>
            </w:pPr>
            <w:r>
              <w:rPr>
                <w:rFonts w:asciiTheme="minorHAnsi" w:hAnsiTheme="minorHAnsi" w:cstheme="minorHAnsi"/>
                <w:sz w:val="18"/>
                <w:szCs w:val="18"/>
              </w:rPr>
              <w:t>Any other lower value.</w:t>
            </w:r>
          </w:p>
        </w:tc>
        <w:tc>
          <w:tcPr>
            <w:tcW w:w="2340" w:type="dxa"/>
          </w:tcPr>
          <w:p w14:paraId="6C81A63B" w14:textId="0C38A1A4" w:rsidR="002D700B" w:rsidRPr="005379D3" w:rsidRDefault="002D700B" w:rsidP="002D700B">
            <w:pPr>
              <w:rPr>
                <w:rFonts w:asciiTheme="minorHAnsi" w:hAnsiTheme="minorHAnsi" w:cstheme="minorHAnsi"/>
                <w:b/>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 </w:t>
            </w:r>
            <w:r w:rsidRPr="005379D3">
              <w:rPr>
                <w:rFonts w:asciiTheme="minorHAnsi" w:hAnsiTheme="minorHAnsi" w:cstheme="minorHAnsi"/>
                <w:sz w:val="18"/>
                <w:szCs w:val="18"/>
              </w:rPr>
              <w:t>disbursement for full compliance. No disbursement in case of partial or complete non-compliance.</w:t>
            </w:r>
          </w:p>
        </w:tc>
      </w:tr>
      <w:tr w:rsidR="002D700B" w:rsidRPr="005379D3" w14:paraId="34140AFF" w14:textId="77777777" w:rsidTr="00A64B72">
        <w:trPr>
          <w:trHeight w:val="530"/>
        </w:trPr>
        <w:tc>
          <w:tcPr>
            <w:tcW w:w="3127" w:type="dxa"/>
          </w:tcPr>
          <w:p w14:paraId="6E66E8DD" w14:textId="4630A0A7" w:rsidR="002D700B" w:rsidRPr="00C2066A" w:rsidRDefault="002D700B" w:rsidP="002D700B">
            <w:pPr>
              <w:widowControl/>
              <w:autoSpaceDE/>
              <w:autoSpaceDN/>
              <w:adjustRightInd/>
              <w:ind w:left="-40"/>
              <w:rPr>
                <w:rFonts w:ascii="Sylfaen" w:hAnsi="Sylfaen" w:cstheme="minorHAnsi"/>
                <w:sz w:val="18"/>
                <w:szCs w:val="18"/>
              </w:rPr>
            </w:pPr>
            <w:r>
              <w:rPr>
                <w:rFonts w:asciiTheme="minorHAnsi" w:hAnsiTheme="minorHAnsi" w:cstheme="minorHAnsi"/>
                <w:sz w:val="18"/>
                <w:szCs w:val="18"/>
              </w:rPr>
              <w:t>DLR 3.6: By December 31, 2027, electricity sector’s cash deficit does not exceed TJS 13 billion.</w:t>
            </w:r>
          </w:p>
        </w:tc>
        <w:tc>
          <w:tcPr>
            <w:tcW w:w="1350" w:type="dxa"/>
          </w:tcPr>
          <w:p w14:paraId="7D0050D4" w14:textId="31A1DD6F" w:rsidR="002D700B" w:rsidRPr="002D700B" w:rsidRDefault="002D700B" w:rsidP="002D700B">
            <w:pPr>
              <w:rPr>
                <w:rFonts w:asciiTheme="minorHAnsi" w:hAnsiTheme="minorHAnsi" w:cstheme="minorHAnsi"/>
                <w:sz w:val="18"/>
                <w:szCs w:val="18"/>
              </w:rPr>
            </w:pPr>
            <w:r>
              <w:rPr>
                <w:rFonts w:asciiTheme="minorHAnsi" w:hAnsiTheme="minorHAnsi" w:cstheme="minorHAnsi"/>
                <w:sz w:val="18"/>
                <w:szCs w:val="18"/>
              </w:rPr>
              <w:t>US$</w:t>
            </w:r>
            <w:r w:rsidRPr="002D700B">
              <w:rPr>
                <w:rFonts w:asciiTheme="minorHAnsi" w:hAnsiTheme="minorHAnsi" w:cstheme="minorHAnsi"/>
                <w:sz w:val="18"/>
                <w:szCs w:val="18"/>
              </w:rPr>
              <w:t>1,000,000</w:t>
            </w:r>
          </w:p>
        </w:tc>
        <w:tc>
          <w:tcPr>
            <w:tcW w:w="990" w:type="dxa"/>
          </w:tcPr>
          <w:p w14:paraId="1029E09C" w14:textId="77777777" w:rsidR="002D700B" w:rsidRPr="005379D3" w:rsidRDefault="002D700B" w:rsidP="002D700B">
            <w:pPr>
              <w:rPr>
                <w:rFonts w:asciiTheme="minorHAnsi" w:hAnsiTheme="minorHAnsi" w:cstheme="minorHAnsi"/>
                <w:b/>
                <w:sz w:val="18"/>
                <w:szCs w:val="18"/>
              </w:rPr>
            </w:pPr>
            <w:r>
              <w:rPr>
                <w:rFonts w:asciiTheme="minorHAnsi" w:hAnsiTheme="minorHAnsi" w:cstheme="minorHAnsi"/>
                <w:b/>
                <w:sz w:val="18"/>
                <w:szCs w:val="18"/>
              </w:rPr>
              <w:t>-</w:t>
            </w:r>
          </w:p>
        </w:tc>
        <w:tc>
          <w:tcPr>
            <w:tcW w:w="1530" w:type="dxa"/>
          </w:tcPr>
          <w:p w14:paraId="319A836F" w14:textId="6BE6A448" w:rsidR="002D700B" w:rsidRPr="00C2066A" w:rsidRDefault="002D700B" w:rsidP="002D700B">
            <w:pPr>
              <w:rPr>
                <w:rFonts w:asciiTheme="minorHAnsi" w:hAnsiTheme="minorHAnsi" w:cstheme="minorHAnsi"/>
                <w:b/>
                <w:sz w:val="18"/>
                <w:szCs w:val="18"/>
              </w:rPr>
            </w:pPr>
            <w:r w:rsidRPr="00C2066A">
              <w:rPr>
                <w:rFonts w:asciiTheme="minorHAnsi" w:hAnsiTheme="minorHAnsi" w:cstheme="minorHAnsi"/>
                <w:sz w:val="18"/>
                <w:szCs w:val="18"/>
              </w:rPr>
              <w:t>Dec. 31, 202</w:t>
            </w:r>
            <w:r>
              <w:rPr>
                <w:rFonts w:asciiTheme="minorHAnsi" w:hAnsiTheme="minorHAnsi" w:cstheme="minorHAnsi"/>
                <w:sz w:val="18"/>
                <w:szCs w:val="18"/>
              </w:rPr>
              <w:t>7</w:t>
            </w:r>
          </w:p>
        </w:tc>
        <w:tc>
          <w:tcPr>
            <w:tcW w:w="2700" w:type="dxa"/>
          </w:tcPr>
          <w:p w14:paraId="0FB10D19" w14:textId="476A37B7" w:rsidR="002D700B" w:rsidRPr="00CA05B0" w:rsidRDefault="002D700B" w:rsidP="002D700B">
            <w:pPr>
              <w:rPr>
                <w:rFonts w:asciiTheme="minorHAnsi" w:hAnsiTheme="minorHAnsi" w:cstheme="minorHAnsi"/>
                <w:b/>
                <w:sz w:val="18"/>
                <w:szCs w:val="18"/>
              </w:rPr>
            </w:pPr>
            <w:r>
              <w:rPr>
                <w:rFonts w:asciiTheme="minorHAnsi" w:hAnsiTheme="minorHAnsi" w:cstheme="minorHAnsi"/>
                <w:sz w:val="18"/>
                <w:szCs w:val="18"/>
              </w:rPr>
              <w:t>Cash deficit not exceeding TJS 13 billion.</w:t>
            </w:r>
          </w:p>
        </w:tc>
        <w:tc>
          <w:tcPr>
            <w:tcW w:w="2430" w:type="dxa"/>
          </w:tcPr>
          <w:p w14:paraId="16502E68" w14:textId="6E49F5CD" w:rsidR="002D700B" w:rsidRPr="005379D3" w:rsidRDefault="002D700B" w:rsidP="002D700B">
            <w:pPr>
              <w:rPr>
                <w:rFonts w:asciiTheme="minorHAnsi" w:hAnsiTheme="minorHAnsi" w:cstheme="minorHAnsi"/>
                <w:b/>
                <w:sz w:val="18"/>
                <w:szCs w:val="18"/>
              </w:rPr>
            </w:pPr>
            <w:r>
              <w:rPr>
                <w:rFonts w:asciiTheme="minorHAnsi" w:hAnsiTheme="minorHAnsi" w:cstheme="minorHAnsi"/>
                <w:sz w:val="18"/>
                <w:szCs w:val="18"/>
              </w:rPr>
              <w:t>Any other lower value.</w:t>
            </w:r>
          </w:p>
        </w:tc>
        <w:tc>
          <w:tcPr>
            <w:tcW w:w="2340" w:type="dxa"/>
          </w:tcPr>
          <w:p w14:paraId="1D1119B6" w14:textId="0454763D" w:rsidR="002D700B" w:rsidRPr="005379D3" w:rsidRDefault="002D700B" w:rsidP="002D700B">
            <w:pPr>
              <w:rPr>
                <w:rFonts w:asciiTheme="minorHAnsi" w:hAnsiTheme="minorHAnsi" w:cstheme="minorHAnsi"/>
                <w:b/>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 </w:t>
            </w:r>
            <w:r w:rsidRPr="005379D3">
              <w:rPr>
                <w:rFonts w:asciiTheme="minorHAnsi" w:hAnsiTheme="minorHAnsi" w:cstheme="minorHAnsi"/>
                <w:sz w:val="18"/>
                <w:szCs w:val="18"/>
              </w:rPr>
              <w:t>disbursement for full compliance. No disbursement in case of partial or complete non-</w:t>
            </w:r>
            <w:r w:rsidRPr="005379D3">
              <w:rPr>
                <w:rFonts w:asciiTheme="minorHAnsi" w:hAnsiTheme="minorHAnsi" w:cstheme="minorHAnsi"/>
                <w:sz w:val="18"/>
                <w:szCs w:val="18"/>
              </w:rPr>
              <w:lastRenderedPageBreak/>
              <w:t>compliance.</w:t>
            </w:r>
          </w:p>
        </w:tc>
      </w:tr>
      <w:tr w:rsidR="002D700B" w:rsidRPr="005379D3" w14:paraId="30B26433" w14:textId="77777777" w:rsidTr="00A64B72">
        <w:trPr>
          <w:trHeight w:val="530"/>
        </w:trPr>
        <w:tc>
          <w:tcPr>
            <w:tcW w:w="3127" w:type="dxa"/>
          </w:tcPr>
          <w:p w14:paraId="63751F5F" w14:textId="69A3764A" w:rsidR="002D700B" w:rsidRDefault="002D700B" w:rsidP="002D700B">
            <w:pPr>
              <w:widowControl/>
              <w:autoSpaceDE/>
              <w:autoSpaceDN/>
              <w:adjustRightInd/>
              <w:ind w:left="-40"/>
              <w:rPr>
                <w:rFonts w:asciiTheme="minorHAnsi" w:hAnsiTheme="minorHAnsi" w:cstheme="minorHAnsi"/>
                <w:sz w:val="18"/>
                <w:szCs w:val="18"/>
              </w:rPr>
            </w:pPr>
            <w:r>
              <w:rPr>
                <w:rFonts w:asciiTheme="minorHAnsi" w:hAnsiTheme="minorHAnsi" w:cstheme="minorHAnsi"/>
                <w:sz w:val="18"/>
                <w:szCs w:val="18"/>
              </w:rPr>
              <w:lastRenderedPageBreak/>
              <w:t>DLR 3.7: By December 31, 2028, electricity sector’s cash deficit does not exceed TJS 11 billion.</w:t>
            </w:r>
          </w:p>
        </w:tc>
        <w:tc>
          <w:tcPr>
            <w:tcW w:w="1350" w:type="dxa"/>
          </w:tcPr>
          <w:p w14:paraId="1F415A67" w14:textId="1D177A62" w:rsidR="002D700B" w:rsidRPr="002D700B" w:rsidRDefault="002D700B" w:rsidP="002D700B">
            <w:pPr>
              <w:rPr>
                <w:rFonts w:asciiTheme="minorHAnsi" w:hAnsiTheme="minorHAnsi" w:cstheme="minorHAnsi"/>
                <w:sz w:val="18"/>
                <w:szCs w:val="18"/>
              </w:rPr>
            </w:pPr>
            <w:r>
              <w:rPr>
                <w:rFonts w:asciiTheme="minorHAnsi" w:hAnsiTheme="minorHAnsi" w:cstheme="minorHAnsi"/>
                <w:sz w:val="18"/>
                <w:szCs w:val="18"/>
              </w:rPr>
              <w:t>US$</w:t>
            </w:r>
            <w:r w:rsidRPr="002D700B">
              <w:rPr>
                <w:rFonts w:asciiTheme="minorHAnsi" w:hAnsiTheme="minorHAnsi" w:cstheme="minorHAnsi"/>
                <w:sz w:val="18"/>
                <w:szCs w:val="18"/>
              </w:rPr>
              <w:t>1,000,000</w:t>
            </w:r>
          </w:p>
        </w:tc>
        <w:tc>
          <w:tcPr>
            <w:tcW w:w="990" w:type="dxa"/>
          </w:tcPr>
          <w:p w14:paraId="2935E18F" w14:textId="3433ABE3" w:rsidR="002D700B" w:rsidRDefault="002D700B" w:rsidP="002D700B">
            <w:pPr>
              <w:rPr>
                <w:rFonts w:asciiTheme="minorHAnsi" w:hAnsiTheme="minorHAnsi" w:cstheme="minorHAnsi"/>
                <w:b/>
                <w:sz w:val="18"/>
                <w:szCs w:val="18"/>
              </w:rPr>
            </w:pPr>
            <w:r>
              <w:rPr>
                <w:rFonts w:asciiTheme="minorHAnsi" w:hAnsiTheme="minorHAnsi" w:cstheme="minorHAnsi"/>
                <w:b/>
                <w:sz w:val="18"/>
                <w:szCs w:val="18"/>
              </w:rPr>
              <w:t>-</w:t>
            </w:r>
          </w:p>
        </w:tc>
        <w:tc>
          <w:tcPr>
            <w:tcW w:w="1530" w:type="dxa"/>
          </w:tcPr>
          <w:p w14:paraId="131AF103" w14:textId="1779DA36" w:rsidR="002D700B" w:rsidRPr="00C2066A" w:rsidRDefault="002D700B" w:rsidP="002D700B">
            <w:pPr>
              <w:rPr>
                <w:rFonts w:asciiTheme="minorHAnsi" w:hAnsiTheme="minorHAnsi" w:cstheme="minorHAnsi"/>
                <w:sz w:val="18"/>
                <w:szCs w:val="18"/>
              </w:rPr>
            </w:pPr>
            <w:r>
              <w:rPr>
                <w:rFonts w:asciiTheme="minorHAnsi" w:hAnsiTheme="minorHAnsi" w:cstheme="minorHAnsi"/>
                <w:sz w:val="18"/>
                <w:szCs w:val="18"/>
              </w:rPr>
              <w:t>Dec. 31, 2028</w:t>
            </w:r>
          </w:p>
        </w:tc>
        <w:tc>
          <w:tcPr>
            <w:tcW w:w="2700" w:type="dxa"/>
          </w:tcPr>
          <w:p w14:paraId="0B9CAD33" w14:textId="3905523B" w:rsidR="002D700B" w:rsidRDefault="002D700B" w:rsidP="002D700B">
            <w:pPr>
              <w:rPr>
                <w:rFonts w:asciiTheme="minorHAnsi" w:hAnsiTheme="minorHAnsi" w:cstheme="minorHAnsi"/>
                <w:sz w:val="18"/>
                <w:szCs w:val="18"/>
              </w:rPr>
            </w:pPr>
            <w:r>
              <w:rPr>
                <w:rFonts w:asciiTheme="minorHAnsi" w:hAnsiTheme="minorHAnsi" w:cstheme="minorHAnsi"/>
                <w:sz w:val="18"/>
                <w:szCs w:val="18"/>
              </w:rPr>
              <w:t>Cash deficit not exceeding TJS 11 billion.</w:t>
            </w:r>
          </w:p>
        </w:tc>
        <w:tc>
          <w:tcPr>
            <w:tcW w:w="2430" w:type="dxa"/>
          </w:tcPr>
          <w:p w14:paraId="14AD3E58" w14:textId="77777777" w:rsidR="002D700B" w:rsidRPr="00681FFF" w:rsidRDefault="002D700B" w:rsidP="002D700B">
            <w:pPr>
              <w:rPr>
                <w:rFonts w:asciiTheme="minorHAnsi" w:hAnsiTheme="minorHAnsi" w:cstheme="minorHAnsi"/>
                <w:sz w:val="18"/>
                <w:szCs w:val="18"/>
              </w:rPr>
            </w:pPr>
          </w:p>
        </w:tc>
        <w:tc>
          <w:tcPr>
            <w:tcW w:w="2340" w:type="dxa"/>
          </w:tcPr>
          <w:p w14:paraId="553D6E04" w14:textId="1B2298E1" w:rsidR="002D700B" w:rsidRPr="00F12DC3" w:rsidRDefault="002D700B" w:rsidP="002D700B">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 </w:t>
            </w:r>
            <w:r w:rsidRPr="005379D3">
              <w:rPr>
                <w:rFonts w:asciiTheme="minorHAnsi" w:hAnsiTheme="minorHAnsi" w:cstheme="minorHAnsi"/>
                <w:sz w:val="18"/>
                <w:szCs w:val="18"/>
              </w:rPr>
              <w:t>disbursement for full compliance. No disbursement in case of partial or complete non-compliance.</w:t>
            </w:r>
          </w:p>
        </w:tc>
      </w:tr>
      <w:tr w:rsidR="002D700B" w:rsidRPr="005379D3" w14:paraId="40B61DE1" w14:textId="77777777" w:rsidTr="00A64B72">
        <w:trPr>
          <w:trHeight w:val="530"/>
        </w:trPr>
        <w:tc>
          <w:tcPr>
            <w:tcW w:w="3127" w:type="dxa"/>
          </w:tcPr>
          <w:p w14:paraId="4B0C6D1C" w14:textId="1FEC4994" w:rsidR="002D700B" w:rsidRDefault="002D700B" w:rsidP="002D700B">
            <w:pPr>
              <w:widowControl/>
              <w:autoSpaceDE/>
              <w:autoSpaceDN/>
              <w:adjustRightInd/>
              <w:ind w:left="-40"/>
              <w:rPr>
                <w:rFonts w:asciiTheme="minorHAnsi" w:hAnsiTheme="minorHAnsi" w:cstheme="minorHAnsi"/>
                <w:sz w:val="18"/>
                <w:szCs w:val="18"/>
              </w:rPr>
            </w:pPr>
            <w:r>
              <w:rPr>
                <w:rFonts w:asciiTheme="minorHAnsi" w:hAnsiTheme="minorHAnsi" w:cstheme="minorHAnsi"/>
                <w:sz w:val="18"/>
                <w:szCs w:val="18"/>
              </w:rPr>
              <w:t>DLR 3.8: By December 31, 2029, electricity sector’s cash deficit does not exceed TJS 7 billion.</w:t>
            </w:r>
          </w:p>
        </w:tc>
        <w:tc>
          <w:tcPr>
            <w:tcW w:w="1350" w:type="dxa"/>
          </w:tcPr>
          <w:p w14:paraId="36C2B8A5" w14:textId="733C004B" w:rsidR="002D700B" w:rsidRPr="002D700B" w:rsidRDefault="002D700B" w:rsidP="002D700B">
            <w:pPr>
              <w:rPr>
                <w:rFonts w:asciiTheme="minorHAnsi" w:hAnsiTheme="minorHAnsi" w:cstheme="minorHAnsi"/>
                <w:sz w:val="18"/>
                <w:szCs w:val="18"/>
              </w:rPr>
            </w:pPr>
            <w:r>
              <w:rPr>
                <w:rFonts w:asciiTheme="minorHAnsi" w:hAnsiTheme="minorHAnsi" w:cstheme="minorHAnsi"/>
                <w:sz w:val="18"/>
                <w:szCs w:val="18"/>
              </w:rPr>
              <w:t>US$</w:t>
            </w:r>
            <w:r w:rsidRPr="002D700B">
              <w:rPr>
                <w:rFonts w:asciiTheme="minorHAnsi" w:hAnsiTheme="minorHAnsi" w:cstheme="minorHAnsi"/>
                <w:sz w:val="18"/>
                <w:szCs w:val="18"/>
              </w:rPr>
              <w:t>1,000,000</w:t>
            </w:r>
          </w:p>
        </w:tc>
        <w:tc>
          <w:tcPr>
            <w:tcW w:w="990" w:type="dxa"/>
          </w:tcPr>
          <w:p w14:paraId="673253E0" w14:textId="0591E0C2" w:rsidR="002D700B" w:rsidRDefault="002D700B" w:rsidP="002D700B">
            <w:pPr>
              <w:rPr>
                <w:rFonts w:asciiTheme="minorHAnsi" w:hAnsiTheme="minorHAnsi" w:cstheme="minorHAnsi"/>
                <w:b/>
                <w:sz w:val="18"/>
                <w:szCs w:val="18"/>
              </w:rPr>
            </w:pPr>
            <w:r>
              <w:rPr>
                <w:rFonts w:asciiTheme="minorHAnsi" w:hAnsiTheme="minorHAnsi" w:cstheme="minorHAnsi"/>
                <w:b/>
                <w:sz w:val="18"/>
                <w:szCs w:val="18"/>
              </w:rPr>
              <w:t>-</w:t>
            </w:r>
          </w:p>
        </w:tc>
        <w:tc>
          <w:tcPr>
            <w:tcW w:w="1530" w:type="dxa"/>
          </w:tcPr>
          <w:p w14:paraId="10C8B296" w14:textId="09EC8AE8" w:rsidR="002D700B" w:rsidRPr="00C2066A" w:rsidRDefault="002D700B" w:rsidP="002D700B">
            <w:pPr>
              <w:rPr>
                <w:rFonts w:asciiTheme="minorHAnsi" w:hAnsiTheme="minorHAnsi" w:cstheme="minorHAnsi"/>
                <w:sz w:val="18"/>
                <w:szCs w:val="18"/>
              </w:rPr>
            </w:pPr>
            <w:r>
              <w:rPr>
                <w:rFonts w:asciiTheme="minorHAnsi" w:hAnsiTheme="minorHAnsi" w:cstheme="minorHAnsi"/>
                <w:sz w:val="18"/>
                <w:szCs w:val="18"/>
              </w:rPr>
              <w:t>Dec. 31, 2029</w:t>
            </w:r>
          </w:p>
        </w:tc>
        <w:tc>
          <w:tcPr>
            <w:tcW w:w="2700" w:type="dxa"/>
          </w:tcPr>
          <w:p w14:paraId="7E77E1C8" w14:textId="45173310" w:rsidR="002D700B" w:rsidRDefault="002D700B" w:rsidP="002D700B">
            <w:pPr>
              <w:rPr>
                <w:rFonts w:asciiTheme="minorHAnsi" w:hAnsiTheme="minorHAnsi" w:cstheme="minorHAnsi"/>
                <w:sz w:val="18"/>
                <w:szCs w:val="18"/>
              </w:rPr>
            </w:pPr>
            <w:r>
              <w:rPr>
                <w:rFonts w:asciiTheme="minorHAnsi" w:hAnsiTheme="minorHAnsi" w:cstheme="minorHAnsi"/>
                <w:sz w:val="18"/>
                <w:szCs w:val="18"/>
              </w:rPr>
              <w:t>Cash deficit not exceeding TJS 7 billion.</w:t>
            </w:r>
          </w:p>
        </w:tc>
        <w:tc>
          <w:tcPr>
            <w:tcW w:w="2430" w:type="dxa"/>
          </w:tcPr>
          <w:p w14:paraId="581DA5D3" w14:textId="5A248552" w:rsidR="002D700B" w:rsidRPr="00681FFF" w:rsidRDefault="002D700B" w:rsidP="002D700B">
            <w:pPr>
              <w:rPr>
                <w:rFonts w:asciiTheme="minorHAnsi" w:hAnsiTheme="minorHAnsi" w:cstheme="minorHAnsi"/>
                <w:sz w:val="18"/>
                <w:szCs w:val="18"/>
              </w:rPr>
            </w:pPr>
            <w:r>
              <w:rPr>
                <w:rFonts w:asciiTheme="minorHAnsi" w:hAnsiTheme="minorHAnsi" w:cstheme="minorHAnsi"/>
                <w:sz w:val="18"/>
                <w:szCs w:val="18"/>
              </w:rPr>
              <w:t>Any other lower value.</w:t>
            </w:r>
          </w:p>
        </w:tc>
        <w:tc>
          <w:tcPr>
            <w:tcW w:w="2340" w:type="dxa"/>
          </w:tcPr>
          <w:p w14:paraId="046F6659" w14:textId="67ADD123" w:rsidR="002D700B" w:rsidRPr="00F12DC3" w:rsidRDefault="002D700B" w:rsidP="002D700B">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 </w:t>
            </w:r>
            <w:r w:rsidRPr="005379D3">
              <w:rPr>
                <w:rFonts w:asciiTheme="minorHAnsi" w:hAnsiTheme="minorHAnsi" w:cstheme="minorHAnsi"/>
                <w:sz w:val="18"/>
                <w:szCs w:val="18"/>
              </w:rPr>
              <w:t>disbursement for full compliance. No disbursement in case of partial or complete non-compliance.</w:t>
            </w:r>
          </w:p>
        </w:tc>
      </w:tr>
      <w:tr w:rsidR="002D700B" w:rsidRPr="005379D3" w14:paraId="0D103418" w14:textId="77777777" w:rsidTr="00A64B72">
        <w:trPr>
          <w:trHeight w:val="530"/>
        </w:trPr>
        <w:tc>
          <w:tcPr>
            <w:tcW w:w="3127" w:type="dxa"/>
          </w:tcPr>
          <w:p w14:paraId="4204FF63" w14:textId="0B3DEBEA" w:rsidR="002D700B" w:rsidRDefault="002D700B" w:rsidP="002D700B">
            <w:pPr>
              <w:widowControl/>
              <w:autoSpaceDE/>
              <w:autoSpaceDN/>
              <w:adjustRightInd/>
              <w:ind w:left="-40"/>
              <w:rPr>
                <w:rFonts w:asciiTheme="minorHAnsi" w:hAnsiTheme="minorHAnsi" w:cstheme="minorHAnsi"/>
                <w:sz w:val="18"/>
                <w:szCs w:val="18"/>
              </w:rPr>
            </w:pPr>
            <w:r>
              <w:rPr>
                <w:rFonts w:asciiTheme="minorHAnsi" w:hAnsiTheme="minorHAnsi" w:cstheme="minorHAnsi"/>
                <w:sz w:val="18"/>
                <w:szCs w:val="18"/>
              </w:rPr>
              <w:t>DLR 3.9: By December 31, 2030, electricity sector’s cash deficit does not exceed TJS 2 billion.</w:t>
            </w:r>
          </w:p>
        </w:tc>
        <w:tc>
          <w:tcPr>
            <w:tcW w:w="1350" w:type="dxa"/>
          </w:tcPr>
          <w:p w14:paraId="54C64DC8" w14:textId="28CC2878" w:rsidR="002D700B" w:rsidRPr="002D700B" w:rsidRDefault="002D700B" w:rsidP="002D700B">
            <w:pPr>
              <w:rPr>
                <w:rFonts w:asciiTheme="minorHAnsi" w:hAnsiTheme="minorHAnsi" w:cstheme="minorHAnsi"/>
                <w:sz w:val="18"/>
                <w:szCs w:val="18"/>
              </w:rPr>
            </w:pPr>
            <w:r>
              <w:rPr>
                <w:rFonts w:asciiTheme="minorHAnsi" w:hAnsiTheme="minorHAnsi" w:cstheme="minorHAnsi"/>
                <w:sz w:val="18"/>
                <w:szCs w:val="18"/>
              </w:rPr>
              <w:t>US$</w:t>
            </w:r>
            <w:r w:rsidRPr="002D700B">
              <w:rPr>
                <w:rFonts w:asciiTheme="minorHAnsi" w:hAnsiTheme="minorHAnsi" w:cstheme="minorHAnsi"/>
                <w:sz w:val="18"/>
                <w:szCs w:val="18"/>
              </w:rPr>
              <w:t>1,000,000</w:t>
            </w:r>
          </w:p>
        </w:tc>
        <w:tc>
          <w:tcPr>
            <w:tcW w:w="990" w:type="dxa"/>
          </w:tcPr>
          <w:p w14:paraId="56A2E32C" w14:textId="18FDC025" w:rsidR="002D700B" w:rsidRDefault="002D700B" w:rsidP="002D700B">
            <w:pPr>
              <w:rPr>
                <w:rFonts w:asciiTheme="minorHAnsi" w:hAnsiTheme="minorHAnsi" w:cstheme="minorHAnsi"/>
                <w:b/>
                <w:sz w:val="18"/>
                <w:szCs w:val="18"/>
              </w:rPr>
            </w:pPr>
            <w:r>
              <w:rPr>
                <w:rFonts w:asciiTheme="minorHAnsi" w:hAnsiTheme="minorHAnsi" w:cstheme="minorHAnsi"/>
                <w:b/>
                <w:sz w:val="18"/>
                <w:szCs w:val="18"/>
              </w:rPr>
              <w:t>-</w:t>
            </w:r>
          </w:p>
        </w:tc>
        <w:tc>
          <w:tcPr>
            <w:tcW w:w="1530" w:type="dxa"/>
          </w:tcPr>
          <w:p w14:paraId="41F1EFF1" w14:textId="3928607D" w:rsidR="002D700B" w:rsidRPr="00C2066A" w:rsidRDefault="002D700B" w:rsidP="002D700B">
            <w:pPr>
              <w:rPr>
                <w:rFonts w:asciiTheme="minorHAnsi" w:hAnsiTheme="minorHAnsi" w:cstheme="minorHAnsi"/>
                <w:sz w:val="18"/>
                <w:szCs w:val="18"/>
              </w:rPr>
            </w:pPr>
            <w:r>
              <w:rPr>
                <w:rFonts w:asciiTheme="minorHAnsi" w:hAnsiTheme="minorHAnsi" w:cstheme="minorHAnsi"/>
                <w:sz w:val="18"/>
                <w:szCs w:val="18"/>
              </w:rPr>
              <w:t>Dec. 31, 2030</w:t>
            </w:r>
          </w:p>
        </w:tc>
        <w:tc>
          <w:tcPr>
            <w:tcW w:w="2700" w:type="dxa"/>
          </w:tcPr>
          <w:p w14:paraId="798ECC09" w14:textId="25011FEE" w:rsidR="002D700B" w:rsidRDefault="002D700B" w:rsidP="002D700B">
            <w:pPr>
              <w:rPr>
                <w:rFonts w:asciiTheme="minorHAnsi" w:hAnsiTheme="minorHAnsi" w:cstheme="minorHAnsi"/>
                <w:sz w:val="18"/>
                <w:szCs w:val="18"/>
              </w:rPr>
            </w:pPr>
            <w:r>
              <w:rPr>
                <w:rFonts w:asciiTheme="minorHAnsi" w:hAnsiTheme="minorHAnsi" w:cstheme="minorHAnsi"/>
                <w:sz w:val="18"/>
                <w:szCs w:val="18"/>
              </w:rPr>
              <w:t>Cash deficit not exceeding TJS 2 billion.</w:t>
            </w:r>
          </w:p>
        </w:tc>
        <w:tc>
          <w:tcPr>
            <w:tcW w:w="2430" w:type="dxa"/>
          </w:tcPr>
          <w:p w14:paraId="76366D27" w14:textId="5B75F67C" w:rsidR="002D700B" w:rsidRPr="00681FFF" w:rsidRDefault="002D700B" w:rsidP="002D700B">
            <w:pPr>
              <w:rPr>
                <w:rFonts w:asciiTheme="minorHAnsi" w:hAnsiTheme="minorHAnsi" w:cstheme="minorHAnsi"/>
                <w:sz w:val="18"/>
                <w:szCs w:val="18"/>
              </w:rPr>
            </w:pPr>
            <w:r>
              <w:rPr>
                <w:rFonts w:asciiTheme="minorHAnsi" w:hAnsiTheme="minorHAnsi" w:cstheme="minorHAnsi"/>
                <w:sz w:val="18"/>
                <w:szCs w:val="18"/>
              </w:rPr>
              <w:t>Any other lower value.</w:t>
            </w:r>
          </w:p>
        </w:tc>
        <w:tc>
          <w:tcPr>
            <w:tcW w:w="2340" w:type="dxa"/>
          </w:tcPr>
          <w:p w14:paraId="210662FC" w14:textId="0CD474F2" w:rsidR="002D700B" w:rsidRPr="00F12DC3" w:rsidRDefault="002D700B" w:rsidP="002D700B">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 </w:t>
            </w:r>
            <w:r w:rsidRPr="005379D3">
              <w:rPr>
                <w:rFonts w:asciiTheme="minorHAnsi" w:hAnsiTheme="minorHAnsi" w:cstheme="minorHAnsi"/>
                <w:sz w:val="18"/>
                <w:szCs w:val="18"/>
              </w:rPr>
              <w:t>disbursement for full compliance. No disbursement in case of partial or complete non-compliance.</w:t>
            </w:r>
          </w:p>
        </w:tc>
      </w:tr>
      <w:tr w:rsidR="002D700B" w:rsidRPr="005379D3" w14:paraId="483F0134" w14:textId="77777777" w:rsidTr="00A64B72">
        <w:trPr>
          <w:trHeight w:val="530"/>
        </w:trPr>
        <w:tc>
          <w:tcPr>
            <w:tcW w:w="3127" w:type="dxa"/>
          </w:tcPr>
          <w:p w14:paraId="0A4D28A4" w14:textId="25AB12D8" w:rsidR="002D700B" w:rsidRDefault="002D700B" w:rsidP="002D700B">
            <w:pPr>
              <w:widowControl/>
              <w:autoSpaceDE/>
              <w:autoSpaceDN/>
              <w:adjustRightInd/>
              <w:ind w:left="-40"/>
              <w:rPr>
                <w:rFonts w:asciiTheme="minorHAnsi" w:hAnsiTheme="minorHAnsi" w:cstheme="minorHAnsi"/>
                <w:sz w:val="18"/>
                <w:szCs w:val="18"/>
              </w:rPr>
            </w:pPr>
            <w:r>
              <w:rPr>
                <w:rFonts w:asciiTheme="minorHAnsi" w:hAnsiTheme="minorHAnsi" w:cstheme="minorHAnsi"/>
                <w:sz w:val="18"/>
                <w:szCs w:val="18"/>
              </w:rPr>
              <w:t>DLR 3.10: By December 31, 2031, electricity sector does not have a cash deficit</w:t>
            </w:r>
          </w:p>
        </w:tc>
        <w:tc>
          <w:tcPr>
            <w:tcW w:w="1350" w:type="dxa"/>
          </w:tcPr>
          <w:p w14:paraId="4D1CDEDD" w14:textId="1F1C9146" w:rsidR="002D700B" w:rsidRPr="002D700B" w:rsidRDefault="002D700B" w:rsidP="002D700B">
            <w:pPr>
              <w:rPr>
                <w:rFonts w:asciiTheme="minorHAnsi" w:hAnsiTheme="minorHAnsi" w:cstheme="minorHAnsi"/>
                <w:sz w:val="18"/>
                <w:szCs w:val="18"/>
              </w:rPr>
            </w:pPr>
            <w:r>
              <w:rPr>
                <w:rFonts w:asciiTheme="minorHAnsi" w:hAnsiTheme="minorHAnsi" w:cstheme="minorHAnsi"/>
                <w:sz w:val="18"/>
                <w:szCs w:val="18"/>
              </w:rPr>
              <w:t>US$</w:t>
            </w:r>
            <w:r w:rsidRPr="002D700B">
              <w:rPr>
                <w:rFonts w:asciiTheme="minorHAnsi" w:hAnsiTheme="minorHAnsi" w:cstheme="minorHAnsi"/>
                <w:sz w:val="18"/>
                <w:szCs w:val="18"/>
              </w:rPr>
              <w:t>1,000,000</w:t>
            </w:r>
          </w:p>
        </w:tc>
        <w:tc>
          <w:tcPr>
            <w:tcW w:w="990" w:type="dxa"/>
          </w:tcPr>
          <w:p w14:paraId="679EA278" w14:textId="471B8BD9" w:rsidR="002D700B" w:rsidRDefault="002D700B" w:rsidP="002D700B">
            <w:pPr>
              <w:rPr>
                <w:rFonts w:asciiTheme="minorHAnsi" w:hAnsiTheme="minorHAnsi" w:cstheme="minorHAnsi"/>
                <w:b/>
                <w:sz w:val="18"/>
                <w:szCs w:val="18"/>
              </w:rPr>
            </w:pPr>
            <w:r>
              <w:rPr>
                <w:rFonts w:asciiTheme="minorHAnsi" w:hAnsiTheme="minorHAnsi" w:cstheme="minorHAnsi"/>
                <w:b/>
                <w:sz w:val="18"/>
                <w:szCs w:val="18"/>
              </w:rPr>
              <w:t>-</w:t>
            </w:r>
          </w:p>
        </w:tc>
        <w:tc>
          <w:tcPr>
            <w:tcW w:w="1530" w:type="dxa"/>
          </w:tcPr>
          <w:p w14:paraId="4BCBBBCC" w14:textId="19F876DF" w:rsidR="002D700B" w:rsidRPr="00C2066A" w:rsidRDefault="002D700B" w:rsidP="002D700B">
            <w:pPr>
              <w:rPr>
                <w:rFonts w:asciiTheme="minorHAnsi" w:hAnsiTheme="minorHAnsi" w:cstheme="minorHAnsi"/>
                <w:sz w:val="18"/>
                <w:szCs w:val="18"/>
              </w:rPr>
            </w:pPr>
            <w:r>
              <w:rPr>
                <w:rFonts w:asciiTheme="minorHAnsi" w:hAnsiTheme="minorHAnsi" w:cstheme="minorHAnsi"/>
                <w:sz w:val="18"/>
                <w:szCs w:val="18"/>
              </w:rPr>
              <w:t>Dec. 31, 2031</w:t>
            </w:r>
          </w:p>
        </w:tc>
        <w:tc>
          <w:tcPr>
            <w:tcW w:w="2700" w:type="dxa"/>
          </w:tcPr>
          <w:p w14:paraId="61F051A8" w14:textId="59BDAA3F" w:rsidR="002D700B" w:rsidRDefault="002D700B" w:rsidP="002D700B">
            <w:pPr>
              <w:rPr>
                <w:rFonts w:asciiTheme="minorHAnsi" w:hAnsiTheme="minorHAnsi" w:cstheme="minorHAnsi"/>
                <w:sz w:val="18"/>
                <w:szCs w:val="18"/>
              </w:rPr>
            </w:pPr>
            <w:r>
              <w:rPr>
                <w:rFonts w:asciiTheme="minorHAnsi" w:hAnsiTheme="minorHAnsi" w:cstheme="minorHAnsi"/>
                <w:sz w:val="18"/>
                <w:szCs w:val="18"/>
              </w:rPr>
              <w:t>No cash deficit.</w:t>
            </w:r>
          </w:p>
        </w:tc>
        <w:tc>
          <w:tcPr>
            <w:tcW w:w="2430" w:type="dxa"/>
          </w:tcPr>
          <w:p w14:paraId="5B797DFC" w14:textId="382CB42E" w:rsidR="002D700B" w:rsidRPr="00681FFF" w:rsidRDefault="002D700B" w:rsidP="002D700B">
            <w:pPr>
              <w:rPr>
                <w:rFonts w:asciiTheme="minorHAnsi" w:hAnsiTheme="minorHAnsi" w:cstheme="minorHAnsi"/>
                <w:sz w:val="18"/>
                <w:szCs w:val="18"/>
              </w:rPr>
            </w:pPr>
            <w:r>
              <w:rPr>
                <w:rFonts w:asciiTheme="minorHAnsi" w:hAnsiTheme="minorHAnsi" w:cstheme="minorHAnsi"/>
                <w:sz w:val="18"/>
                <w:szCs w:val="18"/>
              </w:rPr>
              <w:t>The electricity sector has a net profit.</w:t>
            </w:r>
          </w:p>
        </w:tc>
        <w:tc>
          <w:tcPr>
            <w:tcW w:w="2340" w:type="dxa"/>
          </w:tcPr>
          <w:p w14:paraId="5EE31239" w14:textId="272554E8" w:rsidR="002D700B" w:rsidRPr="00F12DC3" w:rsidRDefault="002D700B" w:rsidP="002D700B">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 </w:t>
            </w:r>
            <w:r w:rsidRPr="005379D3">
              <w:rPr>
                <w:rFonts w:asciiTheme="minorHAnsi" w:hAnsiTheme="minorHAnsi" w:cstheme="minorHAnsi"/>
                <w:sz w:val="18"/>
                <w:szCs w:val="18"/>
              </w:rPr>
              <w:t>disbursement for full compliance. No disbursement in case of partial or complete non-compliance.</w:t>
            </w:r>
          </w:p>
        </w:tc>
      </w:tr>
      <w:tr w:rsidR="002D700B" w:rsidRPr="005379D3" w14:paraId="3CC6BA3A" w14:textId="77777777" w:rsidTr="00A64B72">
        <w:trPr>
          <w:trHeight w:val="440"/>
        </w:trPr>
        <w:tc>
          <w:tcPr>
            <w:tcW w:w="3127" w:type="dxa"/>
          </w:tcPr>
          <w:p w14:paraId="242D4699" w14:textId="644745B3" w:rsidR="002D700B" w:rsidRPr="00E927F5" w:rsidRDefault="002D700B" w:rsidP="002D700B">
            <w:pPr>
              <w:ind w:left="-40"/>
              <w:rPr>
                <w:rFonts w:asciiTheme="minorHAnsi" w:eastAsia="Times New Roman" w:hAnsiTheme="minorHAnsi" w:cstheme="minorHAnsi"/>
                <w:b/>
                <w:sz w:val="18"/>
                <w:szCs w:val="18"/>
              </w:rPr>
            </w:pPr>
            <w:r w:rsidRPr="00E927F5">
              <w:rPr>
                <w:rFonts w:asciiTheme="minorHAnsi" w:eastAsia="Times New Roman" w:hAnsiTheme="minorHAnsi" w:cstheme="minorHAnsi"/>
                <w:b/>
                <w:color w:val="auto"/>
                <w:sz w:val="18"/>
                <w:szCs w:val="18"/>
              </w:rPr>
              <w:t>DLI 5: Adequate electricity supply</w:t>
            </w:r>
            <w:r>
              <w:rPr>
                <w:rFonts w:asciiTheme="minorHAnsi" w:eastAsia="Times New Roman" w:hAnsiTheme="minorHAnsi" w:cstheme="minorHAnsi"/>
                <w:b/>
                <w:color w:val="auto"/>
                <w:sz w:val="18"/>
                <w:szCs w:val="18"/>
              </w:rPr>
              <w:t xml:space="preserve"> is received by </w:t>
            </w:r>
            <w:proofErr w:type="gramStart"/>
            <w:r>
              <w:rPr>
                <w:rFonts w:asciiTheme="minorHAnsi" w:eastAsia="Times New Roman" w:hAnsiTheme="minorHAnsi" w:cstheme="minorHAnsi"/>
                <w:b/>
                <w:color w:val="auto"/>
                <w:sz w:val="18"/>
                <w:szCs w:val="18"/>
              </w:rPr>
              <w:t>BT</w:t>
            </w:r>
            <w:proofErr w:type="gramEnd"/>
            <w:r w:rsidRPr="00E927F5">
              <w:rPr>
                <w:rFonts w:asciiTheme="minorHAnsi" w:eastAsia="Times New Roman" w:hAnsiTheme="minorHAnsi" w:cstheme="minorHAnsi"/>
                <w:b/>
                <w:color w:val="auto"/>
                <w:sz w:val="18"/>
                <w:szCs w:val="18"/>
              </w:rPr>
              <w:t xml:space="preserve"> </w:t>
            </w:r>
            <w:r w:rsidR="00E07CA2">
              <w:rPr>
                <w:rFonts w:asciiTheme="minorHAnsi" w:eastAsia="Times New Roman" w:hAnsiTheme="minorHAnsi" w:cstheme="minorHAnsi"/>
                <w:b/>
                <w:color w:val="auto"/>
                <w:sz w:val="18"/>
                <w:szCs w:val="18"/>
              </w:rPr>
              <w:t xml:space="preserve">or the Designated Off-Taker </w:t>
            </w:r>
            <w:r>
              <w:rPr>
                <w:rFonts w:asciiTheme="minorHAnsi" w:eastAsia="Times New Roman" w:hAnsiTheme="minorHAnsi" w:cstheme="minorHAnsi"/>
                <w:b/>
                <w:color w:val="auto"/>
                <w:sz w:val="18"/>
                <w:szCs w:val="18"/>
              </w:rPr>
              <w:t>from Sangtuda-1 power plant</w:t>
            </w:r>
            <w:r w:rsidR="00E07CA2">
              <w:rPr>
                <w:rFonts w:asciiTheme="minorHAnsi" w:eastAsia="Times New Roman" w:hAnsiTheme="minorHAnsi" w:cstheme="minorHAnsi"/>
                <w:b/>
                <w:color w:val="auto"/>
                <w:sz w:val="18"/>
                <w:szCs w:val="18"/>
              </w:rPr>
              <w:t xml:space="preserve"> </w:t>
            </w:r>
          </w:p>
        </w:tc>
        <w:tc>
          <w:tcPr>
            <w:tcW w:w="1350" w:type="dxa"/>
          </w:tcPr>
          <w:p w14:paraId="77FA32A5" w14:textId="0F64D3B8" w:rsidR="002D700B" w:rsidRPr="00FC034E" w:rsidRDefault="002D700B" w:rsidP="002D700B">
            <w:pPr>
              <w:rPr>
                <w:rFonts w:asciiTheme="minorHAnsi" w:hAnsiTheme="minorHAnsi" w:cstheme="minorHAnsi"/>
                <w:b/>
                <w:sz w:val="18"/>
                <w:szCs w:val="18"/>
              </w:rPr>
            </w:pPr>
            <w:r w:rsidRPr="00FC034E">
              <w:rPr>
                <w:rFonts w:asciiTheme="minorHAnsi" w:hAnsiTheme="minorHAnsi" w:cstheme="minorHAnsi"/>
                <w:b/>
                <w:sz w:val="18"/>
                <w:szCs w:val="18"/>
              </w:rPr>
              <w:t>US$</w:t>
            </w:r>
            <w:r w:rsidR="00DF440E">
              <w:rPr>
                <w:rFonts w:asciiTheme="minorHAnsi" w:hAnsiTheme="minorHAnsi" w:cstheme="minorHAnsi"/>
                <w:b/>
                <w:sz w:val="18"/>
                <w:szCs w:val="18"/>
              </w:rPr>
              <w:t>3</w:t>
            </w:r>
            <w:r w:rsidRPr="00FC034E">
              <w:rPr>
                <w:rFonts w:asciiTheme="minorHAnsi" w:hAnsiTheme="minorHAnsi" w:cstheme="minorHAnsi"/>
                <w:b/>
                <w:sz w:val="18"/>
                <w:szCs w:val="18"/>
              </w:rPr>
              <w:t>,000,000</w:t>
            </w:r>
          </w:p>
        </w:tc>
        <w:tc>
          <w:tcPr>
            <w:tcW w:w="990" w:type="dxa"/>
          </w:tcPr>
          <w:p w14:paraId="5475E6B1" w14:textId="77777777" w:rsidR="002D700B" w:rsidRPr="008B58B6" w:rsidRDefault="002D700B" w:rsidP="002D700B">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4A1FECCA" w14:textId="77777777" w:rsidR="002D700B" w:rsidRPr="005379D3" w:rsidRDefault="002D700B" w:rsidP="00CB0465">
            <w:pPr>
              <w:pStyle w:val="ListParagraph"/>
              <w:widowControl/>
              <w:numPr>
                <w:ilvl w:val="0"/>
                <w:numId w:val="21"/>
              </w:numPr>
              <w:autoSpaceDE/>
              <w:autoSpaceDN/>
              <w:adjustRightInd/>
              <w:ind w:left="50" w:hanging="90"/>
              <w:rPr>
                <w:rFonts w:asciiTheme="minorHAnsi" w:hAnsiTheme="minorHAnsi" w:cstheme="minorHAnsi"/>
                <w:sz w:val="18"/>
                <w:szCs w:val="18"/>
              </w:rPr>
            </w:pPr>
            <w:r>
              <w:rPr>
                <w:rFonts w:asciiTheme="minorHAnsi" w:hAnsiTheme="minorHAnsi" w:cstheme="minorHAnsi"/>
                <w:sz w:val="18"/>
                <w:szCs w:val="18"/>
              </w:rPr>
              <w:t>For 1</w:t>
            </w:r>
            <w:r>
              <w:rPr>
                <w:rFonts w:asciiTheme="minorHAnsi" w:hAnsiTheme="minorHAnsi" w:cstheme="minorHAnsi"/>
                <w:sz w:val="18"/>
                <w:szCs w:val="18"/>
                <w:vertAlign w:val="superscript"/>
              </w:rPr>
              <w:t>st</w:t>
            </w:r>
            <w:r w:rsidRPr="005379D3">
              <w:rPr>
                <w:rFonts w:asciiTheme="minorHAnsi" w:hAnsiTheme="minorHAnsi" w:cstheme="minorHAnsi"/>
                <w:sz w:val="18"/>
                <w:szCs w:val="18"/>
              </w:rPr>
              <w:t xml:space="preserve"> semester of 20</w:t>
            </w:r>
            <w:r>
              <w:rPr>
                <w:rFonts w:asciiTheme="minorHAnsi" w:hAnsiTheme="minorHAnsi" w:cstheme="minorHAnsi"/>
                <w:sz w:val="18"/>
                <w:szCs w:val="18"/>
              </w:rPr>
              <w:t>20</w:t>
            </w:r>
            <w:r w:rsidRPr="005379D3">
              <w:rPr>
                <w:rFonts w:asciiTheme="minorHAnsi" w:hAnsiTheme="minorHAnsi" w:cstheme="minorHAnsi"/>
                <w:sz w:val="18"/>
                <w:szCs w:val="18"/>
              </w:rPr>
              <w:t xml:space="preserve">: </w:t>
            </w:r>
            <w:r>
              <w:rPr>
                <w:rFonts w:asciiTheme="minorHAnsi" w:hAnsiTheme="minorHAnsi" w:cstheme="minorHAnsi"/>
                <w:sz w:val="18"/>
                <w:szCs w:val="18"/>
              </w:rPr>
              <w:t>June</w:t>
            </w:r>
            <w:r w:rsidRPr="005379D3">
              <w:rPr>
                <w:rFonts w:asciiTheme="minorHAnsi" w:hAnsiTheme="minorHAnsi" w:cstheme="minorHAnsi"/>
                <w:sz w:val="18"/>
                <w:szCs w:val="18"/>
              </w:rPr>
              <w:t xml:space="preserve"> 3</w:t>
            </w:r>
            <w:r>
              <w:rPr>
                <w:rFonts w:asciiTheme="minorHAnsi" w:hAnsiTheme="minorHAnsi" w:cstheme="minorHAnsi"/>
                <w:sz w:val="18"/>
                <w:szCs w:val="18"/>
              </w:rPr>
              <w:t>0</w:t>
            </w:r>
            <w:r w:rsidRPr="005379D3">
              <w:rPr>
                <w:rFonts w:asciiTheme="minorHAnsi" w:hAnsiTheme="minorHAnsi" w:cstheme="minorHAnsi"/>
                <w:sz w:val="18"/>
                <w:szCs w:val="18"/>
              </w:rPr>
              <w:t>, 20</w:t>
            </w:r>
            <w:r>
              <w:rPr>
                <w:rFonts w:asciiTheme="minorHAnsi" w:hAnsiTheme="minorHAnsi" w:cstheme="minorHAnsi"/>
                <w:sz w:val="18"/>
                <w:szCs w:val="18"/>
              </w:rPr>
              <w:t>20.</w:t>
            </w:r>
          </w:p>
          <w:p w14:paraId="45CBEF14" w14:textId="77777777" w:rsidR="002D700B" w:rsidRPr="005379D3" w:rsidRDefault="002D700B" w:rsidP="00CB0465">
            <w:pPr>
              <w:pStyle w:val="ListParagraph"/>
              <w:widowControl/>
              <w:numPr>
                <w:ilvl w:val="0"/>
                <w:numId w:val="21"/>
              </w:numPr>
              <w:autoSpaceDE/>
              <w:autoSpaceDN/>
              <w:adjustRightInd/>
              <w:ind w:left="50" w:hanging="90"/>
              <w:rPr>
                <w:rFonts w:asciiTheme="minorHAnsi" w:hAnsiTheme="minorHAnsi" w:cstheme="minorHAnsi"/>
                <w:sz w:val="18"/>
                <w:szCs w:val="18"/>
              </w:rPr>
            </w:pPr>
            <w:r w:rsidRPr="005379D3">
              <w:rPr>
                <w:rFonts w:asciiTheme="minorHAnsi" w:hAnsiTheme="minorHAnsi" w:cstheme="minorHAnsi"/>
                <w:sz w:val="18"/>
                <w:szCs w:val="18"/>
              </w:rPr>
              <w:t>For 2</w:t>
            </w:r>
            <w:r w:rsidRPr="005379D3">
              <w:rPr>
                <w:rFonts w:asciiTheme="minorHAnsi" w:hAnsiTheme="minorHAnsi" w:cstheme="minorHAnsi"/>
                <w:sz w:val="18"/>
                <w:szCs w:val="18"/>
                <w:vertAlign w:val="superscript"/>
              </w:rPr>
              <w:t>nd</w:t>
            </w:r>
            <w:r w:rsidRPr="005379D3">
              <w:rPr>
                <w:rFonts w:asciiTheme="minorHAnsi" w:hAnsiTheme="minorHAnsi" w:cstheme="minorHAnsi"/>
                <w:sz w:val="18"/>
                <w:szCs w:val="18"/>
              </w:rPr>
              <w:t xml:space="preserve"> semester of 2020: Dec. 31, 2020</w:t>
            </w:r>
            <w:r>
              <w:rPr>
                <w:rFonts w:asciiTheme="minorHAnsi" w:hAnsiTheme="minorHAnsi" w:cstheme="minorHAnsi"/>
                <w:sz w:val="18"/>
                <w:szCs w:val="18"/>
              </w:rPr>
              <w:t>.</w:t>
            </w:r>
          </w:p>
          <w:p w14:paraId="3B9FA91C" w14:textId="77777777" w:rsidR="002D700B" w:rsidRDefault="002D700B" w:rsidP="00CB0465">
            <w:pPr>
              <w:pStyle w:val="ListParagraph"/>
              <w:widowControl/>
              <w:numPr>
                <w:ilvl w:val="0"/>
                <w:numId w:val="21"/>
              </w:numPr>
              <w:autoSpaceDE/>
              <w:autoSpaceDN/>
              <w:adjustRightInd/>
              <w:ind w:left="50" w:hanging="90"/>
              <w:rPr>
                <w:rFonts w:asciiTheme="minorHAnsi" w:hAnsiTheme="minorHAnsi" w:cstheme="minorHAnsi"/>
                <w:sz w:val="18"/>
                <w:szCs w:val="18"/>
              </w:rPr>
            </w:pPr>
            <w:r>
              <w:rPr>
                <w:rFonts w:asciiTheme="minorHAnsi" w:hAnsiTheme="minorHAnsi" w:cstheme="minorHAnsi"/>
                <w:sz w:val="18"/>
                <w:szCs w:val="18"/>
              </w:rPr>
              <w:t>For 1</w:t>
            </w:r>
            <w:r w:rsidRPr="001110CB">
              <w:rPr>
                <w:rFonts w:asciiTheme="minorHAnsi" w:hAnsiTheme="minorHAnsi" w:cstheme="minorHAnsi"/>
                <w:sz w:val="18"/>
                <w:szCs w:val="18"/>
                <w:vertAlign w:val="superscript"/>
              </w:rPr>
              <w:t>st</w:t>
            </w:r>
            <w:r>
              <w:rPr>
                <w:rFonts w:asciiTheme="minorHAnsi" w:hAnsiTheme="minorHAnsi" w:cstheme="minorHAnsi"/>
                <w:sz w:val="18"/>
                <w:szCs w:val="18"/>
              </w:rPr>
              <w:t xml:space="preserve"> semester of 2021: June 30, 2021.</w:t>
            </w:r>
          </w:p>
          <w:p w14:paraId="77275EA7" w14:textId="77777777" w:rsidR="002D700B" w:rsidRPr="005379D3" w:rsidRDefault="002D700B" w:rsidP="00CB0465">
            <w:pPr>
              <w:pStyle w:val="ListParagraph"/>
              <w:widowControl/>
              <w:numPr>
                <w:ilvl w:val="0"/>
                <w:numId w:val="21"/>
              </w:numPr>
              <w:autoSpaceDE/>
              <w:autoSpaceDN/>
              <w:adjustRightInd/>
              <w:ind w:left="50" w:hanging="90"/>
              <w:rPr>
                <w:rFonts w:asciiTheme="minorHAnsi" w:hAnsiTheme="minorHAnsi" w:cstheme="minorHAnsi"/>
                <w:sz w:val="18"/>
                <w:szCs w:val="18"/>
              </w:rPr>
            </w:pPr>
            <w:r w:rsidRPr="005379D3">
              <w:rPr>
                <w:rFonts w:asciiTheme="minorHAnsi" w:hAnsiTheme="minorHAnsi" w:cstheme="minorHAnsi"/>
                <w:sz w:val="18"/>
                <w:szCs w:val="18"/>
              </w:rPr>
              <w:t>For 2</w:t>
            </w:r>
            <w:r w:rsidRPr="005379D3">
              <w:rPr>
                <w:rFonts w:asciiTheme="minorHAnsi" w:hAnsiTheme="minorHAnsi" w:cstheme="minorHAnsi"/>
                <w:sz w:val="18"/>
                <w:szCs w:val="18"/>
                <w:vertAlign w:val="superscript"/>
              </w:rPr>
              <w:t>nd</w:t>
            </w:r>
            <w:r w:rsidRPr="005379D3">
              <w:rPr>
                <w:rFonts w:asciiTheme="minorHAnsi" w:hAnsiTheme="minorHAnsi" w:cstheme="minorHAnsi"/>
                <w:sz w:val="18"/>
                <w:szCs w:val="18"/>
              </w:rPr>
              <w:t xml:space="preserve"> semester of 2021: Dec. 31, 2021</w:t>
            </w:r>
            <w:r>
              <w:rPr>
                <w:rFonts w:asciiTheme="minorHAnsi" w:hAnsiTheme="minorHAnsi" w:cstheme="minorHAnsi"/>
                <w:sz w:val="18"/>
                <w:szCs w:val="18"/>
              </w:rPr>
              <w:t>.</w:t>
            </w:r>
          </w:p>
          <w:p w14:paraId="3C671172" w14:textId="77777777" w:rsidR="002D700B" w:rsidRPr="005379D3" w:rsidRDefault="002D700B" w:rsidP="00CB0465">
            <w:pPr>
              <w:pStyle w:val="ListParagraph"/>
              <w:widowControl/>
              <w:numPr>
                <w:ilvl w:val="0"/>
                <w:numId w:val="21"/>
              </w:numPr>
              <w:autoSpaceDE/>
              <w:autoSpaceDN/>
              <w:adjustRightInd/>
              <w:ind w:left="50" w:hanging="90"/>
              <w:rPr>
                <w:rFonts w:asciiTheme="minorHAnsi" w:hAnsiTheme="minorHAnsi" w:cstheme="minorHAnsi"/>
                <w:sz w:val="18"/>
                <w:szCs w:val="18"/>
              </w:rPr>
            </w:pPr>
            <w:r w:rsidRPr="005379D3">
              <w:rPr>
                <w:rFonts w:asciiTheme="minorHAnsi" w:hAnsiTheme="minorHAnsi" w:cstheme="minorHAnsi"/>
                <w:sz w:val="18"/>
                <w:szCs w:val="18"/>
              </w:rPr>
              <w:lastRenderedPageBreak/>
              <w:t>For 2022: Dec. 31, 2022</w:t>
            </w:r>
            <w:r>
              <w:rPr>
                <w:rFonts w:asciiTheme="minorHAnsi" w:hAnsiTheme="minorHAnsi" w:cstheme="minorHAnsi"/>
                <w:sz w:val="18"/>
                <w:szCs w:val="18"/>
              </w:rPr>
              <w:t>.</w:t>
            </w:r>
          </w:p>
          <w:p w14:paraId="59152817" w14:textId="77777777" w:rsidR="002D700B" w:rsidRPr="005379D3" w:rsidRDefault="002D700B" w:rsidP="00CB0465">
            <w:pPr>
              <w:pStyle w:val="ListParagraph"/>
              <w:widowControl/>
              <w:numPr>
                <w:ilvl w:val="0"/>
                <w:numId w:val="21"/>
              </w:numPr>
              <w:autoSpaceDE/>
              <w:autoSpaceDN/>
              <w:adjustRightInd/>
              <w:ind w:left="50" w:hanging="90"/>
              <w:rPr>
                <w:rFonts w:asciiTheme="minorHAnsi" w:hAnsiTheme="minorHAnsi" w:cstheme="minorHAnsi"/>
                <w:sz w:val="18"/>
                <w:szCs w:val="18"/>
              </w:rPr>
            </w:pPr>
            <w:r w:rsidRPr="005379D3">
              <w:rPr>
                <w:rFonts w:asciiTheme="minorHAnsi" w:hAnsiTheme="minorHAnsi" w:cstheme="minorHAnsi"/>
                <w:sz w:val="18"/>
                <w:szCs w:val="18"/>
              </w:rPr>
              <w:t>For 2023: Dec. 31, 2023</w:t>
            </w:r>
            <w:r>
              <w:rPr>
                <w:rFonts w:asciiTheme="minorHAnsi" w:hAnsiTheme="minorHAnsi" w:cstheme="minorHAnsi"/>
                <w:sz w:val="18"/>
                <w:szCs w:val="18"/>
              </w:rPr>
              <w:t>.</w:t>
            </w:r>
          </w:p>
          <w:p w14:paraId="1BAFE6DB" w14:textId="77777777" w:rsidR="002D700B" w:rsidRPr="005379D3" w:rsidRDefault="002D700B" w:rsidP="00CB0465">
            <w:pPr>
              <w:pStyle w:val="ListParagraph"/>
              <w:widowControl/>
              <w:numPr>
                <w:ilvl w:val="0"/>
                <w:numId w:val="21"/>
              </w:numPr>
              <w:autoSpaceDE/>
              <w:autoSpaceDN/>
              <w:adjustRightInd/>
              <w:ind w:left="50" w:hanging="90"/>
              <w:rPr>
                <w:rFonts w:asciiTheme="minorHAnsi" w:hAnsiTheme="minorHAnsi" w:cstheme="minorHAnsi"/>
                <w:sz w:val="18"/>
                <w:szCs w:val="18"/>
              </w:rPr>
            </w:pPr>
            <w:r w:rsidRPr="005379D3">
              <w:rPr>
                <w:rFonts w:asciiTheme="minorHAnsi" w:hAnsiTheme="minorHAnsi" w:cstheme="minorHAnsi"/>
                <w:sz w:val="18"/>
                <w:szCs w:val="18"/>
              </w:rPr>
              <w:t>For 2024: Dec. 31, 2024</w:t>
            </w:r>
            <w:r>
              <w:rPr>
                <w:rFonts w:asciiTheme="minorHAnsi" w:hAnsiTheme="minorHAnsi" w:cstheme="minorHAnsi"/>
                <w:sz w:val="18"/>
                <w:szCs w:val="18"/>
              </w:rPr>
              <w:t>.</w:t>
            </w:r>
          </w:p>
          <w:p w14:paraId="7E6DEC1A" w14:textId="77777777" w:rsidR="002D700B" w:rsidRDefault="002D700B" w:rsidP="00CB0465">
            <w:pPr>
              <w:pStyle w:val="ListParagraph"/>
              <w:widowControl/>
              <w:numPr>
                <w:ilvl w:val="0"/>
                <w:numId w:val="21"/>
              </w:numPr>
              <w:autoSpaceDE/>
              <w:autoSpaceDN/>
              <w:adjustRightInd/>
              <w:ind w:left="50" w:hanging="90"/>
              <w:rPr>
                <w:rFonts w:asciiTheme="minorHAnsi" w:hAnsiTheme="minorHAnsi" w:cstheme="minorHAnsi"/>
                <w:sz w:val="18"/>
                <w:szCs w:val="18"/>
              </w:rPr>
            </w:pPr>
            <w:r w:rsidRPr="005379D3">
              <w:rPr>
                <w:rFonts w:asciiTheme="minorHAnsi" w:hAnsiTheme="minorHAnsi" w:cstheme="minorHAnsi"/>
                <w:sz w:val="18"/>
                <w:szCs w:val="18"/>
              </w:rPr>
              <w:t>For 2025: Dec. 31, 2025.</w:t>
            </w:r>
          </w:p>
          <w:p w14:paraId="711126CB" w14:textId="77777777" w:rsidR="002D700B" w:rsidRDefault="002D700B" w:rsidP="00CB0465">
            <w:pPr>
              <w:pStyle w:val="ListParagraph"/>
              <w:widowControl/>
              <w:numPr>
                <w:ilvl w:val="0"/>
                <w:numId w:val="21"/>
              </w:numPr>
              <w:autoSpaceDE/>
              <w:autoSpaceDN/>
              <w:adjustRightInd/>
              <w:ind w:left="50" w:hanging="90"/>
              <w:rPr>
                <w:rFonts w:asciiTheme="minorHAnsi" w:hAnsiTheme="minorHAnsi" w:cstheme="minorHAnsi"/>
                <w:sz w:val="18"/>
                <w:szCs w:val="18"/>
              </w:rPr>
            </w:pPr>
            <w:r>
              <w:rPr>
                <w:rFonts w:asciiTheme="minorHAnsi" w:hAnsiTheme="minorHAnsi" w:cstheme="minorHAnsi"/>
                <w:sz w:val="18"/>
                <w:szCs w:val="18"/>
              </w:rPr>
              <w:t>For 2026: Dec. 2026</w:t>
            </w:r>
          </w:p>
          <w:p w14:paraId="668817C3" w14:textId="3F7E9CA9" w:rsidR="002D700B" w:rsidRDefault="002D700B" w:rsidP="00CB0465">
            <w:pPr>
              <w:pStyle w:val="ListParagraph"/>
              <w:widowControl/>
              <w:numPr>
                <w:ilvl w:val="0"/>
                <w:numId w:val="21"/>
              </w:numPr>
              <w:autoSpaceDE/>
              <w:autoSpaceDN/>
              <w:adjustRightInd/>
              <w:ind w:left="50" w:hanging="90"/>
              <w:rPr>
                <w:rFonts w:asciiTheme="minorHAnsi" w:hAnsiTheme="minorHAnsi" w:cstheme="minorHAnsi"/>
                <w:sz w:val="18"/>
                <w:szCs w:val="18"/>
              </w:rPr>
            </w:pPr>
            <w:r>
              <w:rPr>
                <w:rFonts w:asciiTheme="minorHAnsi" w:hAnsiTheme="minorHAnsi" w:cstheme="minorHAnsi"/>
                <w:sz w:val="18"/>
                <w:szCs w:val="18"/>
              </w:rPr>
              <w:t>For 2027: Dec. 2027</w:t>
            </w:r>
          </w:p>
          <w:p w14:paraId="4F028F7D" w14:textId="77777777" w:rsidR="002D700B" w:rsidRDefault="002D700B" w:rsidP="00CB0465">
            <w:pPr>
              <w:pStyle w:val="ListParagraph"/>
              <w:widowControl/>
              <w:numPr>
                <w:ilvl w:val="0"/>
                <w:numId w:val="21"/>
              </w:numPr>
              <w:autoSpaceDE/>
              <w:autoSpaceDN/>
              <w:adjustRightInd/>
              <w:ind w:left="50" w:hanging="90"/>
              <w:rPr>
                <w:rFonts w:asciiTheme="minorHAnsi" w:hAnsiTheme="minorHAnsi" w:cstheme="minorHAnsi"/>
                <w:sz w:val="18"/>
                <w:szCs w:val="18"/>
              </w:rPr>
            </w:pPr>
            <w:r>
              <w:rPr>
                <w:rFonts w:asciiTheme="minorHAnsi" w:hAnsiTheme="minorHAnsi" w:cstheme="minorHAnsi"/>
                <w:sz w:val="18"/>
                <w:szCs w:val="18"/>
              </w:rPr>
              <w:t>For 2028: Dec. 2028</w:t>
            </w:r>
          </w:p>
          <w:p w14:paraId="1225D60C" w14:textId="77777777" w:rsidR="002D700B" w:rsidRDefault="002D700B" w:rsidP="00CB0465">
            <w:pPr>
              <w:pStyle w:val="ListParagraph"/>
              <w:widowControl/>
              <w:numPr>
                <w:ilvl w:val="0"/>
                <w:numId w:val="21"/>
              </w:numPr>
              <w:autoSpaceDE/>
              <w:autoSpaceDN/>
              <w:adjustRightInd/>
              <w:ind w:left="50" w:hanging="90"/>
              <w:rPr>
                <w:rFonts w:asciiTheme="minorHAnsi" w:hAnsiTheme="minorHAnsi" w:cstheme="minorHAnsi"/>
                <w:sz w:val="18"/>
                <w:szCs w:val="18"/>
              </w:rPr>
            </w:pPr>
            <w:r>
              <w:rPr>
                <w:rFonts w:asciiTheme="minorHAnsi" w:hAnsiTheme="minorHAnsi" w:cstheme="minorHAnsi"/>
                <w:sz w:val="18"/>
                <w:szCs w:val="18"/>
              </w:rPr>
              <w:t>For 2029: Dec. 2029</w:t>
            </w:r>
          </w:p>
          <w:p w14:paraId="463813A2" w14:textId="330BD0E4" w:rsidR="002D700B" w:rsidRPr="005379D3" w:rsidRDefault="002D700B" w:rsidP="00CB0465">
            <w:pPr>
              <w:pStyle w:val="ListParagraph"/>
              <w:widowControl/>
              <w:numPr>
                <w:ilvl w:val="0"/>
                <w:numId w:val="21"/>
              </w:numPr>
              <w:autoSpaceDE/>
              <w:autoSpaceDN/>
              <w:adjustRightInd/>
              <w:ind w:left="50" w:hanging="90"/>
              <w:rPr>
                <w:rFonts w:asciiTheme="minorHAnsi" w:hAnsiTheme="minorHAnsi" w:cstheme="minorHAnsi"/>
                <w:sz w:val="18"/>
                <w:szCs w:val="18"/>
              </w:rPr>
            </w:pPr>
            <w:r>
              <w:rPr>
                <w:rFonts w:asciiTheme="minorHAnsi" w:hAnsiTheme="minorHAnsi" w:cstheme="minorHAnsi"/>
                <w:sz w:val="18"/>
                <w:szCs w:val="18"/>
              </w:rPr>
              <w:t>For 2030: Dec. 2030</w:t>
            </w:r>
          </w:p>
        </w:tc>
        <w:tc>
          <w:tcPr>
            <w:tcW w:w="2700" w:type="dxa"/>
          </w:tcPr>
          <w:p w14:paraId="705610E7" w14:textId="6094E904" w:rsidR="002D700B" w:rsidRDefault="002D700B" w:rsidP="00CB0465">
            <w:pPr>
              <w:pStyle w:val="ListParagraph"/>
              <w:widowControl/>
              <w:numPr>
                <w:ilvl w:val="0"/>
                <w:numId w:val="21"/>
              </w:numPr>
              <w:autoSpaceDE/>
              <w:autoSpaceDN/>
              <w:adjustRightInd/>
              <w:ind w:left="70" w:hanging="90"/>
              <w:contextualSpacing w:val="0"/>
              <w:rPr>
                <w:rFonts w:asciiTheme="minorHAnsi" w:hAnsiTheme="minorHAnsi" w:cstheme="minorHAnsi"/>
                <w:sz w:val="18"/>
                <w:szCs w:val="18"/>
              </w:rPr>
            </w:pPr>
            <w:r>
              <w:rPr>
                <w:rFonts w:asciiTheme="minorHAnsi" w:hAnsiTheme="minorHAnsi" w:cstheme="minorHAnsi"/>
                <w:sz w:val="18"/>
                <w:szCs w:val="18"/>
              </w:rPr>
              <w:lastRenderedPageBreak/>
              <w:t>For 1</w:t>
            </w:r>
            <w:r w:rsidRPr="001110CB">
              <w:rPr>
                <w:rFonts w:asciiTheme="minorHAnsi" w:hAnsiTheme="minorHAnsi" w:cstheme="minorHAnsi"/>
                <w:sz w:val="18"/>
                <w:szCs w:val="18"/>
                <w:vertAlign w:val="superscript"/>
              </w:rPr>
              <w:t>st</w:t>
            </w:r>
            <w:r>
              <w:rPr>
                <w:rFonts w:asciiTheme="minorHAnsi" w:hAnsiTheme="minorHAnsi" w:cstheme="minorHAnsi"/>
                <w:sz w:val="18"/>
                <w:szCs w:val="18"/>
              </w:rPr>
              <w:t xml:space="preserve"> semester of 2020: at least 1,000 GWh is received by BT.</w:t>
            </w:r>
          </w:p>
          <w:p w14:paraId="4BBC336A" w14:textId="77777777" w:rsidR="002D700B" w:rsidRDefault="002D700B" w:rsidP="002D700B">
            <w:pPr>
              <w:pStyle w:val="ListParagraph"/>
              <w:widowControl/>
              <w:autoSpaceDE/>
              <w:autoSpaceDN/>
              <w:adjustRightInd/>
              <w:ind w:left="70"/>
              <w:contextualSpacing w:val="0"/>
              <w:rPr>
                <w:rFonts w:asciiTheme="minorHAnsi" w:hAnsiTheme="minorHAnsi" w:cstheme="minorHAnsi"/>
                <w:sz w:val="18"/>
                <w:szCs w:val="18"/>
              </w:rPr>
            </w:pPr>
          </w:p>
          <w:p w14:paraId="30D37311" w14:textId="51A8F973" w:rsidR="002D700B" w:rsidRDefault="002D700B" w:rsidP="00CB0465">
            <w:pPr>
              <w:pStyle w:val="ListParagraph"/>
              <w:widowControl/>
              <w:numPr>
                <w:ilvl w:val="0"/>
                <w:numId w:val="21"/>
              </w:numPr>
              <w:autoSpaceDE/>
              <w:autoSpaceDN/>
              <w:adjustRightInd/>
              <w:ind w:left="70" w:hanging="90"/>
              <w:contextualSpacing w:val="0"/>
              <w:rPr>
                <w:rFonts w:asciiTheme="minorHAnsi" w:hAnsiTheme="minorHAnsi" w:cstheme="minorHAnsi"/>
                <w:sz w:val="18"/>
                <w:szCs w:val="18"/>
              </w:rPr>
            </w:pPr>
            <w:r>
              <w:rPr>
                <w:rFonts w:asciiTheme="minorHAnsi" w:hAnsiTheme="minorHAnsi" w:cstheme="minorHAnsi"/>
                <w:sz w:val="18"/>
                <w:szCs w:val="18"/>
              </w:rPr>
              <w:t>For 2</w:t>
            </w:r>
            <w:r w:rsidRPr="000127AC">
              <w:rPr>
                <w:rFonts w:asciiTheme="minorHAnsi" w:hAnsiTheme="minorHAnsi" w:cstheme="minorHAnsi"/>
                <w:sz w:val="18"/>
                <w:szCs w:val="18"/>
                <w:vertAlign w:val="superscript"/>
              </w:rPr>
              <w:t>nd</w:t>
            </w:r>
            <w:r>
              <w:rPr>
                <w:rFonts w:asciiTheme="minorHAnsi" w:hAnsiTheme="minorHAnsi" w:cstheme="minorHAnsi"/>
                <w:sz w:val="18"/>
                <w:szCs w:val="18"/>
              </w:rPr>
              <w:t xml:space="preserve"> semester of 2020: At least 800 GWh is received by BT.</w:t>
            </w:r>
          </w:p>
          <w:p w14:paraId="5A769495" w14:textId="77777777" w:rsidR="002D700B" w:rsidRPr="00733D9B" w:rsidRDefault="002D700B" w:rsidP="002D700B">
            <w:pPr>
              <w:widowControl/>
              <w:autoSpaceDE/>
              <w:autoSpaceDN/>
              <w:adjustRightInd/>
              <w:rPr>
                <w:rFonts w:asciiTheme="minorHAnsi" w:hAnsiTheme="minorHAnsi" w:cstheme="minorHAnsi"/>
                <w:sz w:val="18"/>
                <w:szCs w:val="18"/>
              </w:rPr>
            </w:pPr>
          </w:p>
          <w:p w14:paraId="3AF22479" w14:textId="77777777" w:rsidR="002D700B" w:rsidRDefault="002D700B" w:rsidP="00CB0465">
            <w:pPr>
              <w:pStyle w:val="ListParagraph"/>
              <w:widowControl/>
              <w:numPr>
                <w:ilvl w:val="0"/>
                <w:numId w:val="21"/>
              </w:numPr>
              <w:autoSpaceDE/>
              <w:autoSpaceDN/>
              <w:adjustRightInd/>
              <w:ind w:left="70" w:hanging="90"/>
              <w:contextualSpacing w:val="0"/>
              <w:rPr>
                <w:rFonts w:asciiTheme="minorHAnsi" w:hAnsiTheme="minorHAnsi" w:cstheme="minorHAnsi"/>
                <w:sz w:val="18"/>
                <w:szCs w:val="18"/>
              </w:rPr>
            </w:pPr>
            <w:r>
              <w:rPr>
                <w:rFonts w:asciiTheme="minorHAnsi" w:hAnsiTheme="minorHAnsi" w:cstheme="minorHAnsi"/>
                <w:sz w:val="18"/>
                <w:szCs w:val="18"/>
              </w:rPr>
              <w:t>For 1</w:t>
            </w:r>
            <w:r w:rsidRPr="001110CB">
              <w:rPr>
                <w:rFonts w:asciiTheme="minorHAnsi" w:hAnsiTheme="minorHAnsi" w:cstheme="minorHAnsi"/>
                <w:sz w:val="18"/>
                <w:szCs w:val="18"/>
                <w:vertAlign w:val="superscript"/>
              </w:rPr>
              <w:t>st</w:t>
            </w:r>
            <w:r>
              <w:rPr>
                <w:rFonts w:asciiTheme="minorHAnsi" w:hAnsiTheme="minorHAnsi" w:cstheme="minorHAnsi"/>
                <w:sz w:val="18"/>
                <w:szCs w:val="18"/>
              </w:rPr>
              <w:t xml:space="preserve"> semester of 2021: At least 1,000 GWh is received by BT.</w:t>
            </w:r>
          </w:p>
          <w:p w14:paraId="766E12DD" w14:textId="4E0CBB90" w:rsidR="002D700B" w:rsidRDefault="002D700B" w:rsidP="00CB0465">
            <w:pPr>
              <w:pStyle w:val="ListParagraph"/>
              <w:widowControl/>
              <w:numPr>
                <w:ilvl w:val="0"/>
                <w:numId w:val="21"/>
              </w:numPr>
              <w:autoSpaceDE/>
              <w:autoSpaceDN/>
              <w:adjustRightInd/>
              <w:ind w:left="70" w:hanging="90"/>
              <w:contextualSpacing w:val="0"/>
              <w:rPr>
                <w:rFonts w:asciiTheme="minorHAnsi" w:hAnsiTheme="minorHAnsi" w:cstheme="minorHAnsi"/>
                <w:sz w:val="18"/>
                <w:szCs w:val="18"/>
              </w:rPr>
            </w:pPr>
            <w:r>
              <w:rPr>
                <w:rFonts w:asciiTheme="minorHAnsi" w:hAnsiTheme="minorHAnsi" w:cstheme="minorHAnsi"/>
                <w:sz w:val="18"/>
                <w:szCs w:val="18"/>
              </w:rPr>
              <w:t>For 2</w:t>
            </w:r>
            <w:r w:rsidRPr="000127AC">
              <w:rPr>
                <w:rFonts w:asciiTheme="minorHAnsi" w:hAnsiTheme="minorHAnsi" w:cstheme="minorHAnsi"/>
                <w:sz w:val="18"/>
                <w:szCs w:val="18"/>
                <w:vertAlign w:val="superscript"/>
              </w:rPr>
              <w:t>nd</w:t>
            </w:r>
            <w:r>
              <w:rPr>
                <w:rFonts w:asciiTheme="minorHAnsi" w:hAnsiTheme="minorHAnsi" w:cstheme="minorHAnsi"/>
                <w:sz w:val="18"/>
                <w:szCs w:val="18"/>
              </w:rPr>
              <w:t xml:space="preserve"> semester of 2021: At least 800 GWh is received by BT.</w:t>
            </w:r>
          </w:p>
          <w:p w14:paraId="5984595E" w14:textId="77777777" w:rsidR="002D700B" w:rsidRPr="0044528E" w:rsidRDefault="002D700B" w:rsidP="002D700B">
            <w:pPr>
              <w:pStyle w:val="ListParagraph"/>
              <w:widowControl/>
              <w:autoSpaceDE/>
              <w:autoSpaceDN/>
              <w:adjustRightInd/>
              <w:ind w:left="70"/>
              <w:contextualSpacing w:val="0"/>
              <w:rPr>
                <w:rFonts w:asciiTheme="minorHAnsi" w:hAnsiTheme="minorHAnsi" w:cstheme="minorHAnsi"/>
                <w:sz w:val="18"/>
                <w:szCs w:val="18"/>
              </w:rPr>
            </w:pPr>
          </w:p>
          <w:p w14:paraId="77D6B17A" w14:textId="77777777" w:rsidR="002D700B" w:rsidRPr="0044528E" w:rsidRDefault="002D700B" w:rsidP="00CB0465">
            <w:pPr>
              <w:pStyle w:val="ListParagraph"/>
              <w:widowControl/>
              <w:numPr>
                <w:ilvl w:val="0"/>
                <w:numId w:val="21"/>
              </w:numPr>
              <w:autoSpaceDE/>
              <w:autoSpaceDN/>
              <w:adjustRightInd/>
              <w:ind w:left="70" w:hanging="90"/>
              <w:contextualSpacing w:val="0"/>
              <w:rPr>
                <w:rFonts w:asciiTheme="minorHAnsi" w:hAnsiTheme="minorHAnsi" w:cstheme="minorHAnsi"/>
                <w:sz w:val="18"/>
                <w:szCs w:val="18"/>
              </w:rPr>
            </w:pPr>
            <w:r>
              <w:rPr>
                <w:rFonts w:asciiTheme="minorHAnsi" w:hAnsiTheme="minorHAnsi" w:cstheme="minorHAnsi"/>
                <w:sz w:val="18"/>
                <w:szCs w:val="18"/>
              </w:rPr>
              <w:lastRenderedPageBreak/>
              <w:t>For 2022: At least 1,800 GWh is received by BT.</w:t>
            </w:r>
          </w:p>
          <w:p w14:paraId="026385A4" w14:textId="77777777" w:rsidR="002D700B" w:rsidRPr="0044528E" w:rsidRDefault="002D700B" w:rsidP="00CB0465">
            <w:pPr>
              <w:pStyle w:val="ListParagraph"/>
              <w:widowControl/>
              <w:numPr>
                <w:ilvl w:val="0"/>
                <w:numId w:val="21"/>
              </w:numPr>
              <w:autoSpaceDE/>
              <w:autoSpaceDN/>
              <w:adjustRightInd/>
              <w:ind w:left="70" w:hanging="90"/>
              <w:contextualSpacing w:val="0"/>
              <w:rPr>
                <w:rFonts w:asciiTheme="minorHAnsi" w:hAnsiTheme="minorHAnsi" w:cstheme="minorHAnsi"/>
                <w:sz w:val="18"/>
                <w:szCs w:val="18"/>
              </w:rPr>
            </w:pPr>
            <w:r>
              <w:rPr>
                <w:rFonts w:asciiTheme="minorHAnsi" w:hAnsiTheme="minorHAnsi" w:cstheme="minorHAnsi"/>
                <w:sz w:val="18"/>
                <w:szCs w:val="18"/>
              </w:rPr>
              <w:t>For 2023: At least 1,800 GWh is received by BT.</w:t>
            </w:r>
          </w:p>
          <w:p w14:paraId="3F0AA2D8" w14:textId="77777777" w:rsidR="002D700B" w:rsidRPr="0090438E" w:rsidRDefault="002D700B" w:rsidP="00CB0465">
            <w:pPr>
              <w:pStyle w:val="ListParagraph"/>
              <w:widowControl/>
              <w:numPr>
                <w:ilvl w:val="0"/>
                <w:numId w:val="21"/>
              </w:numPr>
              <w:autoSpaceDE/>
              <w:autoSpaceDN/>
              <w:adjustRightInd/>
              <w:ind w:left="70" w:hanging="90"/>
              <w:contextualSpacing w:val="0"/>
              <w:rPr>
                <w:rFonts w:asciiTheme="minorHAnsi" w:hAnsiTheme="minorHAnsi" w:cstheme="minorHAnsi"/>
                <w:sz w:val="18"/>
                <w:szCs w:val="18"/>
              </w:rPr>
            </w:pPr>
            <w:r>
              <w:rPr>
                <w:rFonts w:asciiTheme="minorHAnsi" w:hAnsiTheme="minorHAnsi" w:cstheme="minorHAnsi"/>
                <w:sz w:val="18"/>
                <w:szCs w:val="18"/>
              </w:rPr>
              <w:t>For 2024: At least 1,800 GWh is received by BT.</w:t>
            </w:r>
          </w:p>
          <w:p w14:paraId="16161024" w14:textId="7B08A423" w:rsidR="002D700B" w:rsidRDefault="002D700B" w:rsidP="00CB0465">
            <w:pPr>
              <w:pStyle w:val="ListParagraph"/>
              <w:widowControl/>
              <w:numPr>
                <w:ilvl w:val="0"/>
                <w:numId w:val="21"/>
              </w:numPr>
              <w:autoSpaceDE/>
              <w:autoSpaceDN/>
              <w:adjustRightInd/>
              <w:ind w:left="70" w:hanging="90"/>
              <w:contextualSpacing w:val="0"/>
              <w:rPr>
                <w:rFonts w:asciiTheme="minorHAnsi" w:hAnsiTheme="minorHAnsi" w:cstheme="minorHAnsi"/>
                <w:sz w:val="18"/>
                <w:szCs w:val="18"/>
              </w:rPr>
            </w:pPr>
            <w:r>
              <w:rPr>
                <w:rFonts w:asciiTheme="minorHAnsi" w:hAnsiTheme="minorHAnsi" w:cstheme="minorHAnsi"/>
                <w:sz w:val="18"/>
                <w:szCs w:val="18"/>
              </w:rPr>
              <w:t>For 2025: At least 1,800 GWh is received by BT.</w:t>
            </w:r>
          </w:p>
          <w:p w14:paraId="52536A06" w14:textId="77777777" w:rsidR="002D700B" w:rsidRDefault="002D700B" w:rsidP="00CB0465">
            <w:pPr>
              <w:pStyle w:val="ListParagraph"/>
              <w:widowControl/>
              <w:numPr>
                <w:ilvl w:val="0"/>
                <w:numId w:val="21"/>
              </w:numPr>
              <w:autoSpaceDE/>
              <w:autoSpaceDN/>
              <w:adjustRightInd/>
              <w:ind w:left="70" w:hanging="90"/>
              <w:contextualSpacing w:val="0"/>
              <w:rPr>
                <w:rFonts w:asciiTheme="minorHAnsi" w:hAnsiTheme="minorHAnsi" w:cstheme="minorHAnsi"/>
                <w:sz w:val="18"/>
                <w:szCs w:val="18"/>
              </w:rPr>
            </w:pPr>
            <w:r>
              <w:rPr>
                <w:rFonts w:asciiTheme="minorHAnsi" w:hAnsiTheme="minorHAnsi" w:cstheme="minorHAnsi"/>
                <w:sz w:val="18"/>
                <w:szCs w:val="18"/>
              </w:rPr>
              <w:t>For 2026: At least 1,800 GWh is received by BT.</w:t>
            </w:r>
          </w:p>
          <w:p w14:paraId="0FF29B65" w14:textId="7FF21CAD" w:rsidR="002D700B" w:rsidRDefault="002D700B" w:rsidP="00CB0465">
            <w:pPr>
              <w:pStyle w:val="ListParagraph"/>
              <w:widowControl/>
              <w:numPr>
                <w:ilvl w:val="0"/>
                <w:numId w:val="21"/>
              </w:numPr>
              <w:autoSpaceDE/>
              <w:autoSpaceDN/>
              <w:adjustRightInd/>
              <w:ind w:left="70" w:hanging="90"/>
              <w:contextualSpacing w:val="0"/>
              <w:rPr>
                <w:rFonts w:asciiTheme="minorHAnsi" w:hAnsiTheme="minorHAnsi" w:cstheme="minorHAnsi"/>
                <w:sz w:val="18"/>
                <w:szCs w:val="18"/>
              </w:rPr>
            </w:pPr>
            <w:r>
              <w:rPr>
                <w:rFonts w:asciiTheme="minorHAnsi" w:hAnsiTheme="minorHAnsi" w:cstheme="minorHAnsi"/>
                <w:sz w:val="18"/>
                <w:szCs w:val="18"/>
              </w:rPr>
              <w:t>For 2027: At least 1,800 GWh is received by BT.</w:t>
            </w:r>
          </w:p>
          <w:p w14:paraId="3FF6C67B" w14:textId="5EB0FA79" w:rsidR="002D700B" w:rsidRDefault="002D700B" w:rsidP="00CB0465">
            <w:pPr>
              <w:pStyle w:val="ListParagraph"/>
              <w:widowControl/>
              <w:numPr>
                <w:ilvl w:val="0"/>
                <w:numId w:val="21"/>
              </w:numPr>
              <w:autoSpaceDE/>
              <w:autoSpaceDN/>
              <w:adjustRightInd/>
              <w:ind w:left="70" w:hanging="90"/>
              <w:contextualSpacing w:val="0"/>
              <w:rPr>
                <w:rFonts w:asciiTheme="minorHAnsi" w:hAnsiTheme="minorHAnsi" w:cstheme="minorHAnsi"/>
                <w:sz w:val="18"/>
                <w:szCs w:val="18"/>
              </w:rPr>
            </w:pPr>
            <w:r>
              <w:rPr>
                <w:rFonts w:asciiTheme="minorHAnsi" w:hAnsiTheme="minorHAnsi" w:cstheme="minorHAnsi"/>
                <w:sz w:val="18"/>
                <w:szCs w:val="18"/>
              </w:rPr>
              <w:t>For 2028: At least 1,800 GWh is received by BT.</w:t>
            </w:r>
          </w:p>
          <w:p w14:paraId="48B4FA09" w14:textId="4DB84916" w:rsidR="002D700B" w:rsidRDefault="002D700B" w:rsidP="00CB0465">
            <w:pPr>
              <w:pStyle w:val="ListParagraph"/>
              <w:widowControl/>
              <w:numPr>
                <w:ilvl w:val="0"/>
                <w:numId w:val="21"/>
              </w:numPr>
              <w:autoSpaceDE/>
              <w:autoSpaceDN/>
              <w:adjustRightInd/>
              <w:ind w:left="70" w:hanging="90"/>
              <w:contextualSpacing w:val="0"/>
              <w:rPr>
                <w:rFonts w:asciiTheme="minorHAnsi" w:hAnsiTheme="minorHAnsi" w:cstheme="minorHAnsi"/>
                <w:sz w:val="18"/>
                <w:szCs w:val="18"/>
              </w:rPr>
            </w:pPr>
            <w:r>
              <w:rPr>
                <w:rFonts w:asciiTheme="minorHAnsi" w:hAnsiTheme="minorHAnsi" w:cstheme="minorHAnsi"/>
                <w:sz w:val="18"/>
                <w:szCs w:val="18"/>
              </w:rPr>
              <w:t>For 2029: At least 1,800 GWh is received by BT.</w:t>
            </w:r>
          </w:p>
          <w:p w14:paraId="6775ED1F" w14:textId="4B729911" w:rsidR="002D700B" w:rsidRPr="00733D9B" w:rsidRDefault="002D700B" w:rsidP="00CB0465">
            <w:pPr>
              <w:pStyle w:val="ListParagraph"/>
              <w:widowControl/>
              <w:numPr>
                <w:ilvl w:val="0"/>
                <w:numId w:val="21"/>
              </w:numPr>
              <w:autoSpaceDE/>
              <w:autoSpaceDN/>
              <w:adjustRightInd/>
              <w:ind w:left="70" w:hanging="90"/>
              <w:contextualSpacing w:val="0"/>
              <w:rPr>
                <w:rFonts w:asciiTheme="minorHAnsi" w:hAnsiTheme="minorHAnsi" w:cstheme="minorHAnsi"/>
                <w:sz w:val="18"/>
                <w:szCs w:val="18"/>
              </w:rPr>
            </w:pPr>
            <w:r>
              <w:rPr>
                <w:rFonts w:asciiTheme="minorHAnsi" w:hAnsiTheme="minorHAnsi" w:cstheme="minorHAnsi"/>
                <w:sz w:val="18"/>
                <w:szCs w:val="18"/>
              </w:rPr>
              <w:t>For 2030: At least 1,800 GWh is received by BT.</w:t>
            </w:r>
          </w:p>
        </w:tc>
        <w:tc>
          <w:tcPr>
            <w:tcW w:w="2430" w:type="dxa"/>
          </w:tcPr>
          <w:p w14:paraId="3216B95F" w14:textId="77777777" w:rsidR="002D700B" w:rsidRDefault="002D700B" w:rsidP="002D700B">
            <w:pPr>
              <w:rPr>
                <w:rFonts w:asciiTheme="minorHAnsi" w:hAnsiTheme="minorHAnsi" w:cstheme="minorHAnsi"/>
                <w:sz w:val="18"/>
                <w:szCs w:val="18"/>
              </w:rPr>
            </w:pPr>
            <w:r>
              <w:rPr>
                <w:rFonts w:asciiTheme="minorHAnsi" w:hAnsiTheme="minorHAnsi" w:cstheme="minorHAnsi"/>
                <w:sz w:val="18"/>
                <w:szCs w:val="18"/>
              </w:rPr>
              <w:lastRenderedPageBreak/>
              <w:t>N/A</w:t>
            </w:r>
          </w:p>
        </w:tc>
        <w:tc>
          <w:tcPr>
            <w:tcW w:w="2340" w:type="dxa"/>
          </w:tcPr>
          <w:p w14:paraId="2CD235B3" w14:textId="6EC876C6" w:rsidR="002D700B" w:rsidRDefault="002D700B" w:rsidP="00CB0465">
            <w:pPr>
              <w:pStyle w:val="ListParagraph"/>
              <w:widowControl/>
              <w:numPr>
                <w:ilvl w:val="0"/>
                <w:numId w:val="21"/>
              </w:numPr>
              <w:autoSpaceDE/>
              <w:autoSpaceDN/>
              <w:adjustRightInd/>
              <w:ind w:left="70" w:hanging="90"/>
              <w:contextualSpacing w:val="0"/>
              <w:rPr>
                <w:rFonts w:asciiTheme="minorHAnsi" w:hAnsiTheme="minorHAnsi" w:cstheme="minorHAnsi"/>
                <w:sz w:val="18"/>
                <w:szCs w:val="18"/>
              </w:rPr>
            </w:pPr>
            <w:r>
              <w:rPr>
                <w:rFonts w:asciiTheme="minorHAnsi" w:hAnsiTheme="minorHAnsi" w:cstheme="minorHAnsi"/>
                <w:sz w:val="18"/>
                <w:szCs w:val="18"/>
              </w:rPr>
              <w:t>For 1</w:t>
            </w:r>
            <w:r w:rsidRPr="001110CB">
              <w:rPr>
                <w:rFonts w:asciiTheme="minorHAnsi" w:hAnsiTheme="minorHAnsi" w:cstheme="minorHAnsi"/>
                <w:sz w:val="18"/>
                <w:szCs w:val="18"/>
                <w:vertAlign w:val="superscript"/>
              </w:rPr>
              <w:t>st</w:t>
            </w:r>
            <w:r>
              <w:rPr>
                <w:rFonts w:asciiTheme="minorHAnsi" w:hAnsiTheme="minorHAnsi" w:cstheme="minorHAnsi"/>
                <w:sz w:val="18"/>
                <w:szCs w:val="18"/>
              </w:rPr>
              <w:t xml:space="preserve"> semester of 2020: </w:t>
            </w:r>
            <w:r w:rsidR="00A66C32">
              <w:rPr>
                <w:rFonts w:asciiTheme="minorHAnsi" w:hAnsiTheme="minorHAnsi" w:cstheme="minorHAnsi"/>
                <w:sz w:val="18"/>
                <w:szCs w:val="18"/>
              </w:rPr>
              <w:t>0</w:t>
            </w:r>
          </w:p>
          <w:p w14:paraId="1762D2BF" w14:textId="43A35A3E" w:rsidR="002D700B" w:rsidRPr="0044528E" w:rsidRDefault="002D700B" w:rsidP="00CB0465">
            <w:pPr>
              <w:pStyle w:val="ListParagraph"/>
              <w:widowControl/>
              <w:numPr>
                <w:ilvl w:val="0"/>
                <w:numId w:val="21"/>
              </w:numPr>
              <w:autoSpaceDE/>
              <w:autoSpaceDN/>
              <w:adjustRightInd/>
              <w:ind w:left="70" w:hanging="90"/>
              <w:contextualSpacing w:val="0"/>
              <w:rPr>
                <w:rFonts w:asciiTheme="minorHAnsi" w:hAnsiTheme="minorHAnsi" w:cstheme="minorHAnsi"/>
                <w:sz w:val="18"/>
                <w:szCs w:val="18"/>
              </w:rPr>
            </w:pPr>
            <w:r>
              <w:rPr>
                <w:rFonts w:asciiTheme="minorHAnsi" w:hAnsiTheme="minorHAnsi" w:cstheme="minorHAnsi"/>
                <w:sz w:val="18"/>
                <w:szCs w:val="18"/>
              </w:rPr>
              <w:t>For 2</w:t>
            </w:r>
            <w:r w:rsidRPr="000127AC">
              <w:rPr>
                <w:rFonts w:asciiTheme="minorHAnsi" w:hAnsiTheme="minorHAnsi" w:cstheme="minorHAnsi"/>
                <w:sz w:val="18"/>
                <w:szCs w:val="18"/>
                <w:vertAlign w:val="superscript"/>
              </w:rPr>
              <w:t>nd</w:t>
            </w:r>
            <w:r>
              <w:rPr>
                <w:rFonts w:asciiTheme="minorHAnsi" w:hAnsiTheme="minorHAnsi" w:cstheme="minorHAnsi"/>
                <w:sz w:val="18"/>
                <w:szCs w:val="18"/>
              </w:rPr>
              <w:t xml:space="preserve"> semester of 2020:</w:t>
            </w:r>
            <w:r w:rsidR="00A66C32">
              <w:rPr>
                <w:rFonts w:asciiTheme="minorHAnsi" w:hAnsiTheme="minorHAnsi" w:cstheme="minorHAnsi"/>
                <w:sz w:val="18"/>
                <w:szCs w:val="18"/>
              </w:rPr>
              <w:t xml:space="preserve"> 0</w:t>
            </w:r>
          </w:p>
          <w:p w14:paraId="453B9E23" w14:textId="05790749" w:rsidR="002D700B" w:rsidRDefault="002D700B" w:rsidP="00CB0465">
            <w:pPr>
              <w:pStyle w:val="ListParagraph"/>
              <w:widowControl/>
              <w:numPr>
                <w:ilvl w:val="0"/>
                <w:numId w:val="21"/>
              </w:numPr>
              <w:autoSpaceDE/>
              <w:autoSpaceDN/>
              <w:adjustRightInd/>
              <w:ind w:left="70" w:hanging="90"/>
              <w:contextualSpacing w:val="0"/>
              <w:rPr>
                <w:rFonts w:asciiTheme="minorHAnsi" w:hAnsiTheme="minorHAnsi" w:cstheme="minorHAnsi"/>
                <w:sz w:val="18"/>
                <w:szCs w:val="18"/>
              </w:rPr>
            </w:pPr>
            <w:r>
              <w:rPr>
                <w:rFonts w:asciiTheme="minorHAnsi" w:hAnsiTheme="minorHAnsi" w:cstheme="minorHAnsi"/>
                <w:sz w:val="18"/>
                <w:szCs w:val="18"/>
              </w:rPr>
              <w:t>For 1</w:t>
            </w:r>
            <w:r w:rsidRPr="001110CB">
              <w:rPr>
                <w:rFonts w:asciiTheme="minorHAnsi" w:hAnsiTheme="minorHAnsi" w:cstheme="minorHAnsi"/>
                <w:sz w:val="18"/>
                <w:szCs w:val="18"/>
                <w:vertAlign w:val="superscript"/>
              </w:rPr>
              <w:t>st</w:t>
            </w:r>
            <w:r>
              <w:rPr>
                <w:rFonts w:asciiTheme="minorHAnsi" w:hAnsiTheme="minorHAnsi" w:cstheme="minorHAnsi"/>
                <w:sz w:val="18"/>
                <w:szCs w:val="18"/>
              </w:rPr>
              <w:t xml:space="preserve"> semester of 2021: </w:t>
            </w:r>
            <w:r w:rsidR="00A66C32">
              <w:rPr>
                <w:rFonts w:asciiTheme="minorHAnsi" w:hAnsiTheme="minorHAnsi" w:cstheme="minorHAnsi"/>
                <w:sz w:val="18"/>
                <w:szCs w:val="18"/>
              </w:rPr>
              <w:t>0</w:t>
            </w:r>
          </w:p>
          <w:p w14:paraId="1B2E79C3" w14:textId="2403DB96" w:rsidR="002D700B" w:rsidRPr="001110CB" w:rsidRDefault="002D700B" w:rsidP="00CB0465">
            <w:pPr>
              <w:pStyle w:val="ListParagraph"/>
              <w:widowControl/>
              <w:numPr>
                <w:ilvl w:val="0"/>
                <w:numId w:val="21"/>
              </w:numPr>
              <w:autoSpaceDE/>
              <w:autoSpaceDN/>
              <w:adjustRightInd/>
              <w:ind w:left="70" w:hanging="90"/>
              <w:contextualSpacing w:val="0"/>
              <w:rPr>
                <w:rFonts w:asciiTheme="minorHAnsi" w:hAnsiTheme="minorHAnsi" w:cstheme="minorHAnsi"/>
                <w:sz w:val="18"/>
                <w:szCs w:val="18"/>
              </w:rPr>
            </w:pPr>
            <w:r w:rsidRPr="001110CB">
              <w:rPr>
                <w:rFonts w:asciiTheme="minorHAnsi" w:hAnsiTheme="minorHAnsi" w:cstheme="minorHAnsi"/>
                <w:sz w:val="18"/>
                <w:szCs w:val="18"/>
              </w:rPr>
              <w:t>For 2</w:t>
            </w:r>
            <w:r w:rsidRPr="001110CB">
              <w:rPr>
                <w:rFonts w:asciiTheme="minorHAnsi" w:hAnsiTheme="minorHAnsi" w:cstheme="minorHAnsi"/>
                <w:sz w:val="18"/>
                <w:szCs w:val="18"/>
                <w:vertAlign w:val="superscript"/>
              </w:rPr>
              <w:t>nd</w:t>
            </w:r>
            <w:r w:rsidRPr="001110CB">
              <w:rPr>
                <w:rFonts w:asciiTheme="minorHAnsi" w:hAnsiTheme="minorHAnsi" w:cstheme="minorHAnsi"/>
                <w:sz w:val="18"/>
                <w:szCs w:val="18"/>
              </w:rPr>
              <w:t xml:space="preserve"> semester of 2021: </w:t>
            </w:r>
            <w:r w:rsidR="00A66C32">
              <w:rPr>
                <w:rFonts w:asciiTheme="minorHAnsi" w:hAnsiTheme="minorHAnsi" w:cstheme="minorHAnsi"/>
                <w:sz w:val="18"/>
                <w:szCs w:val="18"/>
              </w:rPr>
              <w:t>0</w:t>
            </w:r>
          </w:p>
          <w:p w14:paraId="6101E788" w14:textId="11D6CB8F" w:rsidR="002D700B" w:rsidRPr="0044528E" w:rsidRDefault="002D700B" w:rsidP="00CB0465">
            <w:pPr>
              <w:pStyle w:val="ListParagraph"/>
              <w:widowControl/>
              <w:numPr>
                <w:ilvl w:val="0"/>
                <w:numId w:val="21"/>
              </w:numPr>
              <w:autoSpaceDE/>
              <w:autoSpaceDN/>
              <w:adjustRightInd/>
              <w:ind w:left="70" w:hanging="90"/>
              <w:contextualSpacing w:val="0"/>
              <w:rPr>
                <w:rFonts w:asciiTheme="minorHAnsi" w:hAnsiTheme="minorHAnsi" w:cstheme="minorHAnsi"/>
                <w:sz w:val="18"/>
                <w:szCs w:val="18"/>
              </w:rPr>
            </w:pPr>
            <w:r>
              <w:rPr>
                <w:rFonts w:asciiTheme="minorHAnsi" w:hAnsiTheme="minorHAnsi" w:cstheme="minorHAnsi"/>
                <w:sz w:val="18"/>
                <w:szCs w:val="18"/>
              </w:rPr>
              <w:t>For 2022: US$</w:t>
            </w:r>
            <w:r w:rsidR="00A66C32">
              <w:rPr>
                <w:rFonts w:asciiTheme="minorHAnsi" w:hAnsiTheme="minorHAnsi" w:cstheme="minorHAnsi"/>
                <w:sz w:val="18"/>
                <w:szCs w:val="18"/>
              </w:rPr>
              <w:t>500,000</w:t>
            </w:r>
          </w:p>
          <w:p w14:paraId="211C475E" w14:textId="232B00BF" w:rsidR="002D700B" w:rsidRPr="0044528E" w:rsidRDefault="002D700B" w:rsidP="00CB0465">
            <w:pPr>
              <w:pStyle w:val="ListParagraph"/>
              <w:widowControl/>
              <w:numPr>
                <w:ilvl w:val="0"/>
                <w:numId w:val="21"/>
              </w:numPr>
              <w:autoSpaceDE/>
              <w:autoSpaceDN/>
              <w:adjustRightInd/>
              <w:ind w:left="70" w:hanging="90"/>
              <w:contextualSpacing w:val="0"/>
              <w:rPr>
                <w:rFonts w:asciiTheme="minorHAnsi" w:hAnsiTheme="minorHAnsi" w:cstheme="minorHAnsi"/>
                <w:sz w:val="18"/>
                <w:szCs w:val="18"/>
              </w:rPr>
            </w:pPr>
            <w:r>
              <w:rPr>
                <w:rFonts w:asciiTheme="minorHAnsi" w:hAnsiTheme="minorHAnsi" w:cstheme="minorHAnsi"/>
                <w:sz w:val="18"/>
                <w:szCs w:val="18"/>
              </w:rPr>
              <w:t>For 2023: US$</w:t>
            </w:r>
            <w:r w:rsidR="00A66C32">
              <w:rPr>
                <w:rFonts w:asciiTheme="minorHAnsi" w:hAnsiTheme="minorHAnsi" w:cstheme="minorHAnsi"/>
                <w:sz w:val="18"/>
                <w:szCs w:val="18"/>
              </w:rPr>
              <w:t>5</w:t>
            </w:r>
            <w:r>
              <w:rPr>
                <w:rFonts w:asciiTheme="minorHAnsi" w:hAnsiTheme="minorHAnsi" w:cstheme="minorHAnsi"/>
                <w:sz w:val="18"/>
                <w:szCs w:val="18"/>
              </w:rPr>
              <w:t>00,000</w:t>
            </w:r>
          </w:p>
          <w:p w14:paraId="54EA9765" w14:textId="37945A9C" w:rsidR="002D700B" w:rsidRPr="0090438E" w:rsidRDefault="002D700B" w:rsidP="00CB0465">
            <w:pPr>
              <w:pStyle w:val="ListParagraph"/>
              <w:widowControl/>
              <w:numPr>
                <w:ilvl w:val="0"/>
                <w:numId w:val="21"/>
              </w:numPr>
              <w:autoSpaceDE/>
              <w:autoSpaceDN/>
              <w:adjustRightInd/>
              <w:ind w:left="70" w:hanging="90"/>
              <w:contextualSpacing w:val="0"/>
              <w:rPr>
                <w:rFonts w:asciiTheme="minorHAnsi" w:hAnsiTheme="minorHAnsi" w:cstheme="minorHAnsi"/>
                <w:sz w:val="18"/>
                <w:szCs w:val="18"/>
              </w:rPr>
            </w:pPr>
            <w:r>
              <w:rPr>
                <w:rFonts w:asciiTheme="minorHAnsi" w:hAnsiTheme="minorHAnsi" w:cstheme="minorHAnsi"/>
                <w:sz w:val="18"/>
                <w:szCs w:val="18"/>
              </w:rPr>
              <w:t>For 2024: US$500,000</w:t>
            </w:r>
          </w:p>
          <w:p w14:paraId="46BEEB03" w14:textId="1161B793" w:rsidR="002D700B" w:rsidRDefault="002D700B" w:rsidP="00CB0465">
            <w:pPr>
              <w:pStyle w:val="ListParagraph"/>
              <w:widowControl/>
              <w:numPr>
                <w:ilvl w:val="0"/>
                <w:numId w:val="21"/>
              </w:numPr>
              <w:autoSpaceDE/>
              <w:autoSpaceDN/>
              <w:adjustRightInd/>
              <w:ind w:left="70" w:hanging="90"/>
              <w:contextualSpacing w:val="0"/>
              <w:rPr>
                <w:rFonts w:asciiTheme="minorHAnsi" w:hAnsiTheme="minorHAnsi" w:cstheme="minorHAnsi"/>
                <w:sz w:val="18"/>
                <w:szCs w:val="18"/>
              </w:rPr>
            </w:pPr>
            <w:r>
              <w:rPr>
                <w:rFonts w:asciiTheme="minorHAnsi" w:hAnsiTheme="minorHAnsi" w:cstheme="minorHAnsi"/>
                <w:sz w:val="18"/>
                <w:szCs w:val="18"/>
              </w:rPr>
              <w:t>For 2025: US$500,000</w:t>
            </w:r>
          </w:p>
          <w:p w14:paraId="3E265FC4" w14:textId="6259426D" w:rsidR="002D700B" w:rsidRDefault="002D700B" w:rsidP="00CB0465">
            <w:pPr>
              <w:pStyle w:val="ListParagraph"/>
              <w:widowControl/>
              <w:numPr>
                <w:ilvl w:val="0"/>
                <w:numId w:val="21"/>
              </w:numPr>
              <w:autoSpaceDE/>
              <w:autoSpaceDN/>
              <w:adjustRightInd/>
              <w:ind w:left="70" w:hanging="90"/>
              <w:contextualSpacing w:val="0"/>
              <w:rPr>
                <w:rFonts w:asciiTheme="minorHAnsi" w:hAnsiTheme="minorHAnsi" w:cstheme="minorHAnsi"/>
                <w:sz w:val="18"/>
                <w:szCs w:val="18"/>
              </w:rPr>
            </w:pPr>
            <w:r>
              <w:rPr>
                <w:rFonts w:asciiTheme="minorHAnsi" w:hAnsiTheme="minorHAnsi" w:cstheme="minorHAnsi"/>
                <w:sz w:val="18"/>
                <w:szCs w:val="18"/>
              </w:rPr>
              <w:t>For 2026: US$200,000</w:t>
            </w:r>
          </w:p>
          <w:p w14:paraId="155629BD" w14:textId="61436525" w:rsidR="002D700B" w:rsidRDefault="002D700B" w:rsidP="00CB0465">
            <w:pPr>
              <w:pStyle w:val="ListParagraph"/>
              <w:widowControl/>
              <w:numPr>
                <w:ilvl w:val="0"/>
                <w:numId w:val="21"/>
              </w:numPr>
              <w:autoSpaceDE/>
              <w:autoSpaceDN/>
              <w:adjustRightInd/>
              <w:ind w:left="70" w:hanging="90"/>
              <w:contextualSpacing w:val="0"/>
              <w:rPr>
                <w:rFonts w:asciiTheme="minorHAnsi" w:hAnsiTheme="minorHAnsi" w:cstheme="minorHAnsi"/>
                <w:sz w:val="18"/>
                <w:szCs w:val="18"/>
              </w:rPr>
            </w:pPr>
            <w:r>
              <w:rPr>
                <w:rFonts w:asciiTheme="minorHAnsi" w:hAnsiTheme="minorHAnsi" w:cstheme="minorHAnsi"/>
                <w:sz w:val="18"/>
                <w:szCs w:val="18"/>
              </w:rPr>
              <w:t>For 2027: US$200,000</w:t>
            </w:r>
          </w:p>
          <w:p w14:paraId="718C1DB2" w14:textId="1DD78983" w:rsidR="002D700B" w:rsidRDefault="002D700B" w:rsidP="00CB0465">
            <w:pPr>
              <w:pStyle w:val="ListParagraph"/>
              <w:widowControl/>
              <w:numPr>
                <w:ilvl w:val="0"/>
                <w:numId w:val="21"/>
              </w:numPr>
              <w:autoSpaceDE/>
              <w:autoSpaceDN/>
              <w:adjustRightInd/>
              <w:ind w:left="70" w:hanging="90"/>
              <w:contextualSpacing w:val="0"/>
              <w:rPr>
                <w:rFonts w:asciiTheme="minorHAnsi" w:hAnsiTheme="minorHAnsi" w:cstheme="minorHAnsi"/>
                <w:sz w:val="18"/>
                <w:szCs w:val="18"/>
              </w:rPr>
            </w:pPr>
            <w:r>
              <w:rPr>
                <w:rFonts w:asciiTheme="minorHAnsi" w:hAnsiTheme="minorHAnsi" w:cstheme="minorHAnsi"/>
                <w:sz w:val="18"/>
                <w:szCs w:val="18"/>
              </w:rPr>
              <w:t>For 2028: US$200,000</w:t>
            </w:r>
          </w:p>
          <w:p w14:paraId="70C3314A" w14:textId="1B4F4DD6" w:rsidR="002D700B" w:rsidRDefault="002D700B" w:rsidP="00CB0465">
            <w:pPr>
              <w:pStyle w:val="ListParagraph"/>
              <w:widowControl/>
              <w:numPr>
                <w:ilvl w:val="0"/>
                <w:numId w:val="21"/>
              </w:numPr>
              <w:autoSpaceDE/>
              <w:autoSpaceDN/>
              <w:adjustRightInd/>
              <w:ind w:left="70" w:hanging="90"/>
              <w:contextualSpacing w:val="0"/>
              <w:rPr>
                <w:rFonts w:asciiTheme="minorHAnsi" w:hAnsiTheme="minorHAnsi" w:cstheme="minorHAnsi"/>
                <w:sz w:val="18"/>
                <w:szCs w:val="18"/>
              </w:rPr>
            </w:pPr>
            <w:r>
              <w:rPr>
                <w:rFonts w:asciiTheme="minorHAnsi" w:hAnsiTheme="minorHAnsi" w:cstheme="minorHAnsi"/>
                <w:sz w:val="18"/>
                <w:szCs w:val="18"/>
              </w:rPr>
              <w:t>For 2029: US$200,000</w:t>
            </w:r>
          </w:p>
          <w:p w14:paraId="4C69C1F7" w14:textId="1CEF9E59" w:rsidR="002D700B" w:rsidRPr="0044528E" w:rsidRDefault="002D700B" w:rsidP="00CB0465">
            <w:pPr>
              <w:pStyle w:val="ListParagraph"/>
              <w:widowControl/>
              <w:numPr>
                <w:ilvl w:val="0"/>
                <w:numId w:val="21"/>
              </w:numPr>
              <w:autoSpaceDE/>
              <w:autoSpaceDN/>
              <w:adjustRightInd/>
              <w:ind w:left="70" w:hanging="90"/>
              <w:contextualSpacing w:val="0"/>
              <w:rPr>
                <w:rFonts w:asciiTheme="minorHAnsi" w:hAnsiTheme="minorHAnsi" w:cstheme="minorHAnsi"/>
                <w:sz w:val="18"/>
                <w:szCs w:val="18"/>
              </w:rPr>
            </w:pPr>
            <w:r>
              <w:rPr>
                <w:rFonts w:asciiTheme="minorHAnsi" w:hAnsiTheme="minorHAnsi" w:cstheme="minorHAnsi"/>
                <w:sz w:val="18"/>
                <w:szCs w:val="18"/>
              </w:rPr>
              <w:lastRenderedPageBreak/>
              <w:t>For 2030: US$200,000</w:t>
            </w:r>
          </w:p>
          <w:p w14:paraId="254AAC75" w14:textId="77777777" w:rsidR="002D700B" w:rsidRDefault="002D700B" w:rsidP="002D700B">
            <w:pPr>
              <w:rPr>
                <w:rFonts w:asciiTheme="minorHAnsi" w:hAnsiTheme="minorHAnsi" w:cstheme="minorHAnsi"/>
                <w:sz w:val="18"/>
                <w:szCs w:val="18"/>
              </w:rPr>
            </w:pPr>
          </w:p>
        </w:tc>
      </w:tr>
      <w:tr w:rsidR="002D700B" w:rsidRPr="005379D3" w14:paraId="0D3A37C7" w14:textId="77777777" w:rsidTr="00A64B72">
        <w:trPr>
          <w:trHeight w:val="440"/>
        </w:trPr>
        <w:tc>
          <w:tcPr>
            <w:tcW w:w="3127" w:type="dxa"/>
          </w:tcPr>
          <w:p w14:paraId="10B971EF" w14:textId="77777777" w:rsidR="002D700B" w:rsidRPr="005253D7" w:rsidRDefault="002D700B" w:rsidP="002D700B">
            <w:pPr>
              <w:ind w:left="-40"/>
              <w:rPr>
                <w:rFonts w:asciiTheme="minorHAnsi" w:eastAsia="Times New Roman" w:hAnsiTheme="minorHAnsi" w:cstheme="minorHAnsi"/>
                <w:b/>
                <w:bCs/>
                <w:sz w:val="18"/>
                <w:szCs w:val="18"/>
              </w:rPr>
            </w:pPr>
            <w:r w:rsidRPr="005253D7">
              <w:rPr>
                <w:rFonts w:asciiTheme="minorHAnsi" w:eastAsia="Times New Roman" w:hAnsiTheme="minorHAnsi" w:cstheme="minorHAnsi"/>
                <w:b/>
                <w:sz w:val="18"/>
                <w:szCs w:val="18"/>
              </w:rPr>
              <w:lastRenderedPageBreak/>
              <w:t xml:space="preserve">DLI 7: </w:t>
            </w:r>
            <w:r w:rsidRPr="006957D5">
              <w:rPr>
                <w:rFonts w:asciiTheme="minorHAnsi" w:hAnsiTheme="minorHAnsi" w:cstheme="minorHAnsi"/>
                <w:b/>
                <w:sz w:val="18"/>
                <w:szCs w:val="22"/>
              </w:rPr>
              <w:t>Use of technically, economically, and financially sound principles for the Recipient’s investment decision-making in electricity generation, transmission, and distribution</w:t>
            </w:r>
          </w:p>
        </w:tc>
        <w:tc>
          <w:tcPr>
            <w:tcW w:w="1350" w:type="dxa"/>
          </w:tcPr>
          <w:p w14:paraId="3554890F" w14:textId="165C0FA6" w:rsidR="002D700B" w:rsidRPr="00FC034E" w:rsidRDefault="002D700B" w:rsidP="002D700B">
            <w:pPr>
              <w:rPr>
                <w:rFonts w:asciiTheme="minorHAnsi" w:hAnsiTheme="minorHAnsi" w:cstheme="minorHAnsi"/>
                <w:b/>
                <w:sz w:val="18"/>
                <w:szCs w:val="18"/>
              </w:rPr>
            </w:pPr>
            <w:r w:rsidRPr="00FC034E">
              <w:rPr>
                <w:rFonts w:asciiTheme="minorHAnsi" w:hAnsiTheme="minorHAnsi" w:cstheme="minorHAnsi"/>
                <w:b/>
                <w:sz w:val="18"/>
                <w:szCs w:val="18"/>
              </w:rPr>
              <w:t>US$</w:t>
            </w:r>
            <w:r w:rsidR="00FB406C">
              <w:rPr>
                <w:rFonts w:asciiTheme="minorHAnsi" w:hAnsiTheme="minorHAnsi" w:cstheme="minorHAnsi"/>
                <w:b/>
                <w:sz w:val="18"/>
                <w:szCs w:val="18"/>
              </w:rPr>
              <w:t>3</w:t>
            </w:r>
            <w:r w:rsidRPr="00FC034E">
              <w:rPr>
                <w:rFonts w:asciiTheme="minorHAnsi" w:hAnsiTheme="minorHAnsi" w:cstheme="minorHAnsi"/>
                <w:b/>
                <w:sz w:val="18"/>
                <w:szCs w:val="18"/>
              </w:rPr>
              <w:t>,</w:t>
            </w:r>
            <w:r w:rsidR="00FB406C">
              <w:rPr>
                <w:rFonts w:asciiTheme="minorHAnsi" w:hAnsiTheme="minorHAnsi" w:cstheme="minorHAnsi"/>
                <w:b/>
                <w:sz w:val="18"/>
                <w:szCs w:val="18"/>
              </w:rPr>
              <w:t>1</w:t>
            </w:r>
            <w:r w:rsidRPr="00FC034E">
              <w:rPr>
                <w:rFonts w:asciiTheme="minorHAnsi" w:hAnsiTheme="minorHAnsi" w:cstheme="minorHAnsi"/>
                <w:b/>
                <w:sz w:val="18"/>
                <w:szCs w:val="18"/>
              </w:rPr>
              <w:t>00,000</w:t>
            </w:r>
          </w:p>
        </w:tc>
        <w:tc>
          <w:tcPr>
            <w:tcW w:w="990" w:type="dxa"/>
          </w:tcPr>
          <w:p w14:paraId="071AD6E0" w14:textId="77777777" w:rsidR="002D700B" w:rsidRPr="005379D3" w:rsidRDefault="002D700B" w:rsidP="002D700B">
            <w:pPr>
              <w:rPr>
                <w:rFonts w:asciiTheme="minorHAnsi" w:hAnsiTheme="minorHAnsi" w:cstheme="minorHAnsi"/>
                <w:b/>
                <w:sz w:val="18"/>
                <w:szCs w:val="18"/>
              </w:rPr>
            </w:pPr>
          </w:p>
        </w:tc>
        <w:tc>
          <w:tcPr>
            <w:tcW w:w="1530" w:type="dxa"/>
          </w:tcPr>
          <w:p w14:paraId="2BB1FB5C" w14:textId="77777777" w:rsidR="002D700B" w:rsidRPr="005379D3" w:rsidRDefault="002D700B" w:rsidP="002D700B">
            <w:pPr>
              <w:pStyle w:val="ListParagraph"/>
              <w:ind w:left="72"/>
              <w:contextualSpacing w:val="0"/>
              <w:rPr>
                <w:rFonts w:asciiTheme="minorHAnsi" w:hAnsiTheme="minorHAnsi" w:cstheme="minorHAnsi"/>
                <w:b/>
                <w:sz w:val="18"/>
                <w:szCs w:val="18"/>
              </w:rPr>
            </w:pPr>
          </w:p>
        </w:tc>
        <w:tc>
          <w:tcPr>
            <w:tcW w:w="2700" w:type="dxa"/>
          </w:tcPr>
          <w:p w14:paraId="6604C3CC" w14:textId="77777777" w:rsidR="002D700B" w:rsidRPr="005379D3" w:rsidRDefault="002D700B" w:rsidP="002D700B">
            <w:pPr>
              <w:pStyle w:val="ListParagraph"/>
              <w:ind w:left="162"/>
              <w:contextualSpacing w:val="0"/>
              <w:rPr>
                <w:rFonts w:asciiTheme="minorHAnsi" w:hAnsiTheme="minorHAnsi" w:cstheme="minorHAnsi"/>
                <w:b/>
                <w:sz w:val="18"/>
                <w:szCs w:val="18"/>
              </w:rPr>
            </w:pPr>
          </w:p>
        </w:tc>
        <w:tc>
          <w:tcPr>
            <w:tcW w:w="2430" w:type="dxa"/>
          </w:tcPr>
          <w:p w14:paraId="5FD85EF8" w14:textId="77777777" w:rsidR="002D700B" w:rsidRPr="005379D3" w:rsidRDefault="002D700B" w:rsidP="002D700B">
            <w:pPr>
              <w:rPr>
                <w:rFonts w:asciiTheme="minorHAnsi" w:hAnsiTheme="minorHAnsi" w:cstheme="minorHAnsi"/>
                <w:b/>
                <w:sz w:val="18"/>
                <w:szCs w:val="18"/>
              </w:rPr>
            </w:pPr>
          </w:p>
        </w:tc>
        <w:tc>
          <w:tcPr>
            <w:tcW w:w="2340" w:type="dxa"/>
          </w:tcPr>
          <w:p w14:paraId="0AC04596" w14:textId="77777777" w:rsidR="002D700B" w:rsidRPr="005379D3" w:rsidRDefault="002D700B" w:rsidP="002D700B">
            <w:pPr>
              <w:rPr>
                <w:rFonts w:asciiTheme="minorHAnsi" w:hAnsiTheme="minorHAnsi" w:cstheme="minorHAnsi"/>
                <w:b/>
                <w:sz w:val="18"/>
                <w:szCs w:val="18"/>
              </w:rPr>
            </w:pPr>
          </w:p>
        </w:tc>
      </w:tr>
      <w:tr w:rsidR="002D700B" w:rsidRPr="005379D3" w14:paraId="7580F2B1" w14:textId="77777777" w:rsidTr="00A64B72">
        <w:trPr>
          <w:trHeight w:val="530"/>
        </w:trPr>
        <w:tc>
          <w:tcPr>
            <w:tcW w:w="3127" w:type="dxa"/>
          </w:tcPr>
          <w:p w14:paraId="0D7A8E2F" w14:textId="21264A7C" w:rsidR="002D700B" w:rsidRPr="00133FFD" w:rsidRDefault="002D700B" w:rsidP="002D700B">
            <w:pPr>
              <w:widowControl/>
              <w:autoSpaceDE/>
              <w:autoSpaceDN/>
              <w:adjustRightInd/>
              <w:ind w:left="-40"/>
              <w:rPr>
                <w:rFonts w:ascii="Calibri" w:eastAsia="Times New Roman" w:hAnsi="Calibri" w:cs="Calibri"/>
                <w:sz w:val="18"/>
                <w:szCs w:val="18"/>
              </w:rPr>
            </w:pPr>
            <w:r>
              <w:rPr>
                <w:rFonts w:asciiTheme="minorHAnsi" w:eastAsia="Times New Roman" w:hAnsiTheme="minorHAnsi" w:cstheme="minorHAnsi"/>
                <w:sz w:val="18"/>
                <w:szCs w:val="18"/>
              </w:rPr>
              <w:t>DLR 7</w:t>
            </w:r>
            <w:r w:rsidRPr="005379D3">
              <w:rPr>
                <w:rFonts w:asciiTheme="minorHAnsi" w:eastAsia="Times New Roman" w:hAnsiTheme="minorHAnsi" w:cstheme="minorHAnsi"/>
                <w:sz w:val="18"/>
                <w:szCs w:val="18"/>
              </w:rPr>
              <w:t xml:space="preserve">.1: </w:t>
            </w:r>
            <w:r>
              <w:rPr>
                <w:rFonts w:asciiTheme="minorHAnsi" w:eastAsia="Times New Roman" w:hAnsiTheme="minorHAnsi" w:cstheme="minorHAnsi"/>
                <w:sz w:val="18"/>
                <w:szCs w:val="18"/>
              </w:rPr>
              <w:t xml:space="preserve">By October 30, 2022, </w:t>
            </w:r>
            <w:r w:rsidRPr="00BE0D88">
              <w:rPr>
                <w:rFonts w:ascii="Calibri" w:eastAsia="Times New Roman" w:hAnsi="Calibri" w:cs="Calibri"/>
                <w:sz w:val="18"/>
                <w:szCs w:val="18"/>
              </w:rPr>
              <w:t>MEWR completes the update of GEP.</w:t>
            </w:r>
          </w:p>
          <w:p w14:paraId="31AD6017" w14:textId="77777777" w:rsidR="002D700B" w:rsidRPr="005379D3" w:rsidRDefault="002D700B" w:rsidP="002D700B">
            <w:pPr>
              <w:ind w:left="-40"/>
              <w:rPr>
                <w:rFonts w:asciiTheme="minorHAnsi" w:eastAsia="Times New Roman" w:hAnsiTheme="minorHAnsi" w:cstheme="minorHAnsi"/>
                <w:sz w:val="18"/>
                <w:szCs w:val="18"/>
              </w:rPr>
            </w:pPr>
          </w:p>
        </w:tc>
        <w:tc>
          <w:tcPr>
            <w:tcW w:w="1350" w:type="dxa"/>
          </w:tcPr>
          <w:p w14:paraId="634C22FA" w14:textId="5AA08D2C" w:rsidR="002D700B" w:rsidRPr="005379D3" w:rsidRDefault="002D700B" w:rsidP="002D700B">
            <w:pPr>
              <w:rPr>
                <w:rFonts w:asciiTheme="minorHAnsi" w:hAnsiTheme="minorHAnsi" w:cstheme="minorHAnsi"/>
                <w:sz w:val="18"/>
                <w:szCs w:val="18"/>
              </w:rPr>
            </w:pPr>
            <w:r>
              <w:rPr>
                <w:rFonts w:asciiTheme="minorHAnsi" w:hAnsiTheme="minorHAnsi" w:cstheme="minorHAnsi"/>
                <w:sz w:val="18"/>
                <w:szCs w:val="18"/>
              </w:rPr>
              <w:t>US$</w:t>
            </w:r>
            <w:r w:rsidR="00FB406C">
              <w:rPr>
                <w:rFonts w:asciiTheme="minorHAnsi" w:hAnsiTheme="minorHAnsi" w:cstheme="minorHAnsi"/>
                <w:sz w:val="18"/>
                <w:szCs w:val="18"/>
              </w:rPr>
              <w:t>1</w:t>
            </w:r>
            <w:r>
              <w:rPr>
                <w:rFonts w:asciiTheme="minorHAnsi" w:hAnsiTheme="minorHAnsi" w:cstheme="minorHAnsi"/>
                <w:sz w:val="18"/>
                <w:szCs w:val="18"/>
              </w:rPr>
              <w:t>,</w:t>
            </w:r>
            <w:r w:rsidR="00FB406C">
              <w:rPr>
                <w:rFonts w:asciiTheme="minorHAnsi" w:hAnsiTheme="minorHAnsi" w:cstheme="minorHAnsi"/>
                <w:sz w:val="18"/>
                <w:szCs w:val="18"/>
              </w:rPr>
              <w:t>1</w:t>
            </w:r>
            <w:r>
              <w:rPr>
                <w:rFonts w:asciiTheme="minorHAnsi" w:hAnsiTheme="minorHAnsi" w:cstheme="minorHAnsi"/>
                <w:sz w:val="18"/>
                <w:szCs w:val="18"/>
              </w:rPr>
              <w:t>00,000</w:t>
            </w:r>
          </w:p>
        </w:tc>
        <w:tc>
          <w:tcPr>
            <w:tcW w:w="990" w:type="dxa"/>
          </w:tcPr>
          <w:p w14:paraId="7AE6BBBD" w14:textId="77777777" w:rsidR="002D700B" w:rsidRPr="005379D3" w:rsidRDefault="002D700B" w:rsidP="002D700B">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00BD4996" w14:textId="1902C341" w:rsidR="002D700B" w:rsidRPr="005379D3" w:rsidRDefault="002D700B" w:rsidP="002D700B">
            <w:pPr>
              <w:rPr>
                <w:rFonts w:asciiTheme="minorHAnsi" w:hAnsiTheme="minorHAnsi" w:cstheme="minorHAnsi"/>
                <w:sz w:val="18"/>
                <w:szCs w:val="18"/>
              </w:rPr>
            </w:pPr>
            <w:r>
              <w:rPr>
                <w:rFonts w:asciiTheme="minorHAnsi" w:hAnsiTheme="minorHAnsi" w:cstheme="minorHAnsi"/>
                <w:sz w:val="18"/>
                <w:szCs w:val="18"/>
              </w:rPr>
              <w:t>Oct.</w:t>
            </w:r>
            <w:r w:rsidRPr="005379D3">
              <w:rPr>
                <w:rFonts w:asciiTheme="minorHAnsi" w:hAnsiTheme="minorHAnsi" w:cstheme="minorHAnsi"/>
                <w:sz w:val="18"/>
                <w:szCs w:val="18"/>
              </w:rPr>
              <w:t xml:space="preserve"> 3</w:t>
            </w:r>
            <w:r>
              <w:rPr>
                <w:rFonts w:asciiTheme="minorHAnsi" w:hAnsiTheme="minorHAnsi" w:cstheme="minorHAnsi"/>
                <w:sz w:val="18"/>
                <w:szCs w:val="18"/>
              </w:rPr>
              <w:t>0</w:t>
            </w:r>
            <w:r w:rsidRPr="005379D3">
              <w:rPr>
                <w:rFonts w:asciiTheme="minorHAnsi" w:hAnsiTheme="minorHAnsi" w:cstheme="minorHAnsi"/>
                <w:sz w:val="18"/>
                <w:szCs w:val="18"/>
              </w:rPr>
              <w:t>, 202</w:t>
            </w:r>
            <w:r>
              <w:rPr>
                <w:rFonts w:asciiTheme="minorHAnsi" w:hAnsiTheme="minorHAnsi" w:cstheme="minorHAnsi"/>
                <w:sz w:val="18"/>
                <w:szCs w:val="18"/>
              </w:rPr>
              <w:t>2</w:t>
            </w:r>
          </w:p>
        </w:tc>
        <w:tc>
          <w:tcPr>
            <w:tcW w:w="2700" w:type="dxa"/>
          </w:tcPr>
          <w:p w14:paraId="78BC9FC8" w14:textId="77777777" w:rsidR="002D700B" w:rsidRPr="005379D3" w:rsidRDefault="002D700B" w:rsidP="002D700B">
            <w:pPr>
              <w:rPr>
                <w:rFonts w:asciiTheme="minorHAnsi" w:hAnsiTheme="minorHAnsi" w:cstheme="minorHAnsi"/>
                <w:sz w:val="18"/>
                <w:szCs w:val="18"/>
              </w:rPr>
            </w:pPr>
            <w:r>
              <w:rPr>
                <w:rFonts w:asciiTheme="minorHAnsi" w:eastAsia="Times New Roman" w:hAnsiTheme="minorHAnsi" w:cstheme="minorHAnsi"/>
                <w:sz w:val="18"/>
                <w:szCs w:val="18"/>
              </w:rPr>
              <w:t>Update of GEP is completed.</w:t>
            </w:r>
          </w:p>
        </w:tc>
        <w:tc>
          <w:tcPr>
            <w:tcW w:w="2430" w:type="dxa"/>
          </w:tcPr>
          <w:p w14:paraId="774AC6DF" w14:textId="77777777" w:rsidR="002D700B" w:rsidRPr="005379D3" w:rsidRDefault="002D700B" w:rsidP="002D700B">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0ABC5120" w14:textId="77777777" w:rsidR="002D700B" w:rsidRPr="005379D3" w:rsidRDefault="002D700B" w:rsidP="002D700B">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2D700B" w:rsidRPr="005379D3" w14:paraId="01A17136" w14:textId="77777777" w:rsidTr="00A64B72">
        <w:trPr>
          <w:trHeight w:val="530"/>
        </w:trPr>
        <w:tc>
          <w:tcPr>
            <w:tcW w:w="3127" w:type="dxa"/>
          </w:tcPr>
          <w:p w14:paraId="6EEB67BC" w14:textId="04445CE8" w:rsidR="002D700B" w:rsidRPr="00133FFD" w:rsidRDefault="002D700B" w:rsidP="002D700B">
            <w:pPr>
              <w:widowControl/>
              <w:autoSpaceDE/>
              <w:autoSpaceDN/>
              <w:adjustRightInd/>
              <w:ind w:left="-40"/>
              <w:rPr>
                <w:rFonts w:ascii="Calibri" w:eastAsia="Times New Roman" w:hAnsi="Calibri" w:cs="Calibri"/>
                <w:sz w:val="18"/>
                <w:szCs w:val="18"/>
              </w:rPr>
            </w:pPr>
            <w:r>
              <w:rPr>
                <w:rFonts w:asciiTheme="minorHAnsi" w:eastAsia="Times New Roman" w:hAnsiTheme="minorHAnsi" w:cstheme="minorHAnsi"/>
                <w:sz w:val="18"/>
                <w:szCs w:val="18"/>
              </w:rPr>
              <w:t>DLR 7</w:t>
            </w:r>
            <w:r w:rsidRPr="005379D3">
              <w:rPr>
                <w:rFonts w:asciiTheme="minorHAnsi" w:eastAsia="Times New Roman" w:hAnsiTheme="minorHAnsi" w:cstheme="minorHAnsi"/>
                <w:sz w:val="18"/>
                <w:szCs w:val="18"/>
              </w:rPr>
              <w:t xml:space="preserve">.2: </w:t>
            </w:r>
            <w:r>
              <w:rPr>
                <w:rFonts w:asciiTheme="minorHAnsi" w:eastAsia="Times New Roman" w:hAnsiTheme="minorHAnsi" w:cstheme="minorHAnsi"/>
                <w:sz w:val="18"/>
                <w:szCs w:val="18"/>
              </w:rPr>
              <w:t xml:space="preserve">By February 28, 2023, </w:t>
            </w:r>
            <w:r>
              <w:rPr>
                <w:rFonts w:ascii="Calibri" w:eastAsia="Times New Roman" w:hAnsi="Calibri" w:cs="Calibri"/>
                <w:sz w:val="18"/>
                <w:szCs w:val="18"/>
              </w:rPr>
              <w:t>MEWR approves the updated GEP.</w:t>
            </w:r>
          </w:p>
          <w:p w14:paraId="57F785D1" w14:textId="77777777" w:rsidR="002D700B" w:rsidRPr="005379D3" w:rsidRDefault="002D700B" w:rsidP="002D700B">
            <w:pPr>
              <w:ind w:left="-40"/>
              <w:rPr>
                <w:rFonts w:asciiTheme="minorHAnsi" w:eastAsia="Times New Roman" w:hAnsiTheme="minorHAnsi" w:cstheme="minorHAnsi"/>
                <w:sz w:val="18"/>
                <w:szCs w:val="18"/>
              </w:rPr>
            </w:pPr>
          </w:p>
        </w:tc>
        <w:tc>
          <w:tcPr>
            <w:tcW w:w="1350" w:type="dxa"/>
          </w:tcPr>
          <w:p w14:paraId="4DD579C4" w14:textId="7007C4B8" w:rsidR="002D700B" w:rsidRPr="005379D3" w:rsidRDefault="002D700B" w:rsidP="002D700B">
            <w:pPr>
              <w:rPr>
                <w:rFonts w:asciiTheme="minorHAnsi" w:hAnsiTheme="minorHAnsi" w:cstheme="minorHAnsi"/>
                <w:sz w:val="18"/>
                <w:szCs w:val="18"/>
              </w:rPr>
            </w:pPr>
            <w:r>
              <w:rPr>
                <w:rFonts w:asciiTheme="minorHAnsi" w:hAnsiTheme="minorHAnsi" w:cstheme="minorHAnsi"/>
                <w:sz w:val="18"/>
                <w:szCs w:val="18"/>
              </w:rPr>
              <w:t>US$600,000</w:t>
            </w:r>
          </w:p>
        </w:tc>
        <w:tc>
          <w:tcPr>
            <w:tcW w:w="990" w:type="dxa"/>
          </w:tcPr>
          <w:p w14:paraId="11AD420D" w14:textId="77777777" w:rsidR="002D700B" w:rsidRPr="005379D3" w:rsidRDefault="002D700B" w:rsidP="002D700B">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3ECBAB23" w14:textId="1F1060CE" w:rsidR="002D700B" w:rsidRPr="005379D3" w:rsidRDefault="002D700B" w:rsidP="002D700B">
            <w:pPr>
              <w:rPr>
                <w:rFonts w:asciiTheme="minorHAnsi" w:hAnsiTheme="minorHAnsi" w:cstheme="minorHAnsi"/>
                <w:sz w:val="18"/>
                <w:szCs w:val="18"/>
              </w:rPr>
            </w:pPr>
            <w:r>
              <w:rPr>
                <w:rFonts w:asciiTheme="minorHAnsi" w:hAnsiTheme="minorHAnsi" w:cstheme="minorHAnsi"/>
                <w:sz w:val="18"/>
                <w:szCs w:val="18"/>
              </w:rPr>
              <w:t>Feb</w:t>
            </w:r>
            <w:r w:rsidRPr="005379D3">
              <w:rPr>
                <w:rFonts w:asciiTheme="minorHAnsi" w:hAnsiTheme="minorHAnsi" w:cstheme="minorHAnsi"/>
                <w:sz w:val="18"/>
                <w:szCs w:val="18"/>
              </w:rPr>
              <w:t xml:space="preserve">. </w:t>
            </w:r>
            <w:r>
              <w:rPr>
                <w:rFonts w:asciiTheme="minorHAnsi" w:hAnsiTheme="minorHAnsi" w:cstheme="minorHAnsi"/>
                <w:sz w:val="18"/>
                <w:szCs w:val="18"/>
              </w:rPr>
              <w:t>28</w:t>
            </w:r>
            <w:r w:rsidRPr="005379D3">
              <w:rPr>
                <w:rFonts w:asciiTheme="minorHAnsi" w:hAnsiTheme="minorHAnsi" w:cstheme="minorHAnsi"/>
                <w:sz w:val="18"/>
                <w:szCs w:val="18"/>
              </w:rPr>
              <w:t>, 202</w:t>
            </w:r>
            <w:r>
              <w:rPr>
                <w:rFonts w:asciiTheme="minorHAnsi" w:hAnsiTheme="minorHAnsi" w:cstheme="minorHAnsi"/>
                <w:sz w:val="18"/>
                <w:szCs w:val="18"/>
              </w:rPr>
              <w:t>3</w:t>
            </w:r>
          </w:p>
        </w:tc>
        <w:tc>
          <w:tcPr>
            <w:tcW w:w="2700" w:type="dxa"/>
          </w:tcPr>
          <w:p w14:paraId="26714352" w14:textId="77777777" w:rsidR="002D700B" w:rsidRPr="005379D3" w:rsidRDefault="002D700B" w:rsidP="002D700B">
            <w:pPr>
              <w:rPr>
                <w:rFonts w:asciiTheme="minorHAnsi" w:hAnsiTheme="minorHAnsi" w:cstheme="minorHAnsi"/>
                <w:sz w:val="18"/>
                <w:szCs w:val="18"/>
              </w:rPr>
            </w:pPr>
            <w:r>
              <w:rPr>
                <w:rFonts w:asciiTheme="minorHAnsi" w:eastAsia="Times New Roman" w:hAnsiTheme="minorHAnsi" w:cstheme="minorHAnsi"/>
                <w:sz w:val="18"/>
                <w:szCs w:val="18"/>
              </w:rPr>
              <w:t>Updated GEP is approved.</w:t>
            </w:r>
          </w:p>
        </w:tc>
        <w:tc>
          <w:tcPr>
            <w:tcW w:w="2430" w:type="dxa"/>
          </w:tcPr>
          <w:p w14:paraId="62305FF4" w14:textId="77777777" w:rsidR="002D700B" w:rsidRPr="005379D3" w:rsidRDefault="002D700B" w:rsidP="002D700B">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74DDF232" w14:textId="77777777" w:rsidR="002D700B" w:rsidRPr="005379D3" w:rsidRDefault="002D700B" w:rsidP="002D700B">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2D700B" w:rsidRPr="005379D3" w14:paraId="41CDDA6F" w14:textId="77777777" w:rsidTr="00A64B72">
        <w:trPr>
          <w:trHeight w:val="530"/>
        </w:trPr>
        <w:tc>
          <w:tcPr>
            <w:tcW w:w="3127" w:type="dxa"/>
          </w:tcPr>
          <w:p w14:paraId="2980E0A3" w14:textId="46CDDA9A" w:rsidR="002D700B" w:rsidRPr="00BE0D88" w:rsidRDefault="002D700B" w:rsidP="002D700B">
            <w:pPr>
              <w:widowControl/>
              <w:autoSpaceDE/>
              <w:autoSpaceDN/>
              <w:adjustRightInd/>
              <w:ind w:left="-40"/>
              <w:rPr>
                <w:rFonts w:ascii="Calibri" w:eastAsia="Times New Roman" w:hAnsi="Calibri" w:cs="Calibri"/>
                <w:sz w:val="18"/>
                <w:szCs w:val="18"/>
              </w:rPr>
            </w:pPr>
            <w:r>
              <w:rPr>
                <w:rFonts w:asciiTheme="minorHAnsi" w:eastAsia="Times New Roman" w:hAnsiTheme="minorHAnsi" w:cstheme="minorHAnsi"/>
                <w:sz w:val="18"/>
                <w:szCs w:val="18"/>
              </w:rPr>
              <w:lastRenderedPageBreak/>
              <w:t xml:space="preserve">DLR 7.3: By December 31, 2023, </w:t>
            </w:r>
            <w:r>
              <w:rPr>
                <w:rFonts w:ascii="Calibri" w:eastAsia="Times New Roman" w:hAnsi="Calibri" w:cs="Calibri"/>
                <w:sz w:val="18"/>
                <w:szCs w:val="18"/>
              </w:rPr>
              <w:t>n</w:t>
            </w:r>
            <w:r w:rsidRPr="00133FFD">
              <w:rPr>
                <w:rFonts w:ascii="Calibri" w:eastAsia="Times New Roman" w:hAnsi="Calibri" w:cs="Calibri"/>
                <w:sz w:val="18"/>
                <w:szCs w:val="18"/>
              </w:rPr>
              <w:t xml:space="preserve">ew generation investment decisions are made </w:t>
            </w:r>
            <w:r>
              <w:rPr>
                <w:rFonts w:ascii="Calibri" w:eastAsia="Times New Roman" w:hAnsi="Calibri" w:cs="Calibri"/>
                <w:sz w:val="18"/>
                <w:szCs w:val="18"/>
              </w:rPr>
              <w:t xml:space="preserve">by the Recipient </w:t>
            </w:r>
            <w:r w:rsidRPr="00133FFD">
              <w:rPr>
                <w:rFonts w:ascii="Calibri" w:eastAsia="Times New Roman" w:hAnsi="Calibri" w:cs="Calibri"/>
                <w:sz w:val="18"/>
                <w:szCs w:val="18"/>
              </w:rPr>
              <w:t xml:space="preserve">in accordance with </w:t>
            </w:r>
            <w:r>
              <w:rPr>
                <w:rFonts w:ascii="Calibri" w:eastAsia="Times New Roman" w:hAnsi="Calibri" w:cs="Calibri"/>
                <w:sz w:val="18"/>
                <w:szCs w:val="18"/>
              </w:rPr>
              <w:t>the updated GEP</w:t>
            </w:r>
            <w:r w:rsidRPr="00133FFD">
              <w:rPr>
                <w:rFonts w:ascii="Calibri" w:eastAsia="Times New Roman" w:hAnsi="Calibri" w:cs="Calibri"/>
                <w:sz w:val="18"/>
                <w:szCs w:val="18"/>
              </w:rPr>
              <w:t xml:space="preserve">; T&amp;D network development plans, based on </w:t>
            </w:r>
            <w:r>
              <w:rPr>
                <w:rFonts w:ascii="Calibri" w:eastAsia="Times New Roman" w:hAnsi="Calibri" w:cs="Calibri"/>
                <w:sz w:val="18"/>
                <w:szCs w:val="18"/>
              </w:rPr>
              <w:t>GEP</w:t>
            </w:r>
            <w:r w:rsidRPr="00133FFD">
              <w:rPr>
                <w:rFonts w:ascii="Calibri" w:eastAsia="Times New Roman" w:hAnsi="Calibri" w:cs="Calibri"/>
                <w:sz w:val="18"/>
                <w:szCs w:val="18"/>
              </w:rPr>
              <w:t>, are prepared</w:t>
            </w:r>
            <w:r>
              <w:rPr>
                <w:rFonts w:ascii="Calibri" w:eastAsia="Times New Roman" w:hAnsi="Calibri" w:cs="Calibri"/>
                <w:sz w:val="18"/>
                <w:szCs w:val="18"/>
              </w:rPr>
              <w:t xml:space="preserve"> by SIB and STB respectively </w:t>
            </w:r>
            <w:r w:rsidRPr="00133FFD">
              <w:rPr>
                <w:rFonts w:ascii="Calibri" w:eastAsia="Times New Roman" w:hAnsi="Calibri" w:cs="Calibri"/>
                <w:sz w:val="18"/>
                <w:szCs w:val="18"/>
              </w:rPr>
              <w:t xml:space="preserve">and </w:t>
            </w:r>
            <w:r>
              <w:rPr>
                <w:rFonts w:ascii="Calibri" w:eastAsia="Times New Roman" w:hAnsi="Calibri" w:cs="Calibri"/>
                <w:sz w:val="18"/>
                <w:szCs w:val="18"/>
              </w:rPr>
              <w:t>approved by MEWR.</w:t>
            </w:r>
          </w:p>
        </w:tc>
        <w:tc>
          <w:tcPr>
            <w:tcW w:w="1350" w:type="dxa"/>
          </w:tcPr>
          <w:p w14:paraId="503693A6" w14:textId="49FA1ECA" w:rsidR="002D700B" w:rsidRPr="005379D3" w:rsidRDefault="002D700B" w:rsidP="002D700B">
            <w:pPr>
              <w:rPr>
                <w:rFonts w:asciiTheme="minorHAnsi" w:hAnsiTheme="minorHAnsi" w:cstheme="minorHAnsi"/>
                <w:sz w:val="18"/>
                <w:szCs w:val="18"/>
              </w:rPr>
            </w:pPr>
            <w:r>
              <w:rPr>
                <w:rFonts w:asciiTheme="minorHAnsi" w:hAnsiTheme="minorHAnsi" w:cstheme="minorHAnsi"/>
                <w:sz w:val="18"/>
                <w:szCs w:val="18"/>
              </w:rPr>
              <w:t>US$300,000</w:t>
            </w:r>
          </w:p>
        </w:tc>
        <w:tc>
          <w:tcPr>
            <w:tcW w:w="990" w:type="dxa"/>
          </w:tcPr>
          <w:p w14:paraId="58CB22C1" w14:textId="77777777" w:rsidR="002D700B" w:rsidRPr="005379D3" w:rsidRDefault="002D700B" w:rsidP="002D700B">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04012760" w14:textId="19BAEF2E" w:rsidR="002D700B" w:rsidRPr="005379D3" w:rsidRDefault="002D700B" w:rsidP="002D700B">
            <w:pPr>
              <w:rPr>
                <w:rFonts w:asciiTheme="minorHAnsi" w:hAnsiTheme="minorHAnsi" w:cstheme="minorHAnsi"/>
                <w:sz w:val="18"/>
                <w:szCs w:val="18"/>
              </w:rPr>
            </w:pPr>
            <w:r>
              <w:rPr>
                <w:rFonts w:asciiTheme="minorHAnsi" w:hAnsiTheme="minorHAnsi" w:cstheme="minorHAnsi"/>
                <w:sz w:val="18"/>
                <w:szCs w:val="18"/>
              </w:rPr>
              <w:t>Dec.</w:t>
            </w:r>
            <w:r w:rsidRPr="005379D3">
              <w:rPr>
                <w:rFonts w:asciiTheme="minorHAnsi" w:hAnsiTheme="minorHAnsi" w:cstheme="minorHAnsi"/>
                <w:sz w:val="18"/>
                <w:szCs w:val="18"/>
              </w:rPr>
              <w:t xml:space="preserve"> 3</w:t>
            </w:r>
            <w:r>
              <w:rPr>
                <w:rFonts w:asciiTheme="minorHAnsi" w:hAnsiTheme="minorHAnsi" w:cstheme="minorHAnsi"/>
                <w:sz w:val="18"/>
                <w:szCs w:val="18"/>
              </w:rPr>
              <w:t>1</w:t>
            </w:r>
            <w:r w:rsidRPr="005379D3">
              <w:rPr>
                <w:rFonts w:asciiTheme="minorHAnsi" w:hAnsiTheme="minorHAnsi" w:cstheme="minorHAnsi"/>
                <w:sz w:val="18"/>
                <w:szCs w:val="18"/>
              </w:rPr>
              <w:t>, 202</w:t>
            </w:r>
            <w:r>
              <w:rPr>
                <w:rFonts w:asciiTheme="minorHAnsi" w:hAnsiTheme="minorHAnsi" w:cstheme="minorHAnsi"/>
                <w:sz w:val="18"/>
                <w:szCs w:val="18"/>
              </w:rPr>
              <w:t>3</w:t>
            </w:r>
          </w:p>
        </w:tc>
        <w:tc>
          <w:tcPr>
            <w:tcW w:w="2700" w:type="dxa"/>
          </w:tcPr>
          <w:p w14:paraId="3B503883" w14:textId="77777777" w:rsidR="002D700B" w:rsidRPr="005379D3" w:rsidRDefault="002D700B" w:rsidP="002D700B">
            <w:pPr>
              <w:rPr>
                <w:rFonts w:asciiTheme="minorHAnsi" w:hAnsiTheme="minorHAnsi" w:cstheme="minorHAnsi"/>
                <w:sz w:val="18"/>
                <w:szCs w:val="18"/>
              </w:rPr>
            </w:pPr>
            <w:r>
              <w:rPr>
                <w:rFonts w:asciiTheme="minorHAnsi" w:eastAsia="Times New Roman" w:hAnsiTheme="minorHAnsi" w:cstheme="minorHAnsi"/>
                <w:sz w:val="18"/>
                <w:szCs w:val="18"/>
              </w:rPr>
              <w:t>G</w:t>
            </w:r>
            <w:r w:rsidRPr="005379D3">
              <w:rPr>
                <w:rFonts w:asciiTheme="minorHAnsi" w:eastAsia="Times New Roman" w:hAnsiTheme="minorHAnsi" w:cstheme="minorHAnsi"/>
                <w:sz w:val="18"/>
                <w:szCs w:val="18"/>
              </w:rPr>
              <w:t>eneration investment</w:t>
            </w:r>
            <w:r>
              <w:rPr>
                <w:rFonts w:asciiTheme="minorHAnsi" w:eastAsia="Times New Roman" w:hAnsiTheme="minorHAnsi" w:cstheme="minorHAnsi"/>
                <w:sz w:val="18"/>
                <w:szCs w:val="18"/>
              </w:rPr>
              <w:t xml:space="preserve">s and investment </w:t>
            </w:r>
            <w:r w:rsidRPr="005379D3">
              <w:rPr>
                <w:rFonts w:asciiTheme="minorHAnsi" w:eastAsia="Times New Roman" w:hAnsiTheme="minorHAnsi" w:cstheme="minorHAnsi"/>
                <w:sz w:val="18"/>
                <w:szCs w:val="18"/>
              </w:rPr>
              <w:t>decisions are made in accordance with</w:t>
            </w:r>
            <w:r>
              <w:rPr>
                <w:rFonts w:asciiTheme="minorHAnsi" w:eastAsia="Times New Roman" w:hAnsiTheme="minorHAnsi" w:cstheme="minorHAnsi"/>
                <w:sz w:val="18"/>
                <w:szCs w:val="18"/>
              </w:rPr>
              <w:t xml:space="preserve"> updated</w:t>
            </w:r>
            <w:r w:rsidRPr="005379D3">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GEP</w:t>
            </w:r>
            <w:r w:rsidRPr="005379D3">
              <w:rPr>
                <w:rFonts w:asciiTheme="minorHAnsi" w:eastAsia="Times New Roman" w:hAnsiTheme="minorHAnsi" w:cstheme="minorHAnsi"/>
                <w:sz w:val="18"/>
                <w:szCs w:val="18"/>
              </w:rPr>
              <w:t xml:space="preserve">; T&amp;D network development plans, based on </w:t>
            </w:r>
            <w:r>
              <w:rPr>
                <w:rFonts w:asciiTheme="minorHAnsi" w:eastAsia="Times New Roman" w:hAnsiTheme="minorHAnsi" w:cstheme="minorHAnsi"/>
                <w:sz w:val="18"/>
                <w:szCs w:val="18"/>
              </w:rPr>
              <w:t>GEP</w:t>
            </w:r>
            <w:r w:rsidRPr="005379D3">
              <w:rPr>
                <w:rFonts w:asciiTheme="minorHAnsi" w:eastAsia="Times New Roman" w:hAnsiTheme="minorHAnsi" w:cstheme="minorHAnsi"/>
                <w:sz w:val="18"/>
                <w:szCs w:val="18"/>
              </w:rPr>
              <w:t xml:space="preserve">, are </w:t>
            </w:r>
            <w:proofErr w:type="gramStart"/>
            <w:r w:rsidRPr="005379D3">
              <w:rPr>
                <w:rFonts w:asciiTheme="minorHAnsi" w:eastAsia="Times New Roman" w:hAnsiTheme="minorHAnsi" w:cstheme="minorHAnsi"/>
                <w:sz w:val="18"/>
                <w:szCs w:val="18"/>
              </w:rPr>
              <w:t>prepared</w:t>
            </w:r>
            <w:proofErr w:type="gramEnd"/>
            <w:r w:rsidRPr="005379D3">
              <w:rPr>
                <w:rFonts w:asciiTheme="minorHAnsi" w:eastAsia="Times New Roman" w:hAnsiTheme="minorHAnsi" w:cstheme="minorHAnsi"/>
                <w:sz w:val="18"/>
                <w:szCs w:val="18"/>
              </w:rPr>
              <w:t xml:space="preserve"> and adopted.</w:t>
            </w:r>
          </w:p>
        </w:tc>
        <w:tc>
          <w:tcPr>
            <w:tcW w:w="2430" w:type="dxa"/>
          </w:tcPr>
          <w:p w14:paraId="0F94BAA2" w14:textId="77777777" w:rsidR="002D700B" w:rsidRPr="005379D3" w:rsidRDefault="002D700B" w:rsidP="002D700B">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57C87F70" w14:textId="77777777" w:rsidR="002D700B" w:rsidRPr="005379D3" w:rsidRDefault="002D700B" w:rsidP="002D700B">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2D700B" w:rsidRPr="005379D3" w14:paraId="45C51883" w14:textId="77777777" w:rsidTr="00A64B72">
        <w:trPr>
          <w:trHeight w:val="530"/>
        </w:trPr>
        <w:tc>
          <w:tcPr>
            <w:tcW w:w="3127" w:type="dxa"/>
          </w:tcPr>
          <w:p w14:paraId="1CAFB65E" w14:textId="697C9585" w:rsidR="002D700B" w:rsidRPr="00180846" w:rsidRDefault="002D700B" w:rsidP="002D700B">
            <w:pPr>
              <w:widowControl/>
              <w:autoSpaceDE/>
              <w:autoSpaceDN/>
              <w:adjustRightInd/>
              <w:ind w:left="-40"/>
              <w:rPr>
                <w:rFonts w:ascii="Calibri" w:eastAsia="Times New Roman" w:hAnsi="Calibri" w:cs="Calibri"/>
                <w:sz w:val="18"/>
                <w:szCs w:val="18"/>
              </w:rPr>
            </w:pPr>
            <w:r>
              <w:rPr>
                <w:rFonts w:asciiTheme="minorHAnsi" w:eastAsia="Times New Roman" w:hAnsiTheme="minorHAnsi" w:cstheme="minorHAnsi"/>
                <w:sz w:val="18"/>
                <w:szCs w:val="18"/>
              </w:rPr>
              <w:t>DLR 7</w:t>
            </w:r>
            <w:r w:rsidRPr="005379D3">
              <w:rPr>
                <w:rFonts w:asciiTheme="minorHAnsi" w:eastAsia="Times New Roman" w:hAnsiTheme="minorHAnsi" w:cstheme="minorHAnsi"/>
                <w:sz w:val="18"/>
                <w:szCs w:val="18"/>
              </w:rPr>
              <w:t xml:space="preserve">.4: </w:t>
            </w:r>
            <w:r>
              <w:rPr>
                <w:rFonts w:asciiTheme="minorHAnsi" w:eastAsia="Times New Roman" w:hAnsiTheme="minorHAnsi" w:cstheme="minorHAnsi"/>
                <w:sz w:val="18"/>
                <w:szCs w:val="18"/>
              </w:rPr>
              <w:t xml:space="preserve">By December 31, 2024, </w:t>
            </w:r>
            <w:r>
              <w:rPr>
                <w:rFonts w:ascii="Calibri" w:eastAsia="Times New Roman" w:hAnsi="Calibri" w:cs="Calibri"/>
                <w:sz w:val="18"/>
                <w:szCs w:val="18"/>
              </w:rPr>
              <w:t>n</w:t>
            </w:r>
            <w:r w:rsidRPr="00133FFD">
              <w:rPr>
                <w:rFonts w:ascii="Calibri" w:eastAsia="Times New Roman" w:hAnsi="Calibri" w:cs="Calibri"/>
                <w:sz w:val="18"/>
                <w:szCs w:val="18"/>
              </w:rPr>
              <w:t>ew generation</w:t>
            </w:r>
            <w:r>
              <w:rPr>
                <w:rFonts w:ascii="Calibri" w:eastAsia="Times New Roman" w:hAnsi="Calibri" w:cs="Calibri"/>
                <w:sz w:val="18"/>
                <w:szCs w:val="18"/>
              </w:rPr>
              <w:t xml:space="preserve">, transmission, and distribution </w:t>
            </w:r>
            <w:r w:rsidRPr="00133FFD">
              <w:rPr>
                <w:rFonts w:ascii="Calibri" w:eastAsia="Times New Roman" w:hAnsi="Calibri" w:cs="Calibri"/>
                <w:sz w:val="18"/>
                <w:szCs w:val="18"/>
              </w:rPr>
              <w:t>projects initiated by BT</w:t>
            </w:r>
            <w:r>
              <w:rPr>
                <w:rFonts w:ascii="Calibri" w:eastAsia="Times New Roman" w:hAnsi="Calibri" w:cs="Calibri"/>
                <w:sz w:val="18"/>
                <w:szCs w:val="18"/>
              </w:rPr>
              <w:t>, SIB, STB</w:t>
            </w:r>
            <w:r w:rsidRPr="00133FFD">
              <w:rPr>
                <w:rFonts w:ascii="Calibri" w:eastAsia="Times New Roman" w:hAnsi="Calibri" w:cs="Calibri"/>
                <w:sz w:val="18"/>
                <w:szCs w:val="18"/>
              </w:rPr>
              <w:t xml:space="preserve"> </w:t>
            </w:r>
            <w:r>
              <w:rPr>
                <w:rFonts w:ascii="Calibri" w:eastAsia="Times New Roman" w:hAnsi="Calibri" w:cs="Calibri"/>
                <w:sz w:val="18"/>
                <w:szCs w:val="18"/>
              </w:rPr>
              <w:t xml:space="preserve">respectively </w:t>
            </w:r>
            <w:r w:rsidRPr="00133FFD">
              <w:rPr>
                <w:rFonts w:ascii="Calibri" w:eastAsia="Times New Roman" w:hAnsi="Calibri" w:cs="Calibri"/>
                <w:sz w:val="18"/>
                <w:szCs w:val="18"/>
              </w:rPr>
              <w:t xml:space="preserve">or </w:t>
            </w:r>
            <w:r>
              <w:rPr>
                <w:rFonts w:ascii="Calibri" w:eastAsia="Times New Roman" w:hAnsi="Calibri" w:cs="Calibri"/>
                <w:sz w:val="18"/>
                <w:szCs w:val="18"/>
              </w:rPr>
              <w:t>the Recipient’s government</w:t>
            </w:r>
            <w:r w:rsidRPr="00133FFD">
              <w:rPr>
                <w:rFonts w:ascii="Calibri" w:eastAsia="Times New Roman" w:hAnsi="Calibri" w:cs="Calibri"/>
                <w:sz w:val="18"/>
                <w:szCs w:val="18"/>
              </w:rPr>
              <w:t xml:space="preserve"> are consistent with </w:t>
            </w:r>
            <w:r>
              <w:rPr>
                <w:rFonts w:ascii="Calibri" w:eastAsia="Times New Roman" w:hAnsi="Calibri" w:cs="Calibri"/>
                <w:sz w:val="18"/>
                <w:szCs w:val="18"/>
              </w:rPr>
              <w:t xml:space="preserve">the </w:t>
            </w:r>
            <w:r w:rsidRPr="00133FFD">
              <w:rPr>
                <w:rFonts w:ascii="Calibri" w:eastAsia="Times New Roman" w:hAnsi="Calibri" w:cs="Calibri"/>
                <w:sz w:val="18"/>
                <w:szCs w:val="18"/>
              </w:rPr>
              <w:t>a</w:t>
            </w:r>
            <w:r>
              <w:rPr>
                <w:rFonts w:ascii="Calibri" w:eastAsia="Times New Roman" w:hAnsi="Calibri" w:cs="Calibri"/>
                <w:sz w:val="18"/>
                <w:szCs w:val="18"/>
              </w:rPr>
              <w:t>pproved</w:t>
            </w:r>
            <w:r w:rsidRPr="00133FFD">
              <w:rPr>
                <w:rFonts w:ascii="Calibri" w:eastAsia="Times New Roman" w:hAnsi="Calibri" w:cs="Calibri"/>
                <w:sz w:val="18"/>
                <w:szCs w:val="18"/>
              </w:rPr>
              <w:t xml:space="preserve"> plans</w:t>
            </w:r>
            <w:r>
              <w:rPr>
                <w:rFonts w:ascii="Calibri" w:eastAsia="Times New Roman" w:hAnsi="Calibri" w:cs="Calibri"/>
                <w:sz w:val="18"/>
                <w:szCs w:val="18"/>
              </w:rPr>
              <w:t>.</w:t>
            </w:r>
          </w:p>
        </w:tc>
        <w:tc>
          <w:tcPr>
            <w:tcW w:w="1350" w:type="dxa"/>
          </w:tcPr>
          <w:p w14:paraId="1BF3F7D0" w14:textId="376DE9ED" w:rsidR="002D700B" w:rsidRPr="005379D3" w:rsidRDefault="002D700B" w:rsidP="002D700B">
            <w:pPr>
              <w:rPr>
                <w:rFonts w:asciiTheme="minorHAnsi" w:hAnsiTheme="minorHAnsi" w:cstheme="minorHAnsi"/>
                <w:sz w:val="18"/>
                <w:szCs w:val="18"/>
              </w:rPr>
            </w:pPr>
            <w:r>
              <w:rPr>
                <w:rFonts w:asciiTheme="minorHAnsi" w:hAnsiTheme="minorHAnsi" w:cstheme="minorHAnsi"/>
                <w:sz w:val="18"/>
                <w:szCs w:val="18"/>
              </w:rPr>
              <w:t>US$300,000</w:t>
            </w:r>
          </w:p>
        </w:tc>
        <w:tc>
          <w:tcPr>
            <w:tcW w:w="990" w:type="dxa"/>
          </w:tcPr>
          <w:p w14:paraId="79769ADC" w14:textId="77777777" w:rsidR="002D700B" w:rsidRPr="005379D3" w:rsidRDefault="002D700B" w:rsidP="002D700B">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561FE1E2" w14:textId="61C9FF3F" w:rsidR="002D700B" w:rsidRPr="005379D3" w:rsidRDefault="002D700B" w:rsidP="002D700B">
            <w:pPr>
              <w:rPr>
                <w:rFonts w:asciiTheme="minorHAnsi" w:hAnsiTheme="minorHAnsi" w:cstheme="minorHAnsi"/>
                <w:sz w:val="18"/>
                <w:szCs w:val="18"/>
              </w:rPr>
            </w:pPr>
            <w:r w:rsidRPr="005379D3">
              <w:rPr>
                <w:rFonts w:asciiTheme="minorHAnsi" w:hAnsiTheme="minorHAnsi" w:cstheme="minorHAnsi"/>
                <w:sz w:val="18"/>
                <w:szCs w:val="18"/>
              </w:rPr>
              <w:t>Dec. 3</w:t>
            </w:r>
            <w:r>
              <w:rPr>
                <w:rFonts w:asciiTheme="minorHAnsi" w:hAnsiTheme="minorHAnsi" w:cstheme="minorHAnsi"/>
                <w:sz w:val="18"/>
                <w:szCs w:val="18"/>
              </w:rPr>
              <w:t>1</w:t>
            </w:r>
            <w:r w:rsidRPr="005379D3">
              <w:rPr>
                <w:rFonts w:asciiTheme="minorHAnsi" w:hAnsiTheme="minorHAnsi" w:cstheme="minorHAnsi"/>
                <w:sz w:val="18"/>
                <w:szCs w:val="18"/>
              </w:rPr>
              <w:t>, 202</w:t>
            </w:r>
            <w:r>
              <w:rPr>
                <w:rFonts w:asciiTheme="minorHAnsi" w:hAnsiTheme="minorHAnsi" w:cstheme="minorHAnsi"/>
                <w:sz w:val="18"/>
                <w:szCs w:val="18"/>
              </w:rPr>
              <w:t>4</w:t>
            </w:r>
          </w:p>
        </w:tc>
        <w:tc>
          <w:tcPr>
            <w:tcW w:w="2700" w:type="dxa"/>
          </w:tcPr>
          <w:p w14:paraId="20296D9A" w14:textId="77777777" w:rsidR="002D700B" w:rsidRPr="005379D3" w:rsidRDefault="002D700B" w:rsidP="002D700B">
            <w:pPr>
              <w:rPr>
                <w:rFonts w:asciiTheme="minorHAnsi" w:hAnsiTheme="minorHAnsi" w:cstheme="minorHAnsi"/>
                <w:sz w:val="18"/>
                <w:szCs w:val="18"/>
              </w:rPr>
            </w:pPr>
            <w:r>
              <w:rPr>
                <w:rFonts w:asciiTheme="minorHAnsi" w:eastAsia="Times New Roman" w:hAnsiTheme="minorHAnsi" w:cstheme="minorHAnsi"/>
                <w:sz w:val="18"/>
                <w:szCs w:val="18"/>
              </w:rPr>
              <w:t>G</w:t>
            </w:r>
            <w:r w:rsidRPr="005379D3">
              <w:rPr>
                <w:rFonts w:asciiTheme="minorHAnsi" w:eastAsia="Times New Roman" w:hAnsiTheme="minorHAnsi" w:cstheme="minorHAnsi"/>
                <w:sz w:val="18"/>
                <w:szCs w:val="18"/>
              </w:rPr>
              <w:t xml:space="preserve">eneration </w:t>
            </w:r>
            <w:r>
              <w:rPr>
                <w:rFonts w:asciiTheme="minorHAnsi" w:eastAsia="Times New Roman" w:hAnsiTheme="minorHAnsi" w:cstheme="minorHAnsi"/>
                <w:sz w:val="18"/>
                <w:szCs w:val="18"/>
              </w:rPr>
              <w:t xml:space="preserve">as </w:t>
            </w:r>
            <w:r w:rsidRPr="005379D3">
              <w:rPr>
                <w:rFonts w:asciiTheme="minorHAnsi" w:eastAsia="Times New Roman" w:hAnsiTheme="minorHAnsi" w:cstheme="minorHAnsi"/>
                <w:sz w:val="18"/>
                <w:szCs w:val="18"/>
              </w:rPr>
              <w:t xml:space="preserve">well as T&amp;D </w:t>
            </w:r>
            <w:r>
              <w:rPr>
                <w:rFonts w:asciiTheme="minorHAnsi" w:eastAsia="Times New Roman" w:hAnsiTheme="minorHAnsi" w:cstheme="minorHAnsi"/>
                <w:sz w:val="18"/>
                <w:szCs w:val="18"/>
              </w:rPr>
              <w:t>investments and investment decisions are</w:t>
            </w:r>
            <w:r w:rsidRPr="005379D3">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made</w:t>
            </w:r>
            <w:r w:rsidRPr="005379D3">
              <w:rPr>
                <w:rFonts w:asciiTheme="minorHAnsi" w:eastAsia="Times New Roman" w:hAnsiTheme="minorHAnsi" w:cstheme="minorHAnsi"/>
                <w:sz w:val="18"/>
                <w:szCs w:val="18"/>
              </w:rPr>
              <w:t xml:space="preserve"> consistent with adopted plans.</w:t>
            </w:r>
          </w:p>
        </w:tc>
        <w:tc>
          <w:tcPr>
            <w:tcW w:w="2430" w:type="dxa"/>
          </w:tcPr>
          <w:p w14:paraId="705E5FE5" w14:textId="77777777" w:rsidR="002D700B" w:rsidRPr="005379D3" w:rsidRDefault="002D700B" w:rsidP="002D700B">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6F91C1CF" w14:textId="77777777" w:rsidR="002D700B" w:rsidRPr="005379D3" w:rsidRDefault="002D700B" w:rsidP="002D700B">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 </w:t>
            </w:r>
            <w:r w:rsidRPr="005379D3">
              <w:rPr>
                <w:rFonts w:asciiTheme="minorHAnsi" w:hAnsiTheme="minorHAnsi" w:cstheme="minorHAnsi"/>
                <w:sz w:val="18"/>
                <w:szCs w:val="18"/>
              </w:rPr>
              <w:t>disbursement for full compliance. No disbursement in case of partial or complete non-compliance.</w:t>
            </w:r>
          </w:p>
        </w:tc>
      </w:tr>
      <w:tr w:rsidR="002D700B" w:rsidRPr="005379D3" w14:paraId="54A8360D" w14:textId="77777777" w:rsidTr="00A64B72">
        <w:trPr>
          <w:trHeight w:val="530"/>
        </w:trPr>
        <w:tc>
          <w:tcPr>
            <w:tcW w:w="3127" w:type="dxa"/>
          </w:tcPr>
          <w:p w14:paraId="354A2C3D" w14:textId="76C45C3B" w:rsidR="002D700B" w:rsidRPr="005379D3" w:rsidRDefault="002D700B" w:rsidP="002D700B">
            <w:pPr>
              <w:ind w:left="-40"/>
              <w:rPr>
                <w:rFonts w:asciiTheme="minorHAnsi" w:eastAsia="Times New Roman" w:hAnsiTheme="minorHAnsi" w:cstheme="minorHAnsi"/>
                <w:sz w:val="18"/>
                <w:szCs w:val="18"/>
              </w:rPr>
            </w:pPr>
            <w:r>
              <w:rPr>
                <w:rFonts w:asciiTheme="minorHAnsi" w:eastAsia="Times New Roman" w:hAnsiTheme="minorHAnsi" w:cstheme="minorHAnsi"/>
                <w:sz w:val="18"/>
                <w:szCs w:val="18"/>
              </w:rPr>
              <w:t>DLR 7</w:t>
            </w:r>
            <w:r w:rsidRPr="005379D3">
              <w:rPr>
                <w:rFonts w:asciiTheme="minorHAnsi" w:eastAsia="Times New Roman" w:hAnsiTheme="minorHAnsi" w:cstheme="minorHAnsi"/>
                <w:sz w:val="18"/>
                <w:szCs w:val="18"/>
              </w:rPr>
              <w:t xml:space="preserve">.5: </w:t>
            </w:r>
            <w:r>
              <w:rPr>
                <w:rFonts w:asciiTheme="minorHAnsi" w:eastAsia="Times New Roman" w:hAnsiTheme="minorHAnsi" w:cstheme="minorHAnsi"/>
                <w:sz w:val="18"/>
                <w:szCs w:val="18"/>
              </w:rPr>
              <w:t xml:space="preserve">By December 31, 2025, </w:t>
            </w:r>
            <w:r>
              <w:rPr>
                <w:rFonts w:ascii="Calibri" w:eastAsia="Times New Roman" w:hAnsi="Calibri" w:cs="Calibri"/>
                <w:sz w:val="18"/>
                <w:szCs w:val="18"/>
              </w:rPr>
              <w:t>n</w:t>
            </w:r>
            <w:r w:rsidRPr="00133FFD">
              <w:rPr>
                <w:rFonts w:ascii="Calibri" w:eastAsia="Times New Roman" w:hAnsi="Calibri" w:cs="Calibri"/>
                <w:sz w:val="18"/>
                <w:szCs w:val="18"/>
              </w:rPr>
              <w:t>ew generation</w:t>
            </w:r>
            <w:r>
              <w:rPr>
                <w:rFonts w:ascii="Calibri" w:eastAsia="Times New Roman" w:hAnsi="Calibri" w:cs="Calibri"/>
                <w:sz w:val="18"/>
                <w:szCs w:val="18"/>
              </w:rPr>
              <w:t xml:space="preserve">, transmission, and distribution </w:t>
            </w:r>
            <w:r w:rsidRPr="00133FFD">
              <w:rPr>
                <w:rFonts w:ascii="Calibri" w:eastAsia="Times New Roman" w:hAnsi="Calibri" w:cs="Calibri"/>
                <w:sz w:val="18"/>
                <w:szCs w:val="18"/>
              </w:rPr>
              <w:t>projects initiated by BT</w:t>
            </w:r>
            <w:r>
              <w:rPr>
                <w:rFonts w:ascii="Calibri" w:eastAsia="Times New Roman" w:hAnsi="Calibri" w:cs="Calibri"/>
                <w:sz w:val="18"/>
                <w:szCs w:val="18"/>
              </w:rPr>
              <w:t>, SIB, STB</w:t>
            </w:r>
            <w:r w:rsidRPr="00133FFD">
              <w:rPr>
                <w:rFonts w:ascii="Calibri" w:eastAsia="Times New Roman" w:hAnsi="Calibri" w:cs="Calibri"/>
                <w:sz w:val="18"/>
                <w:szCs w:val="18"/>
              </w:rPr>
              <w:t xml:space="preserve"> </w:t>
            </w:r>
            <w:r>
              <w:rPr>
                <w:rFonts w:ascii="Calibri" w:eastAsia="Times New Roman" w:hAnsi="Calibri" w:cs="Calibri"/>
                <w:sz w:val="18"/>
                <w:szCs w:val="18"/>
              </w:rPr>
              <w:t xml:space="preserve">respectively </w:t>
            </w:r>
            <w:r w:rsidRPr="00133FFD">
              <w:rPr>
                <w:rFonts w:ascii="Calibri" w:eastAsia="Times New Roman" w:hAnsi="Calibri" w:cs="Calibri"/>
                <w:sz w:val="18"/>
                <w:szCs w:val="18"/>
              </w:rPr>
              <w:t xml:space="preserve">or </w:t>
            </w:r>
            <w:r>
              <w:rPr>
                <w:rFonts w:ascii="Calibri" w:eastAsia="Times New Roman" w:hAnsi="Calibri" w:cs="Calibri"/>
                <w:sz w:val="18"/>
                <w:szCs w:val="18"/>
              </w:rPr>
              <w:t>the Recipient’s government</w:t>
            </w:r>
            <w:r w:rsidRPr="00133FFD">
              <w:rPr>
                <w:rFonts w:ascii="Calibri" w:eastAsia="Times New Roman" w:hAnsi="Calibri" w:cs="Calibri"/>
                <w:sz w:val="18"/>
                <w:szCs w:val="18"/>
              </w:rPr>
              <w:t xml:space="preserve"> are consistent with </w:t>
            </w:r>
            <w:r>
              <w:rPr>
                <w:rFonts w:ascii="Calibri" w:eastAsia="Times New Roman" w:hAnsi="Calibri" w:cs="Calibri"/>
                <w:sz w:val="18"/>
                <w:szCs w:val="18"/>
              </w:rPr>
              <w:t xml:space="preserve">the </w:t>
            </w:r>
            <w:r w:rsidRPr="00133FFD">
              <w:rPr>
                <w:rFonts w:ascii="Calibri" w:eastAsia="Times New Roman" w:hAnsi="Calibri" w:cs="Calibri"/>
                <w:sz w:val="18"/>
                <w:szCs w:val="18"/>
              </w:rPr>
              <w:t>a</w:t>
            </w:r>
            <w:r>
              <w:rPr>
                <w:rFonts w:ascii="Calibri" w:eastAsia="Times New Roman" w:hAnsi="Calibri" w:cs="Calibri"/>
                <w:sz w:val="18"/>
                <w:szCs w:val="18"/>
              </w:rPr>
              <w:t>pproved</w:t>
            </w:r>
            <w:r w:rsidRPr="00133FFD">
              <w:rPr>
                <w:rFonts w:ascii="Calibri" w:eastAsia="Times New Roman" w:hAnsi="Calibri" w:cs="Calibri"/>
                <w:sz w:val="18"/>
                <w:szCs w:val="18"/>
              </w:rPr>
              <w:t xml:space="preserve"> plans</w:t>
            </w:r>
            <w:r>
              <w:rPr>
                <w:rFonts w:ascii="Calibri" w:eastAsia="Times New Roman" w:hAnsi="Calibri" w:cs="Calibri"/>
                <w:sz w:val="18"/>
                <w:szCs w:val="18"/>
              </w:rPr>
              <w:t>.</w:t>
            </w:r>
          </w:p>
        </w:tc>
        <w:tc>
          <w:tcPr>
            <w:tcW w:w="1350" w:type="dxa"/>
          </w:tcPr>
          <w:p w14:paraId="798FE10B" w14:textId="5E98D484" w:rsidR="002D700B" w:rsidRPr="005379D3" w:rsidRDefault="002D700B" w:rsidP="002D700B">
            <w:pPr>
              <w:rPr>
                <w:rFonts w:asciiTheme="minorHAnsi" w:hAnsiTheme="minorHAnsi" w:cstheme="minorHAnsi"/>
                <w:sz w:val="18"/>
                <w:szCs w:val="18"/>
              </w:rPr>
            </w:pPr>
            <w:r>
              <w:rPr>
                <w:rFonts w:asciiTheme="minorHAnsi" w:hAnsiTheme="minorHAnsi" w:cstheme="minorHAnsi"/>
                <w:sz w:val="18"/>
                <w:szCs w:val="18"/>
              </w:rPr>
              <w:t>US$</w:t>
            </w:r>
            <w:r w:rsidR="00FB406C">
              <w:rPr>
                <w:rFonts w:asciiTheme="minorHAnsi" w:hAnsiTheme="minorHAnsi" w:cstheme="minorHAnsi"/>
                <w:sz w:val="18"/>
                <w:szCs w:val="18"/>
              </w:rPr>
              <w:t>2</w:t>
            </w:r>
            <w:r>
              <w:rPr>
                <w:rFonts w:asciiTheme="minorHAnsi" w:hAnsiTheme="minorHAnsi" w:cstheme="minorHAnsi"/>
                <w:sz w:val="18"/>
                <w:szCs w:val="18"/>
              </w:rPr>
              <w:t>00,000</w:t>
            </w:r>
          </w:p>
        </w:tc>
        <w:tc>
          <w:tcPr>
            <w:tcW w:w="990" w:type="dxa"/>
          </w:tcPr>
          <w:p w14:paraId="1FB96EBD" w14:textId="77777777" w:rsidR="002D700B" w:rsidRPr="005379D3" w:rsidRDefault="002D700B" w:rsidP="002D700B">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27DA195C" w14:textId="3DE83BF0" w:rsidR="002D700B" w:rsidRPr="005379D3" w:rsidRDefault="002D700B" w:rsidP="002D700B">
            <w:pPr>
              <w:rPr>
                <w:rFonts w:asciiTheme="minorHAnsi" w:hAnsiTheme="minorHAnsi" w:cstheme="minorHAnsi"/>
                <w:sz w:val="18"/>
                <w:szCs w:val="18"/>
              </w:rPr>
            </w:pPr>
            <w:r w:rsidRPr="005379D3">
              <w:rPr>
                <w:rFonts w:asciiTheme="minorHAnsi" w:hAnsiTheme="minorHAnsi" w:cstheme="minorHAnsi"/>
                <w:sz w:val="18"/>
                <w:szCs w:val="18"/>
              </w:rPr>
              <w:t>Dec. 31, 202</w:t>
            </w:r>
            <w:r>
              <w:rPr>
                <w:rFonts w:asciiTheme="minorHAnsi" w:hAnsiTheme="minorHAnsi" w:cstheme="minorHAnsi"/>
                <w:sz w:val="18"/>
                <w:szCs w:val="18"/>
              </w:rPr>
              <w:t>5</w:t>
            </w:r>
          </w:p>
        </w:tc>
        <w:tc>
          <w:tcPr>
            <w:tcW w:w="2700" w:type="dxa"/>
          </w:tcPr>
          <w:p w14:paraId="750BA9F2" w14:textId="77777777" w:rsidR="002D700B" w:rsidRPr="005379D3" w:rsidRDefault="002D700B" w:rsidP="002D700B">
            <w:pPr>
              <w:rPr>
                <w:rFonts w:asciiTheme="minorHAnsi" w:hAnsiTheme="minorHAnsi" w:cstheme="minorHAnsi"/>
                <w:sz w:val="18"/>
                <w:szCs w:val="18"/>
              </w:rPr>
            </w:pPr>
            <w:r>
              <w:rPr>
                <w:rFonts w:asciiTheme="minorHAnsi" w:eastAsia="Times New Roman" w:hAnsiTheme="minorHAnsi" w:cstheme="minorHAnsi"/>
                <w:sz w:val="18"/>
                <w:szCs w:val="18"/>
              </w:rPr>
              <w:t>G</w:t>
            </w:r>
            <w:r w:rsidRPr="005379D3">
              <w:rPr>
                <w:rFonts w:asciiTheme="minorHAnsi" w:eastAsia="Times New Roman" w:hAnsiTheme="minorHAnsi" w:cstheme="minorHAnsi"/>
                <w:sz w:val="18"/>
                <w:szCs w:val="18"/>
              </w:rPr>
              <w:t xml:space="preserve">eneration </w:t>
            </w:r>
            <w:r>
              <w:rPr>
                <w:rFonts w:asciiTheme="minorHAnsi" w:eastAsia="Times New Roman" w:hAnsiTheme="minorHAnsi" w:cstheme="minorHAnsi"/>
                <w:sz w:val="18"/>
                <w:szCs w:val="18"/>
              </w:rPr>
              <w:t xml:space="preserve">as </w:t>
            </w:r>
            <w:r w:rsidRPr="005379D3">
              <w:rPr>
                <w:rFonts w:asciiTheme="minorHAnsi" w:eastAsia="Times New Roman" w:hAnsiTheme="minorHAnsi" w:cstheme="minorHAnsi"/>
                <w:sz w:val="18"/>
                <w:szCs w:val="18"/>
              </w:rPr>
              <w:t xml:space="preserve">well as T&amp;D </w:t>
            </w:r>
            <w:r>
              <w:rPr>
                <w:rFonts w:asciiTheme="minorHAnsi" w:eastAsia="Times New Roman" w:hAnsiTheme="minorHAnsi" w:cstheme="minorHAnsi"/>
                <w:sz w:val="18"/>
                <w:szCs w:val="18"/>
              </w:rPr>
              <w:t>investments and investment decisions are</w:t>
            </w:r>
            <w:r w:rsidRPr="005379D3">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made</w:t>
            </w:r>
            <w:r w:rsidRPr="005379D3">
              <w:rPr>
                <w:rFonts w:asciiTheme="minorHAnsi" w:eastAsia="Times New Roman" w:hAnsiTheme="minorHAnsi" w:cstheme="minorHAnsi"/>
                <w:sz w:val="18"/>
                <w:szCs w:val="18"/>
              </w:rPr>
              <w:t xml:space="preserve"> consistent with adopted plans.</w:t>
            </w:r>
          </w:p>
        </w:tc>
        <w:tc>
          <w:tcPr>
            <w:tcW w:w="2430" w:type="dxa"/>
          </w:tcPr>
          <w:p w14:paraId="5B83ACB6" w14:textId="77777777" w:rsidR="002D700B" w:rsidRPr="005379D3" w:rsidRDefault="002D700B" w:rsidP="002D700B">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6585AF70" w14:textId="77777777" w:rsidR="002D700B" w:rsidRPr="005379D3" w:rsidRDefault="002D700B" w:rsidP="002D700B">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2D700B" w:rsidRPr="005379D3" w14:paraId="3F103F51" w14:textId="77777777" w:rsidTr="00A64B72">
        <w:trPr>
          <w:trHeight w:val="530"/>
        </w:trPr>
        <w:tc>
          <w:tcPr>
            <w:tcW w:w="3127" w:type="dxa"/>
          </w:tcPr>
          <w:p w14:paraId="542E6CCF" w14:textId="67F5E768" w:rsidR="002D700B" w:rsidRPr="005379D3" w:rsidRDefault="002D700B" w:rsidP="002D700B">
            <w:pPr>
              <w:ind w:left="-40"/>
              <w:rPr>
                <w:rFonts w:asciiTheme="minorHAnsi" w:eastAsia="Times New Roman" w:hAnsiTheme="minorHAnsi" w:cstheme="minorHAnsi"/>
                <w:sz w:val="18"/>
                <w:szCs w:val="18"/>
              </w:rPr>
            </w:pPr>
            <w:r>
              <w:rPr>
                <w:rFonts w:asciiTheme="minorHAnsi" w:eastAsia="Times New Roman" w:hAnsiTheme="minorHAnsi" w:cstheme="minorHAnsi"/>
                <w:sz w:val="18"/>
                <w:szCs w:val="18"/>
              </w:rPr>
              <w:t>DLR 7</w:t>
            </w:r>
            <w:r w:rsidRPr="005379D3">
              <w:rPr>
                <w:rFonts w:asciiTheme="minorHAnsi" w:eastAsia="Times New Roman" w:hAnsiTheme="minorHAnsi" w:cstheme="minorHAnsi"/>
                <w:sz w:val="18"/>
                <w:szCs w:val="18"/>
              </w:rPr>
              <w:t>.</w:t>
            </w:r>
            <w:r>
              <w:rPr>
                <w:rFonts w:asciiTheme="minorHAnsi" w:eastAsia="Times New Roman" w:hAnsiTheme="minorHAnsi" w:cstheme="minorHAnsi"/>
                <w:sz w:val="18"/>
                <w:szCs w:val="18"/>
              </w:rPr>
              <w:t>6</w:t>
            </w:r>
            <w:r w:rsidRPr="005379D3">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 xml:space="preserve">By December 31, 2026, </w:t>
            </w:r>
            <w:r>
              <w:rPr>
                <w:rFonts w:ascii="Calibri" w:eastAsia="Times New Roman" w:hAnsi="Calibri" w:cs="Calibri"/>
                <w:sz w:val="18"/>
                <w:szCs w:val="18"/>
              </w:rPr>
              <w:t>n</w:t>
            </w:r>
            <w:r w:rsidRPr="00133FFD">
              <w:rPr>
                <w:rFonts w:ascii="Calibri" w:eastAsia="Times New Roman" w:hAnsi="Calibri" w:cs="Calibri"/>
                <w:sz w:val="18"/>
                <w:szCs w:val="18"/>
              </w:rPr>
              <w:t>ew generation</w:t>
            </w:r>
            <w:r>
              <w:rPr>
                <w:rFonts w:ascii="Calibri" w:eastAsia="Times New Roman" w:hAnsi="Calibri" w:cs="Calibri"/>
                <w:sz w:val="18"/>
                <w:szCs w:val="18"/>
              </w:rPr>
              <w:t xml:space="preserve">, transmission, and distribution </w:t>
            </w:r>
            <w:r w:rsidRPr="00133FFD">
              <w:rPr>
                <w:rFonts w:ascii="Calibri" w:eastAsia="Times New Roman" w:hAnsi="Calibri" w:cs="Calibri"/>
                <w:sz w:val="18"/>
                <w:szCs w:val="18"/>
              </w:rPr>
              <w:t>projects initiated by BT</w:t>
            </w:r>
            <w:r>
              <w:rPr>
                <w:rFonts w:ascii="Calibri" w:eastAsia="Times New Roman" w:hAnsi="Calibri" w:cs="Calibri"/>
                <w:sz w:val="18"/>
                <w:szCs w:val="18"/>
              </w:rPr>
              <w:t>, SIB, STB</w:t>
            </w:r>
            <w:r w:rsidRPr="00133FFD">
              <w:rPr>
                <w:rFonts w:ascii="Calibri" w:eastAsia="Times New Roman" w:hAnsi="Calibri" w:cs="Calibri"/>
                <w:sz w:val="18"/>
                <w:szCs w:val="18"/>
              </w:rPr>
              <w:t xml:space="preserve"> </w:t>
            </w:r>
            <w:r>
              <w:rPr>
                <w:rFonts w:ascii="Calibri" w:eastAsia="Times New Roman" w:hAnsi="Calibri" w:cs="Calibri"/>
                <w:sz w:val="18"/>
                <w:szCs w:val="18"/>
              </w:rPr>
              <w:t xml:space="preserve">respectively </w:t>
            </w:r>
            <w:r w:rsidRPr="00133FFD">
              <w:rPr>
                <w:rFonts w:ascii="Calibri" w:eastAsia="Times New Roman" w:hAnsi="Calibri" w:cs="Calibri"/>
                <w:sz w:val="18"/>
                <w:szCs w:val="18"/>
              </w:rPr>
              <w:t xml:space="preserve">or </w:t>
            </w:r>
            <w:r>
              <w:rPr>
                <w:rFonts w:ascii="Calibri" w:eastAsia="Times New Roman" w:hAnsi="Calibri" w:cs="Calibri"/>
                <w:sz w:val="18"/>
                <w:szCs w:val="18"/>
              </w:rPr>
              <w:t>the Recipient’s government</w:t>
            </w:r>
            <w:r w:rsidRPr="00133FFD">
              <w:rPr>
                <w:rFonts w:ascii="Calibri" w:eastAsia="Times New Roman" w:hAnsi="Calibri" w:cs="Calibri"/>
                <w:sz w:val="18"/>
                <w:szCs w:val="18"/>
              </w:rPr>
              <w:t xml:space="preserve"> are consistent with </w:t>
            </w:r>
            <w:r>
              <w:rPr>
                <w:rFonts w:ascii="Calibri" w:eastAsia="Times New Roman" w:hAnsi="Calibri" w:cs="Calibri"/>
                <w:sz w:val="18"/>
                <w:szCs w:val="18"/>
              </w:rPr>
              <w:t xml:space="preserve">the </w:t>
            </w:r>
            <w:r w:rsidRPr="00133FFD">
              <w:rPr>
                <w:rFonts w:ascii="Calibri" w:eastAsia="Times New Roman" w:hAnsi="Calibri" w:cs="Calibri"/>
                <w:sz w:val="18"/>
                <w:szCs w:val="18"/>
              </w:rPr>
              <w:t>a</w:t>
            </w:r>
            <w:r>
              <w:rPr>
                <w:rFonts w:ascii="Calibri" w:eastAsia="Times New Roman" w:hAnsi="Calibri" w:cs="Calibri"/>
                <w:sz w:val="18"/>
                <w:szCs w:val="18"/>
              </w:rPr>
              <w:t>pproved</w:t>
            </w:r>
            <w:r w:rsidRPr="00133FFD">
              <w:rPr>
                <w:rFonts w:ascii="Calibri" w:eastAsia="Times New Roman" w:hAnsi="Calibri" w:cs="Calibri"/>
                <w:sz w:val="18"/>
                <w:szCs w:val="18"/>
              </w:rPr>
              <w:t xml:space="preserve"> plans</w:t>
            </w:r>
            <w:r>
              <w:rPr>
                <w:rFonts w:ascii="Calibri" w:eastAsia="Times New Roman" w:hAnsi="Calibri" w:cs="Calibri"/>
                <w:sz w:val="18"/>
                <w:szCs w:val="18"/>
              </w:rPr>
              <w:t>.</w:t>
            </w:r>
          </w:p>
        </w:tc>
        <w:tc>
          <w:tcPr>
            <w:tcW w:w="1350" w:type="dxa"/>
          </w:tcPr>
          <w:p w14:paraId="1411241C" w14:textId="71B1B9EF" w:rsidR="002D700B" w:rsidRPr="005379D3" w:rsidRDefault="002D700B" w:rsidP="002D700B">
            <w:pPr>
              <w:rPr>
                <w:rFonts w:asciiTheme="minorHAnsi" w:hAnsiTheme="minorHAnsi" w:cstheme="minorHAnsi"/>
                <w:sz w:val="18"/>
                <w:szCs w:val="18"/>
              </w:rPr>
            </w:pPr>
            <w:r>
              <w:rPr>
                <w:rFonts w:asciiTheme="minorHAnsi" w:hAnsiTheme="minorHAnsi" w:cstheme="minorHAnsi"/>
                <w:sz w:val="18"/>
                <w:szCs w:val="18"/>
              </w:rPr>
              <w:t>US$</w:t>
            </w:r>
            <w:r w:rsidR="00FB406C">
              <w:rPr>
                <w:rFonts w:asciiTheme="minorHAnsi" w:hAnsiTheme="minorHAnsi" w:cstheme="minorHAnsi"/>
                <w:sz w:val="18"/>
                <w:szCs w:val="18"/>
              </w:rPr>
              <w:t>2</w:t>
            </w:r>
            <w:r>
              <w:rPr>
                <w:rFonts w:asciiTheme="minorHAnsi" w:hAnsiTheme="minorHAnsi" w:cstheme="minorHAnsi"/>
                <w:sz w:val="18"/>
                <w:szCs w:val="18"/>
              </w:rPr>
              <w:t>00,000</w:t>
            </w:r>
          </w:p>
        </w:tc>
        <w:tc>
          <w:tcPr>
            <w:tcW w:w="990" w:type="dxa"/>
          </w:tcPr>
          <w:p w14:paraId="70A2F0A7" w14:textId="77777777" w:rsidR="002D700B" w:rsidRPr="005379D3" w:rsidRDefault="002D700B" w:rsidP="002D700B">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35F7367F" w14:textId="69E9E13A" w:rsidR="002D700B" w:rsidRPr="005379D3" w:rsidRDefault="002D700B" w:rsidP="002D700B">
            <w:pPr>
              <w:rPr>
                <w:rFonts w:asciiTheme="minorHAnsi" w:hAnsiTheme="minorHAnsi" w:cstheme="minorHAnsi"/>
                <w:sz w:val="18"/>
                <w:szCs w:val="18"/>
              </w:rPr>
            </w:pPr>
            <w:r w:rsidRPr="005379D3">
              <w:rPr>
                <w:rFonts w:asciiTheme="minorHAnsi" w:hAnsiTheme="minorHAnsi" w:cstheme="minorHAnsi"/>
                <w:sz w:val="18"/>
                <w:szCs w:val="18"/>
              </w:rPr>
              <w:t>Dec. 31, 202</w:t>
            </w:r>
            <w:r>
              <w:rPr>
                <w:rFonts w:asciiTheme="minorHAnsi" w:hAnsiTheme="minorHAnsi" w:cstheme="minorHAnsi"/>
                <w:sz w:val="18"/>
                <w:szCs w:val="18"/>
              </w:rPr>
              <w:t>6</w:t>
            </w:r>
          </w:p>
        </w:tc>
        <w:tc>
          <w:tcPr>
            <w:tcW w:w="2700" w:type="dxa"/>
          </w:tcPr>
          <w:p w14:paraId="67F27B7A" w14:textId="77777777" w:rsidR="002D700B" w:rsidRPr="005379D3" w:rsidRDefault="002D700B" w:rsidP="002D700B">
            <w:pPr>
              <w:rPr>
                <w:rFonts w:asciiTheme="minorHAnsi" w:hAnsiTheme="minorHAnsi" w:cstheme="minorHAnsi"/>
                <w:sz w:val="18"/>
                <w:szCs w:val="18"/>
              </w:rPr>
            </w:pPr>
            <w:r>
              <w:rPr>
                <w:rFonts w:asciiTheme="minorHAnsi" w:eastAsia="Times New Roman" w:hAnsiTheme="minorHAnsi" w:cstheme="minorHAnsi"/>
                <w:sz w:val="18"/>
                <w:szCs w:val="18"/>
              </w:rPr>
              <w:t>G</w:t>
            </w:r>
            <w:r w:rsidRPr="005379D3">
              <w:rPr>
                <w:rFonts w:asciiTheme="minorHAnsi" w:eastAsia="Times New Roman" w:hAnsiTheme="minorHAnsi" w:cstheme="minorHAnsi"/>
                <w:sz w:val="18"/>
                <w:szCs w:val="18"/>
              </w:rPr>
              <w:t xml:space="preserve">eneration </w:t>
            </w:r>
            <w:r>
              <w:rPr>
                <w:rFonts w:asciiTheme="minorHAnsi" w:eastAsia="Times New Roman" w:hAnsiTheme="minorHAnsi" w:cstheme="minorHAnsi"/>
                <w:sz w:val="18"/>
                <w:szCs w:val="18"/>
              </w:rPr>
              <w:t xml:space="preserve">as </w:t>
            </w:r>
            <w:r w:rsidRPr="005379D3">
              <w:rPr>
                <w:rFonts w:asciiTheme="minorHAnsi" w:eastAsia="Times New Roman" w:hAnsiTheme="minorHAnsi" w:cstheme="minorHAnsi"/>
                <w:sz w:val="18"/>
                <w:szCs w:val="18"/>
              </w:rPr>
              <w:t xml:space="preserve">well as T&amp;D </w:t>
            </w:r>
            <w:r>
              <w:rPr>
                <w:rFonts w:asciiTheme="minorHAnsi" w:eastAsia="Times New Roman" w:hAnsiTheme="minorHAnsi" w:cstheme="minorHAnsi"/>
                <w:sz w:val="18"/>
                <w:szCs w:val="18"/>
              </w:rPr>
              <w:t>investments and investment decisions are</w:t>
            </w:r>
            <w:r w:rsidRPr="005379D3">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made</w:t>
            </w:r>
            <w:r w:rsidRPr="005379D3">
              <w:rPr>
                <w:rFonts w:asciiTheme="minorHAnsi" w:eastAsia="Times New Roman" w:hAnsiTheme="minorHAnsi" w:cstheme="minorHAnsi"/>
                <w:sz w:val="18"/>
                <w:szCs w:val="18"/>
              </w:rPr>
              <w:t xml:space="preserve"> consistent with adopted plans.</w:t>
            </w:r>
          </w:p>
        </w:tc>
        <w:tc>
          <w:tcPr>
            <w:tcW w:w="2430" w:type="dxa"/>
          </w:tcPr>
          <w:p w14:paraId="5C77F340" w14:textId="77777777" w:rsidR="002D700B" w:rsidRPr="005379D3" w:rsidRDefault="002D700B" w:rsidP="002D700B">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00BBC8BA" w14:textId="77777777" w:rsidR="002D700B" w:rsidRPr="005379D3" w:rsidRDefault="002D700B" w:rsidP="002D700B">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2D700B" w:rsidRPr="005379D3" w14:paraId="643C36FF" w14:textId="77777777" w:rsidTr="00A64B72">
        <w:trPr>
          <w:trHeight w:val="530"/>
        </w:trPr>
        <w:tc>
          <w:tcPr>
            <w:tcW w:w="3127" w:type="dxa"/>
          </w:tcPr>
          <w:p w14:paraId="1C50EBDC" w14:textId="55D5C32F" w:rsidR="002D700B" w:rsidRDefault="002D700B" w:rsidP="002D700B">
            <w:pPr>
              <w:ind w:left="-40"/>
              <w:rPr>
                <w:rFonts w:asciiTheme="minorHAnsi" w:eastAsia="Times New Roman" w:hAnsiTheme="minorHAnsi" w:cstheme="minorHAnsi"/>
                <w:sz w:val="18"/>
                <w:szCs w:val="18"/>
              </w:rPr>
            </w:pPr>
            <w:r>
              <w:rPr>
                <w:rFonts w:ascii="Calibri" w:eastAsia="Times New Roman" w:hAnsi="Calibri" w:cs="Calibri"/>
                <w:sz w:val="18"/>
                <w:szCs w:val="18"/>
              </w:rPr>
              <w:t>DLI 7.7: By December 31, 2027, n</w:t>
            </w:r>
            <w:r w:rsidRPr="00133FFD">
              <w:rPr>
                <w:rFonts w:ascii="Calibri" w:eastAsia="Times New Roman" w:hAnsi="Calibri" w:cs="Calibri"/>
                <w:sz w:val="18"/>
                <w:szCs w:val="18"/>
              </w:rPr>
              <w:t>ew generation</w:t>
            </w:r>
            <w:r>
              <w:rPr>
                <w:rFonts w:ascii="Calibri" w:eastAsia="Times New Roman" w:hAnsi="Calibri" w:cs="Calibri"/>
                <w:sz w:val="18"/>
                <w:szCs w:val="18"/>
              </w:rPr>
              <w:t xml:space="preserve">, transmission, and distribution </w:t>
            </w:r>
            <w:r w:rsidRPr="00133FFD">
              <w:rPr>
                <w:rFonts w:ascii="Calibri" w:eastAsia="Times New Roman" w:hAnsi="Calibri" w:cs="Calibri"/>
                <w:sz w:val="18"/>
                <w:szCs w:val="18"/>
              </w:rPr>
              <w:t>projects initiated by BT</w:t>
            </w:r>
            <w:r>
              <w:rPr>
                <w:rFonts w:ascii="Calibri" w:eastAsia="Times New Roman" w:hAnsi="Calibri" w:cs="Calibri"/>
                <w:sz w:val="18"/>
                <w:szCs w:val="18"/>
              </w:rPr>
              <w:t>, SIB, STB</w:t>
            </w:r>
            <w:r w:rsidRPr="00133FFD">
              <w:rPr>
                <w:rFonts w:ascii="Calibri" w:eastAsia="Times New Roman" w:hAnsi="Calibri" w:cs="Calibri"/>
                <w:sz w:val="18"/>
                <w:szCs w:val="18"/>
              </w:rPr>
              <w:t xml:space="preserve"> </w:t>
            </w:r>
            <w:r>
              <w:rPr>
                <w:rFonts w:ascii="Calibri" w:eastAsia="Times New Roman" w:hAnsi="Calibri" w:cs="Calibri"/>
                <w:sz w:val="18"/>
                <w:szCs w:val="18"/>
              </w:rPr>
              <w:t xml:space="preserve">respectively </w:t>
            </w:r>
            <w:r w:rsidRPr="00133FFD">
              <w:rPr>
                <w:rFonts w:ascii="Calibri" w:eastAsia="Times New Roman" w:hAnsi="Calibri" w:cs="Calibri"/>
                <w:sz w:val="18"/>
                <w:szCs w:val="18"/>
              </w:rPr>
              <w:t xml:space="preserve">or </w:t>
            </w:r>
            <w:r>
              <w:rPr>
                <w:rFonts w:ascii="Calibri" w:eastAsia="Times New Roman" w:hAnsi="Calibri" w:cs="Calibri"/>
                <w:sz w:val="18"/>
                <w:szCs w:val="18"/>
              </w:rPr>
              <w:t>the Recipient’s government</w:t>
            </w:r>
            <w:r w:rsidRPr="00133FFD">
              <w:rPr>
                <w:rFonts w:ascii="Calibri" w:eastAsia="Times New Roman" w:hAnsi="Calibri" w:cs="Calibri"/>
                <w:sz w:val="18"/>
                <w:szCs w:val="18"/>
              </w:rPr>
              <w:t xml:space="preserve"> are consistent with </w:t>
            </w:r>
            <w:r>
              <w:rPr>
                <w:rFonts w:ascii="Calibri" w:eastAsia="Times New Roman" w:hAnsi="Calibri" w:cs="Calibri"/>
                <w:sz w:val="18"/>
                <w:szCs w:val="18"/>
              </w:rPr>
              <w:t xml:space="preserve">the </w:t>
            </w:r>
            <w:r w:rsidRPr="00133FFD">
              <w:rPr>
                <w:rFonts w:ascii="Calibri" w:eastAsia="Times New Roman" w:hAnsi="Calibri" w:cs="Calibri"/>
                <w:sz w:val="18"/>
                <w:szCs w:val="18"/>
              </w:rPr>
              <w:t>a</w:t>
            </w:r>
            <w:r>
              <w:rPr>
                <w:rFonts w:ascii="Calibri" w:eastAsia="Times New Roman" w:hAnsi="Calibri" w:cs="Calibri"/>
                <w:sz w:val="18"/>
                <w:szCs w:val="18"/>
              </w:rPr>
              <w:t>pproved</w:t>
            </w:r>
            <w:r w:rsidRPr="00133FFD">
              <w:rPr>
                <w:rFonts w:ascii="Calibri" w:eastAsia="Times New Roman" w:hAnsi="Calibri" w:cs="Calibri"/>
                <w:sz w:val="18"/>
                <w:szCs w:val="18"/>
              </w:rPr>
              <w:t xml:space="preserve"> plans</w:t>
            </w:r>
            <w:r>
              <w:rPr>
                <w:rFonts w:ascii="Calibri" w:eastAsia="Times New Roman" w:hAnsi="Calibri" w:cs="Calibri"/>
                <w:sz w:val="18"/>
                <w:szCs w:val="18"/>
              </w:rPr>
              <w:t>.</w:t>
            </w:r>
          </w:p>
        </w:tc>
        <w:tc>
          <w:tcPr>
            <w:tcW w:w="1350" w:type="dxa"/>
          </w:tcPr>
          <w:p w14:paraId="67751A5B" w14:textId="2CC9313F" w:rsidR="002D700B" w:rsidRDefault="002D700B" w:rsidP="002D700B">
            <w:pPr>
              <w:rPr>
                <w:rFonts w:asciiTheme="minorHAnsi" w:hAnsiTheme="minorHAnsi" w:cstheme="minorHAnsi"/>
                <w:sz w:val="18"/>
                <w:szCs w:val="18"/>
              </w:rPr>
            </w:pPr>
            <w:r>
              <w:rPr>
                <w:rFonts w:asciiTheme="minorHAnsi" w:hAnsiTheme="minorHAnsi" w:cstheme="minorHAnsi"/>
                <w:sz w:val="18"/>
                <w:szCs w:val="18"/>
              </w:rPr>
              <w:t>US$200,000</w:t>
            </w:r>
          </w:p>
        </w:tc>
        <w:tc>
          <w:tcPr>
            <w:tcW w:w="990" w:type="dxa"/>
          </w:tcPr>
          <w:p w14:paraId="1281012F" w14:textId="26B09E7E" w:rsidR="002D700B" w:rsidRDefault="002D700B" w:rsidP="002D700B">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7A171FAB" w14:textId="09888221" w:rsidR="002D700B" w:rsidRPr="005379D3" w:rsidRDefault="002D700B" w:rsidP="002D700B">
            <w:pPr>
              <w:rPr>
                <w:rFonts w:asciiTheme="minorHAnsi" w:hAnsiTheme="minorHAnsi" w:cstheme="minorHAnsi"/>
                <w:sz w:val="18"/>
                <w:szCs w:val="18"/>
              </w:rPr>
            </w:pPr>
            <w:r>
              <w:rPr>
                <w:rFonts w:asciiTheme="minorHAnsi" w:hAnsiTheme="minorHAnsi" w:cstheme="minorHAnsi"/>
                <w:sz w:val="18"/>
                <w:szCs w:val="18"/>
              </w:rPr>
              <w:t>Dec. 31, 2027</w:t>
            </w:r>
          </w:p>
        </w:tc>
        <w:tc>
          <w:tcPr>
            <w:tcW w:w="2700" w:type="dxa"/>
          </w:tcPr>
          <w:p w14:paraId="6426DAC8" w14:textId="5A7569C1" w:rsidR="002D700B" w:rsidRDefault="002D700B" w:rsidP="002D700B">
            <w:pPr>
              <w:rPr>
                <w:rFonts w:asciiTheme="minorHAnsi" w:eastAsia="Times New Roman" w:hAnsiTheme="minorHAnsi" w:cstheme="minorHAnsi"/>
                <w:sz w:val="18"/>
                <w:szCs w:val="18"/>
              </w:rPr>
            </w:pPr>
            <w:r>
              <w:rPr>
                <w:rFonts w:asciiTheme="minorHAnsi" w:eastAsia="Times New Roman" w:hAnsiTheme="minorHAnsi" w:cstheme="minorHAnsi"/>
                <w:sz w:val="18"/>
                <w:szCs w:val="18"/>
              </w:rPr>
              <w:t>G</w:t>
            </w:r>
            <w:r w:rsidRPr="005379D3">
              <w:rPr>
                <w:rFonts w:asciiTheme="minorHAnsi" w:eastAsia="Times New Roman" w:hAnsiTheme="minorHAnsi" w:cstheme="minorHAnsi"/>
                <w:sz w:val="18"/>
                <w:szCs w:val="18"/>
              </w:rPr>
              <w:t xml:space="preserve">eneration </w:t>
            </w:r>
            <w:r>
              <w:rPr>
                <w:rFonts w:asciiTheme="minorHAnsi" w:eastAsia="Times New Roman" w:hAnsiTheme="minorHAnsi" w:cstheme="minorHAnsi"/>
                <w:sz w:val="18"/>
                <w:szCs w:val="18"/>
              </w:rPr>
              <w:t xml:space="preserve">as </w:t>
            </w:r>
            <w:r w:rsidRPr="005379D3">
              <w:rPr>
                <w:rFonts w:asciiTheme="minorHAnsi" w:eastAsia="Times New Roman" w:hAnsiTheme="minorHAnsi" w:cstheme="minorHAnsi"/>
                <w:sz w:val="18"/>
                <w:szCs w:val="18"/>
              </w:rPr>
              <w:t xml:space="preserve">well as T&amp;D </w:t>
            </w:r>
            <w:r>
              <w:rPr>
                <w:rFonts w:asciiTheme="minorHAnsi" w:eastAsia="Times New Roman" w:hAnsiTheme="minorHAnsi" w:cstheme="minorHAnsi"/>
                <w:sz w:val="18"/>
                <w:szCs w:val="18"/>
              </w:rPr>
              <w:t>investments and investment decisions are</w:t>
            </w:r>
            <w:r w:rsidRPr="005379D3">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made</w:t>
            </w:r>
            <w:r w:rsidRPr="005379D3">
              <w:rPr>
                <w:rFonts w:asciiTheme="minorHAnsi" w:eastAsia="Times New Roman" w:hAnsiTheme="minorHAnsi" w:cstheme="minorHAnsi"/>
                <w:sz w:val="18"/>
                <w:szCs w:val="18"/>
              </w:rPr>
              <w:t xml:space="preserve"> consistent with adopted plans.</w:t>
            </w:r>
          </w:p>
        </w:tc>
        <w:tc>
          <w:tcPr>
            <w:tcW w:w="2430" w:type="dxa"/>
          </w:tcPr>
          <w:p w14:paraId="41A407A4" w14:textId="575000E2" w:rsidR="002D700B" w:rsidRPr="005379D3" w:rsidRDefault="002D700B" w:rsidP="002D700B">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4CC60860" w14:textId="792DDFA7" w:rsidR="002D700B" w:rsidRPr="005379D3" w:rsidRDefault="002D700B" w:rsidP="002D700B">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2D700B" w:rsidRPr="005379D3" w14:paraId="243252D0" w14:textId="77777777" w:rsidTr="00A64B72">
        <w:trPr>
          <w:trHeight w:val="530"/>
        </w:trPr>
        <w:tc>
          <w:tcPr>
            <w:tcW w:w="3127" w:type="dxa"/>
          </w:tcPr>
          <w:p w14:paraId="0C9A57DD" w14:textId="7CC730F6" w:rsidR="002D700B" w:rsidRDefault="002D700B" w:rsidP="002D700B">
            <w:pPr>
              <w:ind w:left="-40"/>
              <w:rPr>
                <w:rFonts w:asciiTheme="minorHAnsi" w:eastAsia="Times New Roman" w:hAnsiTheme="minorHAnsi" w:cstheme="minorHAnsi"/>
                <w:sz w:val="18"/>
                <w:szCs w:val="18"/>
              </w:rPr>
            </w:pPr>
            <w:r>
              <w:rPr>
                <w:rFonts w:ascii="Calibri" w:eastAsia="Times New Roman" w:hAnsi="Calibri" w:cs="Calibri"/>
                <w:sz w:val="18"/>
                <w:szCs w:val="18"/>
              </w:rPr>
              <w:t>DLI 7.8: By December 31, 2028, n</w:t>
            </w:r>
            <w:r w:rsidRPr="00133FFD">
              <w:rPr>
                <w:rFonts w:ascii="Calibri" w:eastAsia="Times New Roman" w:hAnsi="Calibri" w:cs="Calibri"/>
                <w:sz w:val="18"/>
                <w:szCs w:val="18"/>
              </w:rPr>
              <w:t>ew generation</w:t>
            </w:r>
            <w:r>
              <w:rPr>
                <w:rFonts w:ascii="Calibri" w:eastAsia="Times New Roman" w:hAnsi="Calibri" w:cs="Calibri"/>
                <w:sz w:val="18"/>
                <w:szCs w:val="18"/>
              </w:rPr>
              <w:t xml:space="preserve">, transmission, and distribution </w:t>
            </w:r>
            <w:r w:rsidRPr="00133FFD">
              <w:rPr>
                <w:rFonts w:ascii="Calibri" w:eastAsia="Times New Roman" w:hAnsi="Calibri" w:cs="Calibri"/>
                <w:sz w:val="18"/>
                <w:szCs w:val="18"/>
              </w:rPr>
              <w:t>projects initiated by BT</w:t>
            </w:r>
            <w:r>
              <w:rPr>
                <w:rFonts w:ascii="Calibri" w:eastAsia="Times New Roman" w:hAnsi="Calibri" w:cs="Calibri"/>
                <w:sz w:val="18"/>
                <w:szCs w:val="18"/>
              </w:rPr>
              <w:t xml:space="preserve">, SIB, </w:t>
            </w:r>
            <w:r>
              <w:rPr>
                <w:rFonts w:ascii="Calibri" w:eastAsia="Times New Roman" w:hAnsi="Calibri" w:cs="Calibri"/>
                <w:sz w:val="18"/>
                <w:szCs w:val="18"/>
              </w:rPr>
              <w:lastRenderedPageBreak/>
              <w:t>STB</w:t>
            </w:r>
            <w:r w:rsidRPr="00133FFD">
              <w:rPr>
                <w:rFonts w:ascii="Calibri" w:eastAsia="Times New Roman" w:hAnsi="Calibri" w:cs="Calibri"/>
                <w:sz w:val="18"/>
                <w:szCs w:val="18"/>
              </w:rPr>
              <w:t xml:space="preserve"> </w:t>
            </w:r>
            <w:r>
              <w:rPr>
                <w:rFonts w:ascii="Calibri" w:eastAsia="Times New Roman" w:hAnsi="Calibri" w:cs="Calibri"/>
                <w:sz w:val="18"/>
                <w:szCs w:val="18"/>
              </w:rPr>
              <w:t xml:space="preserve">respectively </w:t>
            </w:r>
            <w:r w:rsidRPr="00133FFD">
              <w:rPr>
                <w:rFonts w:ascii="Calibri" w:eastAsia="Times New Roman" w:hAnsi="Calibri" w:cs="Calibri"/>
                <w:sz w:val="18"/>
                <w:szCs w:val="18"/>
              </w:rPr>
              <w:t xml:space="preserve">or </w:t>
            </w:r>
            <w:r>
              <w:rPr>
                <w:rFonts w:ascii="Calibri" w:eastAsia="Times New Roman" w:hAnsi="Calibri" w:cs="Calibri"/>
                <w:sz w:val="18"/>
                <w:szCs w:val="18"/>
              </w:rPr>
              <w:t>the Recipient’s government</w:t>
            </w:r>
            <w:r w:rsidRPr="00133FFD">
              <w:rPr>
                <w:rFonts w:ascii="Calibri" w:eastAsia="Times New Roman" w:hAnsi="Calibri" w:cs="Calibri"/>
                <w:sz w:val="18"/>
                <w:szCs w:val="18"/>
              </w:rPr>
              <w:t xml:space="preserve"> are consistent with </w:t>
            </w:r>
            <w:r>
              <w:rPr>
                <w:rFonts w:ascii="Calibri" w:eastAsia="Times New Roman" w:hAnsi="Calibri" w:cs="Calibri"/>
                <w:sz w:val="18"/>
                <w:szCs w:val="18"/>
              </w:rPr>
              <w:t xml:space="preserve">the </w:t>
            </w:r>
            <w:r w:rsidRPr="00133FFD">
              <w:rPr>
                <w:rFonts w:ascii="Calibri" w:eastAsia="Times New Roman" w:hAnsi="Calibri" w:cs="Calibri"/>
                <w:sz w:val="18"/>
                <w:szCs w:val="18"/>
              </w:rPr>
              <w:t>a</w:t>
            </w:r>
            <w:r>
              <w:rPr>
                <w:rFonts w:ascii="Calibri" w:eastAsia="Times New Roman" w:hAnsi="Calibri" w:cs="Calibri"/>
                <w:sz w:val="18"/>
                <w:szCs w:val="18"/>
              </w:rPr>
              <w:t>pproved</w:t>
            </w:r>
            <w:r w:rsidRPr="00133FFD">
              <w:rPr>
                <w:rFonts w:ascii="Calibri" w:eastAsia="Times New Roman" w:hAnsi="Calibri" w:cs="Calibri"/>
                <w:sz w:val="18"/>
                <w:szCs w:val="18"/>
              </w:rPr>
              <w:t xml:space="preserve"> plans</w:t>
            </w:r>
            <w:r>
              <w:rPr>
                <w:rFonts w:ascii="Calibri" w:eastAsia="Times New Roman" w:hAnsi="Calibri" w:cs="Calibri"/>
                <w:sz w:val="18"/>
                <w:szCs w:val="18"/>
              </w:rPr>
              <w:t>.</w:t>
            </w:r>
          </w:p>
        </w:tc>
        <w:tc>
          <w:tcPr>
            <w:tcW w:w="1350" w:type="dxa"/>
          </w:tcPr>
          <w:p w14:paraId="18296A97" w14:textId="5130834C" w:rsidR="002D700B" w:rsidRDefault="002D700B" w:rsidP="002D700B">
            <w:pPr>
              <w:rPr>
                <w:rFonts w:asciiTheme="minorHAnsi" w:hAnsiTheme="minorHAnsi" w:cstheme="minorHAnsi"/>
                <w:sz w:val="18"/>
                <w:szCs w:val="18"/>
              </w:rPr>
            </w:pPr>
            <w:r>
              <w:rPr>
                <w:rFonts w:asciiTheme="minorHAnsi" w:hAnsiTheme="minorHAnsi" w:cstheme="minorHAnsi"/>
                <w:sz w:val="18"/>
                <w:szCs w:val="18"/>
              </w:rPr>
              <w:lastRenderedPageBreak/>
              <w:t>US$100,000</w:t>
            </w:r>
          </w:p>
        </w:tc>
        <w:tc>
          <w:tcPr>
            <w:tcW w:w="990" w:type="dxa"/>
          </w:tcPr>
          <w:p w14:paraId="07EAEA44" w14:textId="5B7DEE1C" w:rsidR="002D700B" w:rsidRDefault="002D700B" w:rsidP="002D700B">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5A29EA26" w14:textId="60524D94" w:rsidR="002D700B" w:rsidRPr="005379D3" w:rsidRDefault="002D700B" w:rsidP="002D700B">
            <w:pPr>
              <w:rPr>
                <w:rFonts w:asciiTheme="minorHAnsi" w:hAnsiTheme="minorHAnsi" w:cstheme="minorHAnsi"/>
                <w:sz w:val="18"/>
                <w:szCs w:val="18"/>
              </w:rPr>
            </w:pPr>
            <w:r>
              <w:rPr>
                <w:rFonts w:asciiTheme="minorHAnsi" w:hAnsiTheme="minorHAnsi" w:cstheme="minorHAnsi"/>
                <w:sz w:val="18"/>
                <w:szCs w:val="18"/>
              </w:rPr>
              <w:t>Dec. 31, 2028</w:t>
            </w:r>
          </w:p>
        </w:tc>
        <w:tc>
          <w:tcPr>
            <w:tcW w:w="2700" w:type="dxa"/>
          </w:tcPr>
          <w:p w14:paraId="15089D88" w14:textId="4941E027" w:rsidR="002D700B" w:rsidRDefault="002D700B" w:rsidP="002D700B">
            <w:pPr>
              <w:rPr>
                <w:rFonts w:asciiTheme="minorHAnsi" w:eastAsia="Times New Roman" w:hAnsiTheme="minorHAnsi" w:cstheme="minorHAnsi"/>
                <w:sz w:val="18"/>
                <w:szCs w:val="18"/>
              </w:rPr>
            </w:pPr>
            <w:r>
              <w:rPr>
                <w:rFonts w:asciiTheme="minorHAnsi" w:eastAsia="Times New Roman" w:hAnsiTheme="minorHAnsi" w:cstheme="minorHAnsi"/>
                <w:sz w:val="18"/>
                <w:szCs w:val="18"/>
              </w:rPr>
              <w:t>G</w:t>
            </w:r>
            <w:r w:rsidRPr="005379D3">
              <w:rPr>
                <w:rFonts w:asciiTheme="minorHAnsi" w:eastAsia="Times New Roman" w:hAnsiTheme="minorHAnsi" w:cstheme="minorHAnsi"/>
                <w:sz w:val="18"/>
                <w:szCs w:val="18"/>
              </w:rPr>
              <w:t xml:space="preserve">eneration </w:t>
            </w:r>
            <w:r>
              <w:rPr>
                <w:rFonts w:asciiTheme="minorHAnsi" w:eastAsia="Times New Roman" w:hAnsiTheme="minorHAnsi" w:cstheme="minorHAnsi"/>
                <w:sz w:val="18"/>
                <w:szCs w:val="18"/>
              </w:rPr>
              <w:t xml:space="preserve">as </w:t>
            </w:r>
            <w:r w:rsidRPr="005379D3">
              <w:rPr>
                <w:rFonts w:asciiTheme="minorHAnsi" w:eastAsia="Times New Roman" w:hAnsiTheme="minorHAnsi" w:cstheme="minorHAnsi"/>
                <w:sz w:val="18"/>
                <w:szCs w:val="18"/>
              </w:rPr>
              <w:t xml:space="preserve">well as T&amp;D </w:t>
            </w:r>
            <w:r>
              <w:rPr>
                <w:rFonts w:asciiTheme="minorHAnsi" w:eastAsia="Times New Roman" w:hAnsiTheme="minorHAnsi" w:cstheme="minorHAnsi"/>
                <w:sz w:val="18"/>
                <w:szCs w:val="18"/>
              </w:rPr>
              <w:t>investments and investment decisions are</w:t>
            </w:r>
            <w:r w:rsidRPr="005379D3">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made</w:t>
            </w:r>
            <w:r w:rsidRPr="005379D3">
              <w:rPr>
                <w:rFonts w:asciiTheme="minorHAnsi" w:eastAsia="Times New Roman" w:hAnsiTheme="minorHAnsi" w:cstheme="minorHAnsi"/>
                <w:sz w:val="18"/>
                <w:szCs w:val="18"/>
              </w:rPr>
              <w:t xml:space="preserve"> consistent </w:t>
            </w:r>
            <w:r w:rsidRPr="005379D3">
              <w:rPr>
                <w:rFonts w:asciiTheme="minorHAnsi" w:eastAsia="Times New Roman" w:hAnsiTheme="minorHAnsi" w:cstheme="minorHAnsi"/>
                <w:sz w:val="18"/>
                <w:szCs w:val="18"/>
              </w:rPr>
              <w:lastRenderedPageBreak/>
              <w:t>with adopted plans.</w:t>
            </w:r>
          </w:p>
        </w:tc>
        <w:tc>
          <w:tcPr>
            <w:tcW w:w="2430" w:type="dxa"/>
          </w:tcPr>
          <w:p w14:paraId="06902933" w14:textId="25E31D81" w:rsidR="002D700B" w:rsidRPr="005379D3" w:rsidRDefault="002D700B" w:rsidP="002D700B">
            <w:pPr>
              <w:rPr>
                <w:rFonts w:asciiTheme="minorHAnsi" w:hAnsiTheme="minorHAnsi" w:cstheme="minorHAnsi"/>
                <w:sz w:val="18"/>
                <w:szCs w:val="18"/>
              </w:rPr>
            </w:pPr>
            <w:r w:rsidRPr="005379D3">
              <w:rPr>
                <w:rFonts w:asciiTheme="minorHAnsi" w:hAnsiTheme="minorHAnsi" w:cstheme="minorHAnsi"/>
                <w:sz w:val="18"/>
                <w:szCs w:val="18"/>
              </w:rPr>
              <w:lastRenderedPageBreak/>
              <w:t>N/A</w:t>
            </w:r>
          </w:p>
        </w:tc>
        <w:tc>
          <w:tcPr>
            <w:tcW w:w="2340" w:type="dxa"/>
          </w:tcPr>
          <w:p w14:paraId="6389453E" w14:textId="01314FB3" w:rsidR="002D700B" w:rsidRPr="005379D3" w:rsidRDefault="002D700B" w:rsidP="002D700B">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w:t>
            </w:r>
            <w:r w:rsidRPr="005379D3">
              <w:rPr>
                <w:rFonts w:asciiTheme="minorHAnsi" w:hAnsiTheme="minorHAnsi" w:cstheme="minorHAnsi"/>
                <w:sz w:val="18"/>
                <w:szCs w:val="18"/>
              </w:rPr>
              <w:lastRenderedPageBreak/>
              <w:t>partial or complete non-compliance.</w:t>
            </w:r>
          </w:p>
        </w:tc>
      </w:tr>
      <w:tr w:rsidR="002D700B" w:rsidRPr="005379D3" w14:paraId="12524156" w14:textId="77777777" w:rsidTr="00A64B72">
        <w:trPr>
          <w:trHeight w:val="530"/>
        </w:trPr>
        <w:tc>
          <w:tcPr>
            <w:tcW w:w="3127" w:type="dxa"/>
          </w:tcPr>
          <w:p w14:paraId="32A02615" w14:textId="27125960" w:rsidR="002D700B" w:rsidRDefault="002D700B" w:rsidP="002D700B">
            <w:pPr>
              <w:ind w:left="-40"/>
              <w:rPr>
                <w:rFonts w:asciiTheme="minorHAnsi" w:eastAsia="Times New Roman" w:hAnsiTheme="minorHAnsi" w:cstheme="minorHAnsi"/>
                <w:sz w:val="18"/>
                <w:szCs w:val="18"/>
              </w:rPr>
            </w:pPr>
            <w:r>
              <w:rPr>
                <w:rFonts w:ascii="Calibri" w:eastAsia="Times New Roman" w:hAnsi="Calibri" w:cs="Calibri"/>
                <w:sz w:val="18"/>
                <w:szCs w:val="18"/>
              </w:rPr>
              <w:lastRenderedPageBreak/>
              <w:t>DLI 7.9: By December 31, 2029, n</w:t>
            </w:r>
            <w:r w:rsidRPr="00133FFD">
              <w:rPr>
                <w:rFonts w:ascii="Calibri" w:eastAsia="Times New Roman" w:hAnsi="Calibri" w:cs="Calibri"/>
                <w:sz w:val="18"/>
                <w:szCs w:val="18"/>
              </w:rPr>
              <w:t>ew generation</w:t>
            </w:r>
            <w:r>
              <w:rPr>
                <w:rFonts w:ascii="Calibri" w:eastAsia="Times New Roman" w:hAnsi="Calibri" w:cs="Calibri"/>
                <w:sz w:val="18"/>
                <w:szCs w:val="18"/>
              </w:rPr>
              <w:t xml:space="preserve">, transmission, and distribution </w:t>
            </w:r>
            <w:r w:rsidRPr="00133FFD">
              <w:rPr>
                <w:rFonts w:ascii="Calibri" w:eastAsia="Times New Roman" w:hAnsi="Calibri" w:cs="Calibri"/>
                <w:sz w:val="18"/>
                <w:szCs w:val="18"/>
              </w:rPr>
              <w:t>projects initiated by BT</w:t>
            </w:r>
            <w:r>
              <w:rPr>
                <w:rFonts w:ascii="Calibri" w:eastAsia="Times New Roman" w:hAnsi="Calibri" w:cs="Calibri"/>
                <w:sz w:val="18"/>
                <w:szCs w:val="18"/>
              </w:rPr>
              <w:t>, SIB, STB</w:t>
            </w:r>
            <w:r w:rsidRPr="00133FFD">
              <w:rPr>
                <w:rFonts w:ascii="Calibri" w:eastAsia="Times New Roman" w:hAnsi="Calibri" w:cs="Calibri"/>
                <w:sz w:val="18"/>
                <w:szCs w:val="18"/>
              </w:rPr>
              <w:t xml:space="preserve"> </w:t>
            </w:r>
            <w:r>
              <w:rPr>
                <w:rFonts w:ascii="Calibri" w:eastAsia="Times New Roman" w:hAnsi="Calibri" w:cs="Calibri"/>
                <w:sz w:val="18"/>
                <w:szCs w:val="18"/>
              </w:rPr>
              <w:t xml:space="preserve">respectively </w:t>
            </w:r>
            <w:r w:rsidRPr="00133FFD">
              <w:rPr>
                <w:rFonts w:ascii="Calibri" w:eastAsia="Times New Roman" w:hAnsi="Calibri" w:cs="Calibri"/>
                <w:sz w:val="18"/>
                <w:szCs w:val="18"/>
              </w:rPr>
              <w:t xml:space="preserve">or </w:t>
            </w:r>
            <w:r>
              <w:rPr>
                <w:rFonts w:ascii="Calibri" w:eastAsia="Times New Roman" w:hAnsi="Calibri" w:cs="Calibri"/>
                <w:sz w:val="18"/>
                <w:szCs w:val="18"/>
              </w:rPr>
              <w:t>the Recipient’s government</w:t>
            </w:r>
            <w:r w:rsidRPr="00133FFD">
              <w:rPr>
                <w:rFonts w:ascii="Calibri" w:eastAsia="Times New Roman" w:hAnsi="Calibri" w:cs="Calibri"/>
                <w:sz w:val="18"/>
                <w:szCs w:val="18"/>
              </w:rPr>
              <w:t xml:space="preserve"> are consistent with </w:t>
            </w:r>
            <w:r>
              <w:rPr>
                <w:rFonts w:ascii="Calibri" w:eastAsia="Times New Roman" w:hAnsi="Calibri" w:cs="Calibri"/>
                <w:sz w:val="18"/>
                <w:szCs w:val="18"/>
              </w:rPr>
              <w:t xml:space="preserve">the </w:t>
            </w:r>
            <w:r w:rsidRPr="00133FFD">
              <w:rPr>
                <w:rFonts w:ascii="Calibri" w:eastAsia="Times New Roman" w:hAnsi="Calibri" w:cs="Calibri"/>
                <w:sz w:val="18"/>
                <w:szCs w:val="18"/>
              </w:rPr>
              <w:t>a</w:t>
            </w:r>
            <w:r>
              <w:rPr>
                <w:rFonts w:ascii="Calibri" w:eastAsia="Times New Roman" w:hAnsi="Calibri" w:cs="Calibri"/>
                <w:sz w:val="18"/>
                <w:szCs w:val="18"/>
              </w:rPr>
              <w:t>pproved</w:t>
            </w:r>
            <w:r w:rsidRPr="00133FFD">
              <w:rPr>
                <w:rFonts w:ascii="Calibri" w:eastAsia="Times New Roman" w:hAnsi="Calibri" w:cs="Calibri"/>
                <w:sz w:val="18"/>
                <w:szCs w:val="18"/>
              </w:rPr>
              <w:t xml:space="preserve"> plans</w:t>
            </w:r>
            <w:r>
              <w:rPr>
                <w:rFonts w:ascii="Calibri" w:eastAsia="Times New Roman" w:hAnsi="Calibri" w:cs="Calibri"/>
                <w:sz w:val="18"/>
                <w:szCs w:val="18"/>
              </w:rPr>
              <w:t>.</w:t>
            </w:r>
          </w:p>
        </w:tc>
        <w:tc>
          <w:tcPr>
            <w:tcW w:w="1350" w:type="dxa"/>
          </w:tcPr>
          <w:p w14:paraId="44E1C710" w14:textId="5D7AFFD9" w:rsidR="002D700B" w:rsidRDefault="002D700B" w:rsidP="002D700B">
            <w:pPr>
              <w:rPr>
                <w:rFonts w:asciiTheme="minorHAnsi" w:hAnsiTheme="minorHAnsi" w:cstheme="minorHAnsi"/>
                <w:sz w:val="18"/>
                <w:szCs w:val="18"/>
              </w:rPr>
            </w:pPr>
            <w:r>
              <w:rPr>
                <w:rFonts w:asciiTheme="minorHAnsi" w:hAnsiTheme="minorHAnsi" w:cstheme="minorHAnsi"/>
                <w:sz w:val="18"/>
                <w:szCs w:val="18"/>
              </w:rPr>
              <w:t>US$100,000</w:t>
            </w:r>
          </w:p>
        </w:tc>
        <w:tc>
          <w:tcPr>
            <w:tcW w:w="990" w:type="dxa"/>
          </w:tcPr>
          <w:p w14:paraId="249E8153" w14:textId="52547566" w:rsidR="002D700B" w:rsidRDefault="002D700B" w:rsidP="002D700B">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6FD41A7A" w14:textId="21DBDF0B" w:rsidR="002D700B" w:rsidRPr="005379D3" w:rsidRDefault="002D700B" w:rsidP="002D700B">
            <w:pPr>
              <w:rPr>
                <w:rFonts w:asciiTheme="minorHAnsi" w:hAnsiTheme="minorHAnsi" w:cstheme="minorHAnsi"/>
                <w:sz w:val="18"/>
                <w:szCs w:val="18"/>
              </w:rPr>
            </w:pPr>
            <w:r>
              <w:rPr>
                <w:rFonts w:asciiTheme="minorHAnsi" w:hAnsiTheme="minorHAnsi" w:cstheme="minorHAnsi"/>
                <w:sz w:val="18"/>
                <w:szCs w:val="18"/>
              </w:rPr>
              <w:t>Dec. 31, 2029</w:t>
            </w:r>
          </w:p>
        </w:tc>
        <w:tc>
          <w:tcPr>
            <w:tcW w:w="2700" w:type="dxa"/>
          </w:tcPr>
          <w:p w14:paraId="3708A58B" w14:textId="7D358C49" w:rsidR="002D700B" w:rsidRDefault="002D700B" w:rsidP="002D700B">
            <w:pPr>
              <w:rPr>
                <w:rFonts w:asciiTheme="minorHAnsi" w:eastAsia="Times New Roman" w:hAnsiTheme="minorHAnsi" w:cstheme="minorHAnsi"/>
                <w:sz w:val="18"/>
                <w:szCs w:val="18"/>
              </w:rPr>
            </w:pPr>
            <w:r>
              <w:rPr>
                <w:rFonts w:asciiTheme="minorHAnsi" w:eastAsia="Times New Roman" w:hAnsiTheme="minorHAnsi" w:cstheme="minorHAnsi"/>
                <w:sz w:val="18"/>
                <w:szCs w:val="18"/>
              </w:rPr>
              <w:t>G</w:t>
            </w:r>
            <w:r w:rsidRPr="005379D3">
              <w:rPr>
                <w:rFonts w:asciiTheme="minorHAnsi" w:eastAsia="Times New Roman" w:hAnsiTheme="minorHAnsi" w:cstheme="minorHAnsi"/>
                <w:sz w:val="18"/>
                <w:szCs w:val="18"/>
              </w:rPr>
              <w:t xml:space="preserve">eneration </w:t>
            </w:r>
            <w:r>
              <w:rPr>
                <w:rFonts w:asciiTheme="minorHAnsi" w:eastAsia="Times New Roman" w:hAnsiTheme="minorHAnsi" w:cstheme="minorHAnsi"/>
                <w:sz w:val="18"/>
                <w:szCs w:val="18"/>
              </w:rPr>
              <w:t xml:space="preserve">as </w:t>
            </w:r>
            <w:r w:rsidRPr="005379D3">
              <w:rPr>
                <w:rFonts w:asciiTheme="minorHAnsi" w:eastAsia="Times New Roman" w:hAnsiTheme="minorHAnsi" w:cstheme="minorHAnsi"/>
                <w:sz w:val="18"/>
                <w:szCs w:val="18"/>
              </w:rPr>
              <w:t xml:space="preserve">well as T&amp;D </w:t>
            </w:r>
            <w:r>
              <w:rPr>
                <w:rFonts w:asciiTheme="minorHAnsi" w:eastAsia="Times New Roman" w:hAnsiTheme="minorHAnsi" w:cstheme="minorHAnsi"/>
                <w:sz w:val="18"/>
                <w:szCs w:val="18"/>
              </w:rPr>
              <w:t>investments and investment decisions are</w:t>
            </w:r>
            <w:r w:rsidRPr="005379D3">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made</w:t>
            </w:r>
            <w:r w:rsidRPr="005379D3">
              <w:rPr>
                <w:rFonts w:asciiTheme="minorHAnsi" w:eastAsia="Times New Roman" w:hAnsiTheme="minorHAnsi" w:cstheme="minorHAnsi"/>
                <w:sz w:val="18"/>
                <w:szCs w:val="18"/>
              </w:rPr>
              <w:t xml:space="preserve"> consistent with adopted plans.</w:t>
            </w:r>
          </w:p>
        </w:tc>
        <w:tc>
          <w:tcPr>
            <w:tcW w:w="2430" w:type="dxa"/>
          </w:tcPr>
          <w:p w14:paraId="61C39CA3" w14:textId="398FD2C2" w:rsidR="002D700B" w:rsidRPr="005379D3" w:rsidRDefault="002D700B" w:rsidP="002D700B">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285CFC92" w14:textId="666F4ADB" w:rsidR="002D700B" w:rsidRPr="005379D3" w:rsidRDefault="002D700B" w:rsidP="002D700B">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2D700B" w:rsidRPr="005379D3" w14:paraId="41B27B7E" w14:textId="77777777" w:rsidTr="00A64B72">
        <w:trPr>
          <w:trHeight w:val="530"/>
        </w:trPr>
        <w:tc>
          <w:tcPr>
            <w:tcW w:w="3127" w:type="dxa"/>
          </w:tcPr>
          <w:p w14:paraId="738B2C80" w14:textId="11E0D488" w:rsidR="002D700B" w:rsidRDefault="002D700B" w:rsidP="002D700B">
            <w:pPr>
              <w:ind w:left="-40"/>
              <w:rPr>
                <w:rFonts w:asciiTheme="minorHAnsi" w:eastAsia="Times New Roman" w:hAnsiTheme="minorHAnsi" w:cstheme="minorHAnsi"/>
                <w:sz w:val="18"/>
                <w:szCs w:val="18"/>
              </w:rPr>
            </w:pPr>
            <w:r>
              <w:rPr>
                <w:rFonts w:ascii="Calibri" w:eastAsia="Times New Roman" w:hAnsi="Calibri" w:cs="Calibri"/>
                <w:sz w:val="18"/>
                <w:szCs w:val="18"/>
              </w:rPr>
              <w:t>DLI 7.10: By December 31, 2030, n</w:t>
            </w:r>
            <w:r w:rsidRPr="00133FFD">
              <w:rPr>
                <w:rFonts w:ascii="Calibri" w:eastAsia="Times New Roman" w:hAnsi="Calibri" w:cs="Calibri"/>
                <w:sz w:val="18"/>
                <w:szCs w:val="18"/>
              </w:rPr>
              <w:t>ew generation</w:t>
            </w:r>
            <w:r>
              <w:rPr>
                <w:rFonts w:ascii="Calibri" w:eastAsia="Times New Roman" w:hAnsi="Calibri" w:cs="Calibri"/>
                <w:sz w:val="18"/>
                <w:szCs w:val="18"/>
              </w:rPr>
              <w:t xml:space="preserve">, transmission, and distribution </w:t>
            </w:r>
            <w:r w:rsidRPr="00133FFD">
              <w:rPr>
                <w:rFonts w:ascii="Calibri" w:eastAsia="Times New Roman" w:hAnsi="Calibri" w:cs="Calibri"/>
                <w:sz w:val="18"/>
                <w:szCs w:val="18"/>
              </w:rPr>
              <w:t>projects initiated by BT</w:t>
            </w:r>
            <w:r>
              <w:rPr>
                <w:rFonts w:ascii="Calibri" w:eastAsia="Times New Roman" w:hAnsi="Calibri" w:cs="Calibri"/>
                <w:sz w:val="18"/>
                <w:szCs w:val="18"/>
              </w:rPr>
              <w:t>, SIB, STB</w:t>
            </w:r>
            <w:r w:rsidRPr="00133FFD">
              <w:rPr>
                <w:rFonts w:ascii="Calibri" w:eastAsia="Times New Roman" w:hAnsi="Calibri" w:cs="Calibri"/>
                <w:sz w:val="18"/>
                <w:szCs w:val="18"/>
              </w:rPr>
              <w:t xml:space="preserve"> </w:t>
            </w:r>
            <w:r>
              <w:rPr>
                <w:rFonts w:ascii="Calibri" w:eastAsia="Times New Roman" w:hAnsi="Calibri" w:cs="Calibri"/>
                <w:sz w:val="18"/>
                <w:szCs w:val="18"/>
              </w:rPr>
              <w:t xml:space="preserve">respectively </w:t>
            </w:r>
            <w:r w:rsidRPr="00133FFD">
              <w:rPr>
                <w:rFonts w:ascii="Calibri" w:eastAsia="Times New Roman" w:hAnsi="Calibri" w:cs="Calibri"/>
                <w:sz w:val="18"/>
                <w:szCs w:val="18"/>
              </w:rPr>
              <w:t xml:space="preserve">or </w:t>
            </w:r>
            <w:r>
              <w:rPr>
                <w:rFonts w:ascii="Calibri" w:eastAsia="Times New Roman" w:hAnsi="Calibri" w:cs="Calibri"/>
                <w:sz w:val="18"/>
                <w:szCs w:val="18"/>
              </w:rPr>
              <w:t>the Recipient’s government</w:t>
            </w:r>
            <w:r w:rsidRPr="00133FFD">
              <w:rPr>
                <w:rFonts w:ascii="Calibri" w:eastAsia="Times New Roman" w:hAnsi="Calibri" w:cs="Calibri"/>
                <w:sz w:val="18"/>
                <w:szCs w:val="18"/>
              </w:rPr>
              <w:t xml:space="preserve"> are consistent with </w:t>
            </w:r>
            <w:r>
              <w:rPr>
                <w:rFonts w:ascii="Calibri" w:eastAsia="Times New Roman" w:hAnsi="Calibri" w:cs="Calibri"/>
                <w:sz w:val="18"/>
                <w:szCs w:val="18"/>
              </w:rPr>
              <w:t xml:space="preserve">the </w:t>
            </w:r>
            <w:r w:rsidRPr="00133FFD">
              <w:rPr>
                <w:rFonts w:ascii="Calibri" w:eastAsia="Times New Roman" w:hAnsi="Calibri" w:cs="Calibri"/>
                <w:sz w:val="18"/>
                <w:szCs w:val="18"/>
              </w:rPr>
              <w:t>a</w:t>
            </w:r>
            <w:r>
              <w:rPr>
                <w:rFonts w:ascii="Calibri" w:eastAsia="Times New Roman" w:hAnsi="Calibri" w:cs="Calibri"/>
                <w:sz w:val="18"/>
                <w:szCs w:val="18"/>
              </w:rPr>
              <w:t>pproved</w:t>
            </w:r>
            <w:r w:rsidRPr="00133FFD">
              <w:rPr>
                <w:rFonts w:ascii="Calibri" w:eastAsia="Times New Roman" w:hAnsi="Calibri" w:cs="Calibri"/>
                <w:sz w:val="18"/>
                <w:szCs w:val="18"/>
              </w:rPr>
              <w:t xml:space="preserve"> plans</w:t>
            </w:r>
            <w:r>
              <w:rPr>
                <w:rFonts w:ascii="Calibri" w:eastAsia="Times New Roman" w:hAnsi="Calibri" w:cs="Calibri"/>
                <w:sz w:val="18"/>
                <w:szCs w:val="18"/>
              </w:rPr>
              <w:t>.</w:t>
            </w:r>
          </w:p>
        </w:tc>
        <w:tc>
          <w:tcPr>
            <w:tcW w:w="1350" w:type="dxa"/>
          </w:tcPr>
          <w:p w14:paraId="3D370DEE" w14:textId="1D28B223" w:rsidR="002D700B" w:rsidRDefault="002D700B" w:rsidP="002D700B">
            <w:pPr>
              <w:rPr>
                <w:rFonts w:asciiTheme="minorHAnsi" w:hAnsiTheme="minorHAnsi" w:cstheme="minorHAnsi"/>
                <w:sz w:val="18"/>
                <w:szCs w:val="18"/>
              </w:rPr>
            </w:pPr>
            <w:r>
              <w:rPr>
                <w:rFonts w:asciiTheme="minorHAnsi" w:hAnsiTheme="minorHAnsi" w:cstheme="minorHAnsi"/>
                <w:sz w:val="18"/>
                <w:szCs w:val="18"/>
              </w:rPr>
              <w:t>US$100,000</w:t>
            </w:r>
          </w:p>
        </w:tc>
        <w:tc>
          <w:tcPr>
            <w:tcW w:w="990" w:type="dxa"/>
          </w:tcPr>
          <w:p w14:paraId="041E3ECD" w14:textId="0D6DF289" w:rsidR="002D700B" w:rsidRDefault="002D700B" w:rsidP="002D700B">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175C0210" w14:textId="0F19A192" w:rsidR="002D700B" w:rsidRPr="005379D3" w:rsidRDefault="002D700B" w:rsidP="002D700B">
            <w:pPr>
              <w:rPr>
                <w:rFonts w:asciiTheme="minorHAnsi" w:hAnsiTheme="minorHAnsi" w:cstheme="minorHAnsi"/>
                <w:sz w:val="18"/>
                <w:szCs w:val="18"/>
              </w:rPr>
            </w:pPr>
            <w:r>
              <w:rPr>
                <w:rFonts w:asciiTheme="minorHAnsi" w:hAnsiTheme="minorHAnsi" w:cstheme="minorHAnsi"/>
                <w:sz w:val="18"/>
                <w:szCs w:val="18"/>
              </w:rPr>
              <w:t>Dec. 31, 2030</w:t>
            </w:r>
          </w:p>
        </w:tc>
        <w:tc>
          <w:tcPr>
            <w:tcW w:w="2700" w:type="dxa"/>
          </w:tcPr>
          <w:p w14:paraId="3FC7CD25" w14:textId="04CDFDB9" w:rsidR="002D700B" w:rsidRDefault="002D700B" w:rsidP="002D700B">
            <w:pPr>
              <w:rPr>
                <w:rFonts w:asciiTheme="minorHAnsi" w:eastAsia="Times New Roman" w:hAnsiTheme="minorHAnsi" w:cstheme="minorHAnsi"/>
                <w:sz w:val="18"/>
                <w:szCs w:val="18"/>
              </w:rPr>
            </w:pPr>
            <w:r>
              <w:rPr>
                <w:rFonts w:asciiTheme="minorHAnsi" w:eastAsia="Times New Roman" w:hAnsiTheme="minorHAnsi" w:cstheme="minorHAnsi"/>
                <w:sz w:val="18"/>
                <w:szCs w:val="18"/>
              </w:rPr>
              <w:t>G</w:t>
            </w:r>
            <w:r w:rsidRPr="005379D3">
              <w:rPr>
                <w:rFonts w:asciiTheme="minorHAnsi" w:eastAsia="Times New Roman" w:hAnsiTheme="minorHAnsi" w:cstheme="minorHAnsi"/>
                <w:sz w:val="18"/>
                <w:szCs w:val="18"/>
              </w:rPr>
              <w:t xml:space="preserve">eneration </w:t>
            </w:r>
            <w:r>
              <w:rPr>
                <w:rFonts w:asciiTheme="minorHAnsi" w:eastAsia="Times New Roman" w:hAnsiTheme="minorHAnsi" w:cstheme="minorHAnsi"/>
                <w:sz w:val="18"/>
                <w:szCs w:val="18"/>
              </w:rPr>
              <w:t xml:space="preserve">as </w:t>
            </w:r>
            <w:r w:rsidRPr="005379D3">
              <w:rPr>
                <w:rFonts w:asciiTheme="minorHAnsi" w:eastAsia="Times New Roman" w:hAnsiTheme="minorHAnsi" w:cstheme="minorHAnsi"/>
                <w:sz w:val="18"/>
                <w:szCs w:val="18"/>
              </w:rPr>
              <w:t xml:space="preserve">well as T&amp;D </w:t>
            </w:r>
            <w:r>
              <w:rPr>
                <w:rFonts w:asciiTheme="minorHAnsi" w:eastAsia="Times New Roman" w:hAnsiTheme="minorHAnsi" w:cstheme="minorHAnsi"/>
                <w:sz w:val="18"/>
                <w:szCs w:val="18"/>
              </w:rPr>
              <w:t>investments and investment decisions are</w:t>
            </w:r>
            <w:r w:rsidRPr="005379D3">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made</w:t>
            </w:r>
            <w:r w:rsidRPr="005379D3">
              <w:rPr>
                <w:rFonts w:asciiTheme="minorHAnsi" w:eastAsia="Times New Roman" w:hAnsiTheme="minorHAnsi" w:cstheme="minorHAnsi"/>
                <w:sz w:val="18"/>
                <w:szCs w:val="18"/>
              </w:rPr>
              <w:t xml:space="preserve"> consistent with adopted plans.</w:t>
            </w:r>
          </w:p>
        </w:tc>
        <w:tc>
          <w:tcPr>
            <w:tcW w:w="2430" w:type="dxa"/>
          </w:tcPr>
          <w:p w14:paraId="6F15DA28" w14:textId="243A898C" w:rsidR="002D700B" w:rsidRPr="005379D3" w:rsidRDefault="002D700B" w:rsidP="002D700B">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345F28F1" w14:textId="083E8F52" w:rsidR="002D700B" w:rsidRPr="005379D3" w:rsidRDefault="002D700B" w:rsidP="002D700B">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2D700B" w:rsidRPr="005379D3" w14:paraId="08BA4BFD" w14:textId="77777777" w:rsidTr="00A64B72">
        <w:trPr>
          <w:trHeight w:val="530"/>
        </w:trPr>
        <w:tc>
          <w:tcPr>
            <w:tcW w:w="3127" w:type="dxa"/>
            <w:vAlign w:val="center"/>
          </w:tcPr>
          <w:p w14:paraId="6D59E5A9" w14:textId="6E536ABF" w:rsidR="002D700B" w:rsidRPr="00B55D0F" w:rsidRDefault="002D700B" w:rsidP="002D700B">
            <w:pPr>
              <w:ind w:left="-40"/>
              <w:rPr>
                <w:rFonts w:asciiTheme="minorHAnsi" w:eastAsia="Times New Roman" w:hAnsiTheme="minorHAnsi" w:cstheme="minorHAnsi"/>
                <w:b/>
                <w:sz w:val="18"/>
                <w:szCs w:val="18"/>
              </w:rPr>
            </w:pPr>
            <w:r w:rsidRPr="00B55D0F">
              <w:rPr>
                <w:rFonts w:asciiTheme="minorHAnsi" w:eastAsia="Times New Roman" w:hAnsiTheme="minorHAnsi" w:cstheme="minorHAnsi"/>
                <w:b/>
                <w:sz w:val="18"/>
                <w:szCs w:val="18"/>
              </w:rPr>
              <w:t xml:space="preserve">DLI 8: </w:t>
            </w:r>
            <w:r w:rsidRPr="00B65334">
              <w:rPr>
                <w:rFonts w:ascii="Calibri" w:eastAsia="Times New Roman" w:hAnsi="Calibri" w:cs="Calibri"/>
                <w:b/>
                <w:sz w:val="18"/>
                <w:szCs w:val="18"/>
              </w:rPr>
              <w:t>Improvement of operational and financial transparency of BT, SIB, and STB</w:t>
            </w:r>
          </w:p>
        </w:tc>
        <w:tc>
          <w:tcPr>
            <w:tcW w:w="1350" w:type="dxa"/>
            <w:vAlign w:val="center"/>
          </w:tcPr>
          <w:p w14:paraId="2CCC6487" w14:textId="295CEE70" w:rsidR="002D700B" w:rsidRPr="00FC034E" w:rsidRDefault="002D700B" w:rsidP="002D700B">
            <w:pPr>
              <w:rPr>
                <w:rFonts w:asciiTheme="minorHAnsi" w:hAnsiTheme="minorHAnsi" w:cstheme="minorHAnsi"/>
                <w:b/>
                <w:sz w:val="18"/>
                <w:szCs w:val="18"/>
              </w:rPr>
            </w:pPr>
            <w:r w:rsidRPr="00FC034E">
              <w:rPr>
                <w:rFonts w:asciiTheme="minorHAnsi" w:hAnsiTheme="minorHAnsi" w:cstheme="minorHAnsi"/>
                <w:b/>
                <w:sz w:val="18"/>
                <w:szCs w:val="18"/>
              </w:rPr>
              <w:t>US$</w:t>
            </w:r>
            <w:r w:rsidR="00DF3D76">
              <w:rPr>
                <w:rFonts w:asciiTheme="minorHAnsi" w:hAnsiTheme="minorHAnsi" w:cstheme="minorHAnsi"/>
                <w:b/>
                <w:sz w:val="18"/>
                <w:szCs w:val="18"/>
              </w:rPr>
              <w:t>2</w:t>
            </w:r>
            <w:r w:rsidRPr="00FC034E">
              <w:rPr>
                <w:rFonts w:asciiTheme="minorHAnsi" w:hAnsiTheme="minorHAnsi" w:cstheme="minorHAnsi"/>
                <w:b/>
                <w:sz w:val="18"/>
                <w:szCs w:val="18"/>
              </w:rPr>
              <w:t>,000,000</w:t>
            </w:r>
          </w:p>
        </w:tc>
        <w:tc>
          <w:tcPr>
            <w:tcW w:w="990" w:type="dxa"/>
            <w:vAlign w:val="center"/>
          </w:tcPr>
          <w:p w14:paraId="38396AAE" w14:textId="77777777" w:rsidR="002D700B" w:rsidRPr="005379D3" w:rsidRDefault="002D700B" w:rsidP="002D700B">
            <w:pPr>
              <w:rPr>
                <w:rFonts w:asciiTheme="minorHAnsi" w:hAnsiTheme="minorHAnsi" w:cstheme="minorHAnsi"/>
                <w:b/>
                <w:sz w:val="18"/>
                <w:szCs w:val="18"/>
                <w:highlight w:val="yellow"/>
              </w:rPr>
            </w:pPr>
          </w:p>
        </w:tc>
        <w:tc>
          <w:tcPr>
            <w:tcW w:w="1530" w:type="dxa"/>
            <w:vAlign w:val="center"/>
          </w:tcPr>
          <w:p w14:paraId="0DBE74AC" w14:textId="77777777" w:rsidR="002D700B" w:rsidRPr="005379D3" w:rsidRDefault="002D700B" w:rsidP="002D700B">
            <w:pPr>
              <w:pStyle w:val="ListParagraph"/>
              <w:ind w:left="72"/>
              <w:contextualSpacing w:val="0"/>
              <w:rPr>
                <w:rFonts w:asciiTheme="minorHAnsi" w:hAnsiTheme="minorHAnsi" w:cstheme="minorHAnsi"/>
                <w:b/>
                <w:sz w:val="18"/>
                <w:szCs w:val="18"/>
              </w:rPr>
            </w:pPr>
          </w:p>
        </w:tc>
        <w:tc>
          <w:tcPr>
            <w:tcW w:w="2700" w:type="dxa"/>
            <w:vAlign w:val="center"/>
          </w:tcPr>
          <w:p w14:paraId="5E8EADB2" w14:textId="77777777" w:rsidR="002D700B" w:rsidRPr="005379D3" w:rsidRDefault="002D700B" w:rsidP="002D700B">
            <w:pPr>
              <w:pStyle w:val="ListParagraph"/>
              <w:ind w:left="162"/>
              <w:contextualSpacing w:val="0"/>
              <w:rPr>
                <w:rFonts w:asciiTheme="minorHAnsi" w:hAnsiTheme="minorHAnsi" w:cstheme="minorHAnsi"/>
                <w:b/>
                <w:sz w:val="18"/>
                <w:szCs w:val="18"/>
              </w:rPr>
            </w:pPr>
          </w:p>
        </w:tc>
        <w:tc>
          <w:tcPr>
            <w:tcW w:w="2430" w:type="dxa"/>
            <w:vAlign w:val="center"/>
          </w:tcPr>
          <w:p w14:paraId="22AA5CE2" w14:textId="77777777" w:rsidR="002D700B" w:rsidRPr="005379D3" w:rsidRDefault="002D700B" w:rsidP="002D700B">
            <w:pPr>
              <w:rPr>
                <w:rFonts w:asciiTheme="minorHAnsi" w:hAnsiTheme="minorHAnsi" w:cstheme="minorHAnsi"/>
                <w:b/>
                <w:sz w:val="18"/>
                <w:szCs w:val="18"/>
              </w:rPr>
            </w:pPr>
          </w:p>
        </w:tc>
        <w:tc>
          <w:tcPr>
            <w:tcW w:w="2340" w:type="dxa"/>
            <w:vAlign w:val="center"/>
          </w:tcPr>
          <w:p w14:paraId="7CBA0E0F" w14:textId="77777777" w:rsidR="002D700B" w:rsidRPr="005379D3" w:rsidRDefault="002D700B" w:rsidP="002D700B">
            <w:pPr>
              <w:rPr>
                <w:rFonts w:asciiTheme="minorHAnsi" w:hAnsiTheme="minorHAnsi" w:cstheme="minorHAnsi"/>
                <w:b/>
                <w:sz w:val="18"/>
                <w:szCs w:val="18"/>
              </w:rPr>
            </w:pPr>
          </w:p>
        </w:tc>
      </w:tr>
      <w:tr w:rsidR="00DF3D76" w:rsidRPr="005379D3" w14:paraId="03AA9E32" w14:textId="77777777" w:rsidTr="00A64B72">
        <w:trPr>
          <w:trHeight w:val="530"/>
        </w:trPr>
        <w:tc>
          <w:tcPr>
            <w:tcW w:w="3127" w:type="dxa"/>
          </w:tcPr>
          <w:p w14:paraId="6E01EA2C" w14:textId="5533C03E" w:rsidR="00DF3D76" w:rsidRPr="005379D3" w:rsidRDefault="00DF3D76" w:rsidP="00DF3D76">
            <w:pPr>
              <w:ind w:left="-40"/>
              <w:rPr>
                <w:rFonts w:asciiTheme="minorHAnsi" w:hAnsiTheme="minorHAnsi" w:cstheme="minorHAnsi"/>
                <w:sz w:val="18"/>
                <w:szCs w:val="18"/>
              </w:rPr>
            </w:pPr>
            <w:r>
              <w:rPr>
                <w:rFonts w:asciiTheme="minorHAnsi" w:eastAsia="Times New Roman" w:hAnsiTheme="minorHAnsi" w:cstheme="minorHAnsi"/>
                <w:color w:val="auto"/>
                <w:sz w:val="18"/>
                <w:szCs w:val="18"/>
              </w:rPr>
              <w:t xml:space="preserve">DLR 8.1: By </w:t>
            </w:r>
            <w:r w:rsidR="00D32E85">
              <w:rPr>
                <w:rFonts w:asciiTheme="minorHAnsi" w:eastAsia="Times New Roman" w:hAnsiTheme="minorHAnsi" w:cstheme="minorHAnsi"/>
                <w:color w:val="auto"/>
                <w:sz w:val="18"/>
                <w:szCs w:val="18"/>
              </w:rPr>
              <w:t>July</w:t>
            </w:r>
            <w:r>
              <w:rPr>
                <w:rFonts w:asciiTheme="minorHAnsi" w:eastAsia="Times New Roman" w:hAnsiTheme="minorHAnsi" w:cstheme="minorHAnsi"/>
                <w:color w:val="auto"/>
                <w:sz w:val="18"/>
                <w:szCs w:val="18"/>
              </w:rPr>
              <w:t xml:space="preserve"> 31, 2022, </w:t>
            </w:r>
            <w:r w:rsidRPr="00196C0C">
              <w:rPr>
                <w:rFonts w:asciiTheme="minorHAnsi" w:eastAsia="Times New Roman" w:hAnsiTheme="minorHAnsi" w:cstheme="minorHAnsi"/>
                <w:color w:val="auto"/>
                <w:sz w:val="18"/>
                <w:szCs w:val="18"/>
              </w:rPr>
              <w:t xml:space="preserve">SBs </w:t>
            </w:r>
            <w:r>
              <w:rPr>
                <w:rFonts w:asciiTheme="minorHAnsi" w:eastAsia="Times New Roman" w:hAnsiTheme="minorHAnsi" w:cstheme="minorHAnsi"/>
                <w:color w:val="auto"/>
                <w:sz w:val="18"/>
                <w:szCs w:val="18"/>
              </w:rPr>
              <w:t>are functional</w:t>
            </w:r>
            <w:r w:rsidRPr="00196C0C">
              <w:rPr>
                <w:rFonts w:asciiTheme="minorHAnsi" w:eastAsia="Times New Roman" w:hAnsiTheme="minorHAnsi" w:cstheme="minorHAnsi"/>
                <w:color w:val="auto"/>
                <w:sz w:val="18"/>
                <w:szCs w:val="18"/>
              </w:rPr>
              <w:t xml:space="preserve"> and form</w:t>
            </w:r>
            <w:r>
              <w:rPr>
                <w:rFonts w:asciiTheme="minorHAnsi" w:eastAsia="Times New Roman" w:hAnsiTheme="minorHAnsi" w:cstheme="minorHAnsi"/>
                <w:color w:val="auto"/>
                <w:sz w:val="18"/>
                <w:szCs w:val="18"/>
              </w:rPr>
              <w:t>ed the</w:t>
            </w:r>
            <w:r w:rsidRPr="00196C0C">
              <w:rPr>
                <w:rFonts w:asciiTheme="minorHAnsi" w:eastAsia="Times New Roman" w:hAnsiTheme="minorHAnsi" w:cstheme="minorHAnsi"/>
                <w:color w:val="auto"/>
                <w:sz w:val="18"/>
                <w:szCs w:val="18"/>
              </w:rPr>
              <w:t xml:space="preserve"> specialized committees (audit and compensation committees) at </w:t>
            </w:r>
            <w:r>
              <w:rPr>
                <w:rFonts w:asciiTheme="minorHAnsi" w:eastAsia="Times New Roman" w:hAnsiTheme="minorHAnsi" w:cstheme="minorHAnsi"/>
                <w:color w:val="auto"/>
                <w:sz w:val="18"/>
                <w:szCs w:val="18"/>
              </w:rPr>
              <w:t>formed at BT, SIB, and STB comprising of members of SBs and chaired by independent supervisory board members</w:t>
            </w:r>
          </w:p>
        </w:tc>
        <w:tc>
          <w:tcPr>
            <w:tcW w:w="1350" w:type="dxa"/>
          </w:tcPr>
          <w:p w14:paraId="5A817BD7" w14:textId="50078761" w:rsidR="00DF3D76" w:rsidRPr="00DF3D76" w:rsidRDefault="00DF3D76" w:rsidP="00DF3D76">
            <w:pPr>
              <w:rPr>
                <w:rFonts w:asciiTheme="minorHAnsi" w:hAnsiTheme="minorHAnsi" w:cstheme="minorHAnsi"/>
                <w:sz w:val="18"/>
                <w:szCs w:val="18"/>
              </w:rPr>
            </w:pPr>
            <w:r w:rsidRPr="00DF3D76">
              <w:rPr>
                <w:rFonts w:asciiTheme="minorHAnsi" w:hAnsiTheme="minorHAnsi" w:cstheme="minorHAnsi"/>
                <w:sz w:val="18"/>
                <w:szCs w:val="18"/>
              </w:rPr>
              <w:t>-</w:t>
            </w:r>
          </w:p>
        </w:tc>
        <w:tc>
          <w:tcPr>
            <w:tcW w:w="990" w:type="dxa"/>
          </w:tcPr>
          <w:p w14:paraId="3478C9A3" w14:textId="77777777" w:rsidR="00DF3D76" w:rsidRPr="005379D3" w:rsidRDefault="00DF3D76" w:rsidP="00DF3D76">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18DC4696" w14:textId="1966451B" w:rsidR="00DF3D76" w:rsidRPr="00A034D5" w:rsidRDefault="00D32E85" w:rsidP="00DF3D76">
            <w:pPr>
              <w:rPr>
                <w:rFonts w:asciiTheme="minorHAnsi" w:hAnsiTheme="minorHAnsi" w:cstheme="minorHAnsi"/>
                <w:sz w:val="18"/>
                <w:szCs w:val="18"/>
              </w:rPr>
            </w:pPr>
            <w:r>
              <w:rPr>
                <w:rFonts w:asciiTheme="minorHAnsi" w:hAnsiTheme="minorHAnsi" w:cstheme="minorHAnsi"/>
                <w:sz w:val="18"/>
                <w:szCs w:val="18"/>
              </w:rPr>
              <w:t>July</w:t>
            </w:r>
            <w:r w:rsidR="00DF3D76" w:rsidRPr="00A034D5">
              <w:rPr>
                <w:rFonts w:asciiTheme="minorHAnsi" w:hAnsiTheme="minorHAnsi" w:cstheme="minorHAnsi"/>
                <w:sz w:val="18"/>
                <w:szCs w:val="18"/>
              </w:rPr>
              <w:t xml:space="preserve"> 3</w:t>
            </w:r>
            <w:r w:rsidR="00DF3D76">
              <w:rPr>
                <w:rFonts w:asciiTheme="minorHAnsi" w:hAnsiTheme="minorHAnsi" w:cstheme="minorHAnsi"/>
                <w:sz w:val="18"/>
                <w:szCs w:val="18"/>
              </w:rPr>
              <w:t>1</w:t>
            </w:r>
            <w:r w:rsidR="00DF3D76" w:rsidRPr="00A034D5">
              <w:rPr>
                <w:rFonts w:asciiTheme="minorHAnsi" w:hAnsiTheme="minorHAnsi" w:cstheme="minorHAnsi"/>
                <w:sz w:val="18"/>
                <w:szCs w:val="18"/>
              </w:rPr>
              <w:t>, 202</w:t>
            </w:r>
            <w:r w:rsidR="00DF3D76">
              <w:rPr>
                <w:rFonts w:asciiTheme="minorHAnsi" w:hAnsiTheme="minorHAnsi" w:cstheme="minorHAnsi"/>
                <w:sz w:val="18"/>
                <w:szCs w:val="18"/>
              </w:rPr>
              <w:t>2</w:t>
            </w:r>
          </w:p>
        </w:tc>
        <w:tc>
          <w:tcPr>
            <w:tcW w:w="2700" w:type="dxa"/>
          </w:tcPr>
          <w:p w14:paraId="558CB033" w14:textId="77777777" w:rsidR="00DF3D76" w:rsidRPr="005379D3" w:rsidRDefault="00DF3D76" w:rsidP="00DF3D76">
            <w:pPr>
              <w:pStyle w:val="ListParagraph"/>
              <w:ind w:left="0"/>
              <w:contextualSpacing w:val="0"/>
              <w:rPr>
                <w:rFonts w:asciiTheme="minorHAnsi" w:hAnsiTheme="minorHAnsi" w:cstheme="minorHAnsi"/>
                <w:sz w:val="18"/>
                <w:szCs w:val="18"/>
              </w:rPr>
            </w:pPr>
            <w:r w:rsidRPr="005379D3">
              <w:rPr>
                <w:rFonts w:asciiTheme="minorHAnsi" w:eastAsia="Times New Roman" w:hAnsiTheme="minorHAnsi" w:cstheme="minorHAnsi"/>
                <w:sz w:val="18"/>
                <w:szCs w:val="18"/>
              </w:rPr>
              <w:t xml:space="preserve">SBs </w:t>
            </w:r>
            <w:r>
              <w:rPr>
                <w:rFonts w:asciiTheme="minorHAnsi" w:eastAsia="Times New Roman" w:hAnsiTheme="minorHAnsi" w:cstheme="minorHAnsi"/>
                <w:sz w:val="18"/>
                <w:szCs w:val="18"/>
              </w:rPr>
              <w:t xml:space="preserve">are </w:t>
            </w:r>
            <w:r w:rsidRPr="005379D3">
              <w:rPr>
                <w:rFonts w:asciiTheme="minorHAnsi" w:eastAsia="Times New Roman" w:hAnsiTheme="minorHAnsi" w:cstheme="minorHAnsi"/>
                <w:sz w:val="18"/>
                <w:szCs w:val="18"/>
              </w:rPr>
              <w:t>function</w:t>
            </w:r>
            <w:r>
              <w:rPr>
                <w:rFonts w:asciiTheme="minorHAnsi" w:eastAsia="Times New Roman" w:hAnsiTheme="minorHAnsi" w:cstheme="minorHAnsi"/>
                <w:sz w:val="18"/>
                <w:szCs w:val="18"/>
              </w:rPr>
              <w:t>al</w:t>
            </w:r>
            <w:r w:rsidRPr="005379D3">
              <w:rPr>
                <w:rFonts w:asciiTheme="minorHAnsi" w:eastAsia="Times New Roman" w:hAnsiTheme="minorHAnsi" w:cstheme="minorHAnsi"/>
                <w:sz w:val="18"/>
                <w:szCs w:val="18"/>
              </w:rPr>
              <w:t xml:space="preserve"> and form specialized committees (audit and compensation committees) at generation, transmission, and distribution companies, comprising of SB members and chaired by independent SB members.</w:t>
            </w:r>
          </w:p>
        </w:tc>
        <w:tc>
          <w:tcPr>
            <w:tcW w:w="2430" w:type="dxa"/>
          </w:tcPr>
          <w:p w14:paraId="115067DA" w14:textId="77777777" w:rsidR="00DF3D76" w:rsidRPr="005379D3" w:rsidRDefault="00DF3D76" w:rsidP="00DF3D76">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54ACC912" w14:textId="77777777" w:rsidR="00DF3D76" w:rsidRPr="005379D3" w:rsidRDefault="00DF3D76" w:rsidP="00DF3D76">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 </w:t>
            </w:r>
            <w:r w:rsidRPr="005379D3">
              <w:rPr>
                <w:rFonts w:asciiTheme="minorHAnsi" w:hAnsiTheme="minorHAnsi" w:cstheme="minorHAnsi"/>
                <w:sz w:val="18"/>
                <w:szCs w:val="18"/>
              </w:rPr>
              <w:t>disbursement for full compliance. No disbursement in case of partial or complete non-compliance.</w:t>
            </w:r>
          </w:p>
        </w:tc>
      </w:tr>
      <w:tr w:rsidR="00DF3D76" w:rsidRPr="005379D3" w14:paraId="36C089DC" w14:textId="77777777" w:rsidTr="00A64B72">
        <w:trPr>
          <w:trHeight w:val="530"/>
        </w:trPr>
        <w:tc>
          <w:tcPr>
            <w:tcW w:w="3127" w:type="dxa"/>
          </w:tcPr>
          <w:p w14:paraId="438391CC" w14:textId="14DEB4C7" w:rsidR="00DF3D76" w:rsidRDefault="00DF3D76" w:rsidP="00DF3D76">
            <w:pPr>
              <w:ind w:left="-40"/>
              <w:rPr>
                <w:rFonts w:asciiTheme="minorHAnsi" w:eastAsia="Times New Roman" w:hAnsiTheme="minorHAnsi" w:cstheme="minorHAnsi"/>
                <w:sz w:val="18"/>
                <w:szCs w:val="18"/>
              </w:rPr>
            </w:pPr>
            <w:r>
              <w:rPr>
                <w:rFonts w:asciiTheme="minorHAnsi" w:eastAsia="Times New Roman" w:hAnsiTheme="minorHAnsi" w:cstheme="minorHAnsi"/>
                <w:sz w:val="18"/>
                <w:szCs w:val="18"/>
              </w:rPr>
              <w:t>DLR 8.2: By Ju</w:t>
            </w:r>
            <w:r w:rsidR="00D32E85">
              <w:rPr>
                <w:rFonts w:asciiTheme="minorHAnsi" w:eastAsia="Times New Roman" w:hAnsiTheme="minorHAnsi" w:cstheme="minorHAnsi"/>
                <w:sz w:val="18"/>
                <w:szCs w:val="18"/>
              </w:rPr>
              <w:t>ly</w:t>
            </w:r>
            <w:r>
              <w:rPr>
                <w:rFonts w:asciiTheme="minorHAnsi" w:eastAsia="Times New Roman" w:hAnsiTheme="minorHAnsi" w:cstheme="minorHAnsi"/>
                <w:sz w:val="18"/>
                <w:szCs w:val="18"/>
              </w:rPr>
              <w:t xml:space="preserve"> 3</w:t>
            </w:r>
            <w:r w:rsidR="00D32E85">
              <w:rPr>
                <w:rFonts w:asciiTheme="minorHAnsi" w:eastAsia="Times New Roman" w:hAnsiTheme="minorHAnsi" w:cstheme="minorHAnsi"/>
                <w:sz w:val="18"/>
                <w:szCs w:val="18"/>
              </w:rPr>
              <w:t>1</w:t>
            </w:r>
            <w:r>
              <w:rPr>
                <w:rFonts w:asciiTheme="minorHAnsi" w:eastAsia="Times New Roman" w:hAnsiTheme="minorHAnsi" w:cstheme="minorHAnsi"/>
                <w:sz w:val="18"/>
                <w:szCs w:val="18"/>
              </w:rPr>
              <w:t xml:space="preserve">, 2022, </w:t>
            </w:r>
            <w:r w:rsidRPr="00196C0C">
              <w:rPr>
                <w:rFonts w:asciiTheme="minorHAnsi" w:eastAsia="Times New Roman" w:hAnsiTheme="minorHAnsi" w:cstheme="minorHAnsi"/>
                <w:sz w:val="18"/>
                <w:szCs w:val="18"/>
              </w:rPr>
              <w:t>SBs and specialized committees are functional</w:t>
            </w:r>
            <w:r>
              <w:rPr>
                <w:rFonts w:asciiTheme="minorHAnsi" w:eastAsia="Times New Roman" w:hAnsiTheme="minorHAnsi" w:cstheme="minorHAnsi"/>
                <w:sz w:val="18"/>
                <w:szCs w:val="18"/>
              </w:rPr>
              <w:t>.</w:t>
            </w:r>
          </w:p>
        </w:tc>
        <w:tc>
          <w:tcPr>
            <w:tcW w:w="1350" w:type="dxa"/>
          </w:tcPr>
          <w:p w14:paraId="297D0A57" w14:textId="4BE17E90" w:rsidR="00DF3D76" w:rsidRPr="00DF3D76" w:rsidRDefault="00DF3D76" w:rsidP="00DF3D76">
            <w:pPr>
              <w:rPr>
                <w:rFonts w:asciiTheme="minorHAnsi" w:hAnsiTheme="minorHAnsi" w:cstheme="minorHAnsi"/>
                <w:sz w:val="18"/>
                <w:szCs w:val="18"/>
              </w:rPr>
            </w:pPr>
            <w:r w:rsidRPr="00DF3D76">
              <w:rPr>
                <w:rFonts w:asciiTheme="minorHAnsi" w:hAnsiTheme="minorHAnsi" w:cstheme="minorHAnsi"/>
                <w:sz w:val="18"/>
                <w:szCs w:val="18"/>
              </w:rPr>
              <w:t>-</w:t>
            </w:r>
          </w:p>
        </w:tc>
        <w:tc>
          <w:tcPr>
            <w:tcW w:w="990" w:type="dxa"/>
          </w:tcPr>
          <w:p w14:paraId="3D026D2B" w14:textId="77777777" w:rsidR="00DF3D76" w:rsidRDefault="00DF3D76" w:rsidP="00DF3D76">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2122E1FD" w14:textId="136FE678" w:rsidR="00DF3D76" w:rsidRPr="00A034D5" w:rsidRDefault="00DF3D76" w:rsidP="00DF3D76">
            <w:pPr>
              <w:rPr>
                <w:rFonts w:asciiTheme="minorHAnsi" w:hAnsiTheme="minorHAnsi" w:cstheme="minorHAnsi"/>
                <w:sz w:val="18"/>
                <w:szCs w:val="18"/>
              </w:rPr>
            </w:pPr>
            <w:r>
              <w:rPr>
                <w:rFonts w:asciiTheme="minorHAnsi" w:hAnsiTheme="minorHAnsi" w:cstheme="minorHAnsi"/>
                <w:sz w:val="18"/>
                <w:szCs w:val="18"/>
              </w:rPr>
              <w:t>Ju</w:t>
            </w:r>
            <w:r w:rsidR="00D32E85">
              <w:rPr>
                <w:rFonts w:asciiTheme="minorHAnsi" w:hAnsiTheme="minorHAnsi" w:cstheme="minorHAnsi"/>
                <w:sz w:val="18"/>
                <w:szCs w:val="18"/>
              </w:rPr>
              <w:t xml:space="preserve">ly </w:t>
            </w:r>
            <w:r w:rsidRPr="00A034D5">
              <w:rPr>
                <w:rFonts w:asciiTheme="minorHAnsi" w:hAnsiTheme="minorHAnsi" w:cstheme="minorHAnsi"/>
                <w:sz w:val="18"/>
                <w:szCs w:val="18"/>
              </w:rPr>
              <w:t>3</w:t>
            </w:r>
            <w:r w:rsidR="00D32E85">
              <w:rPr>
                <w:rFonts w:asciiTheme="minorHAnsi" w:hAnsiTheme="minorHAnsi" w:cstheme="minorHAnsi"/>
                <w:sz w:val="18"/>
                <w:szCs w:val="18"/>
              </w:rPr>
              <w:t>1</w:t>
            </w:r>
            <w:r w:rsidRPr="00A034D5">
              <w:rPr>
                <w:rFonts w:asciiTheme="minorHAnsi" w:hAnsiTheme="minorHAnsi" w:cstheme="minorHAnsi"/>
                <w:sz w:val="18"/>
                <w:szCs w:val="18"/>
              </w:rPr>
              <w:t>, 202</w:t>
            </w:r>
            <w:r>
              <w:rPr>
                <w:rFonts w:asciiTheme="minorHAnsi" w:hAnsiTheme="minorHAnsi" w:cstheme="minorHAnsi"/>
                <w:sz w:val="18"/>
                <w:szCs w:val="18"/>
              </w:rPr>
              <w:t>2</w:t>
            </w:r>
          </w:p>
        </w:tc>
        <w:tc>
          <w:tcPr>
            <w:tcW w:w="2700" w:type="dxa"/>
          </w:tcPr>
          <w:p w14:paraId="524478CE" w14:textId="77777777" w:rsidR="00DF3D76" w:rsidRPr="005379D3" w:rsidRDefault="00DF3D76" w:rsidP="00DF3D76">
            <w:pPr>
              <w:pStyle w:val="ListParagraph"/>
              <w:ind w:left="0"/>
              <w:contextualSpacing w:val="0"/>
              <w:rPr>
                <w:rFonts w:asciiTheme="minorHAnsi" w:eastAsia="Times New Roman" w:hAnsiTheme="minorHAnsi" w:cstheme="minorHAnsi"/>
                <w:sz w:val="18"/>
                <w:szCs w:val="18"/>
              </w:rPr>
            </w:pPr>
            <w:r w:rsidRPr="005379D3">
              <w:rPr>
                <w:rFonts w:asciiTheme="minorHAnsi" w:eastAsia="Times New Roman" w:hAnsiTheme="minorHAnsi" w:cstheme="minorHAnsi"/>
                <w:sz w:val="18"/>
                <w:szCs w:val="18"/>
              </w:rPr>
              <w:t>SBs and specialized committees are functional.</w:t>
            </w:r>
          </w:p>
        </w:tc>
        <w:tc>
          <w:tcPr>
            <w:tcW w:w="2430" w:type="dxa"/>
          </w:tcPr>
          <w:p w14:paraId="27DB6522" w14:textId="77777777" w:rsidR="00DF3D76" w:rsidRPr="005379D3" w:rsidRDefault="00DF3D76" w:rsidP="00DF3D76">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26C38B37" w14:textId="77777777" w:rsidR="00DF3D76" w:rsidRPr="005379D3" w:rsidRDefault="00DF3D76" w:rsidP="00DF3D76">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DF3D76" w:rsidRPr="005379D3" w14:paraId="42A58378" w14:textId="77777777" w:rsidTr="00A64B72">
        <w:trPr>
          <w:trHeight w:val="530"/>
        </w:trPr>
        <w:tc>
          <w:tcPr>
            <w:tcW w:w="3127" w:type="dxa"/>
          </w:tcPr>
          <w:p w14:paraId="13757E56" w14:textId="69C45AF3" w:rsidR="00DF3D76" w:rsidRPr="005379D3" w:rsidRDefault="00DF3D76" w:rsidP="00DF3D76">
            <w:pPr>
              <w:ind w:left="-40"/>
              <w:rPr>
                <w:rFonts w:asciiTheme="minorHAnsi" w:hAnsiTheme="minorHAnsi" w:cstheme="minorHAnsi"/>
                <w:sz w:val="18"/>
                <w:szCs w:val="18"/>
              </w:rPr>
            </w:pPr>
            <w:r>
              <w:rPr>
                <w:rFonts w:asciiTheme="minorHAnsi" w:eastAsia="Times New Roman" w:hAnsiTheme="minorHAnsi" w:cstheme="minorHAnsi"/>
                <w:sz w:val="18"/>
                <w:szCs w:val="18"/>
              </w:rPr>
              <w:t xml:space="preserve">DLR 8.3: By December 31, 2022, </w:t>
            </w:r>
            <w:r w:rsidRPr="00196C0C">
              <w:rPr>
                <w:rFonts w:asciiTheme="minorHAnsi" w:eastAsia="Times New Roman" w:hAnsiTheme="minorHAnsi" w:cstheme="minorHAnsi"/>
                <w:sz w:val="18"/>
                <w:szCs w:val="18"/>
              </w:rPr>
              <w:t>SBs and specialized committees are functional</w:t>
            </w:r>
            <w:r>
              <w:rPr>
                <w:rFonts w:asciiTheme="minorHAnsi" w:eastAsia="Times New Roman" w:hAnsiTheme="minorHAnsi" w:cstheme="minorHAnsi"/>
                <w:sz w:val="18"/>
                <w:szCs w:val="18"/>
              </w:rPr>
              <w:t>.</w:t>
            </w:r>
          </w:p>
        </w:tc>
        <w:tc>
          <w:tcPr>
            <w:tcW w:w="1350" w:type="dxa"/>
          </w:tcPr>
          <w:p w14:paraId="1D7C72AD" w14:textId="1C654A13" w:rsidR="00DF3D76" w:rsidRPr="00DF3D76" w:rsidRDefault="00DF3D76" w:rsidP="00DF3D76">
            <w:pPr>
              <w:rPr>
                <w:rFonts w:asciiTheme="minorHAnsi" w:hAnsiTheme="minorHAnsi" w:cstheme="minorHAnsi"/>
                <w:sz w:val="18"/>
                <w:szCs w:val="18"/>
              </w:rPr>
            </w:pPr>
            <w:r>
              <w:rPr>
                <w:rFonts w:asciiTheme="minorHAnsi" w:hAnsiTheme="minorHAnsi" w:cstheme="minorHAnsi"/>
                <w:sz w:val="18"/>
                <w:szCs w:val="18"/>
              </w:rPr>
              <w:t>US$</w:t>
            </w:r>
            <w:r w:rsidRPr="00DF3D76">
              <w:rPr>
                <w:rFonts w:asciiTheme="minorHAnsi" w:hAnsiTheme="minorHAnsi" w:cstheme="minorHAnsi"/>
                <w:sz w:val="18"/>
                <w:szCs w:val="18"/>
              </w:rPr>
              <w:t>700,000</w:t>
            </w:r>
          </w:p>
        </w:tc>
        <w:tc>
          <w:tcPr>
            <w:tcW w:w="990" w:type="dxa"/>
          </w:tcPr>
          <w:p w14:paraId="4A480A9F" w14:textId="77777777" w:rsidR="00DF3D76" w:rsidRPr="005379D3" w:rsidRDefault="00DF3D76" w:rsidP="00DF3D76">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48CC634F" w14:textId="1166DCBD" w:rsidR="00DF3D76" w:rsidRPr="00A034D5" w:rsidRDefault="00DF3D76" w:rsidP="00DF3D76">
            <w:pPr>
              <w:rPr>
                <w:rFonts w:asciiTheme="minorHAnsi" w:hAnsiTheme="minorHAnsi" w:cstheme="minorHAnsi"/>
                <w:sz w:val="18"/>
                <w:szCs w:val="18"/>
              </w:rPr>
            </w:pPr>
            <w:r w:rsidRPr="00A034D5">
              <w:rPr>
                <w:rFonts w:asciiTheme="minorHAnsi" w:hAnsiTheme="minorHAnsi" w:cstheme="minorHAnsi"/>
                <w:sz w:val="18"/>
                <w:szCs w:val="18"/>
              </w:rPr>
              <w:t>Dec. 31, 202</w:t>
            </w:r>
            <w:r>
              <w:rPr>
                <w:rFonts w:asciiTheme="minorHAnsi" w:hAnsiTheme="minorHAnsi" w:cstheme="minorHAnsi"/>
                <w:sz w:val="18"/>
                <w:szCs w:val="18"/>
              </w:rPr>
              <w:t>2</w:t>
            </w:r>
          </w:p>
        </w:tc>
        <w:tc>
          <w:tcPr>
            <w:tcW w:w="2700" w:type="dxa"/>
          </w:tcPr>
          <w:p w14:paraId="640A969A" w14:textId="77777777" w:rsidR="00DF3D76" w:rsidRPr="005379D3" w:rsidRDefault="00DF3D76" w:rsidP="00DF3D76">
            <w:pPr>
              <w:pStyle w:val="ListParagraph"/>
              <w:ind w:left="0"/>
              <w:contextualSpacing w:val="0"/>
              <w:rPr>
                <w:rFonts w:asciiTheme="minorHAnsi" w:hAnsiTheme="minorHAnsi" w:cstheme="minorHAnsi"/>
                <w:sz w:val="18"/>
                <w:szCs w:val="18"/>
              </w:rPr>
            </w:pPr>
            <w:r w:rsidRPr="005379D3">
              <w:rPr>
                <w:rFonts w:asciiTheme="minorHAnsi" w:eastAsia="Times New Roman" w:hAnsiTheme="minorHAnsi" w:cstheme="minorHAnsi"/>
                <w:sz w:val="18"/>
                <w:szCs w:val="18"/>
              </w:rPr>
              <w:t>SBs and specialized committees are functional.</w:t>
            </w:r>
          </w:p>
        </w:tc>
        <w:tc>
          <w:tcPr>
            <w:tcW w:w="2430" w:type="dxa"/>
          </w:tcPr>
          <w:p w14:paraId="05408809" w14:textId="77777777" w:rsidR="00DF3D76" w:rsidRPr="005379D3" w:rsidRDefault="00DF3D76" w:rsidP="00DF3D76">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17AF7EF0" w14:textId="77777777" w:rsidR="00DF3D76" w:rsidRPr="005379D3" w:rsidRDefault="00DF3D76" w:rsidP="00DF3D76">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w:t>
            </w:r>
            <w:r w:rsidRPr="005379D3">
              <w:rPr>
                <w:rFonts w:asciiTheme="minorHAnsi" w:hAnsiTheme="minorHAnsi" w:cstheme="minorHAnsi"/>
                <w:sz w:val="18"/>
                <w:szCs w:val="18"/>
              </w:rPr>
              <w:lastRenderedPageBreak/>
              <w:t>partial or complete non-compliance.</w:t>
            </w:r>
          </w:p>
        </w:tc>
      </w:tr>
      <w:tr w:rsidR="00DF3D76" w:rsidRPr="005379D3" w14:paraId="083468E5" w14:textId="77777777" w:rsidTr="00A64B72">
        <w:trPr>
          <w:trHeight w:val="530"/>
        </w:trPr>
        <w:tc>
          <w:tcPr>
            <w:tcW w:w="3127" w:type="dxa"/>
          </w:tcPr>
          <w:p w14:paraId="62B17AF8" w14:textId="512F7FC1" w:rsidR="00DF3D76" w:rsidRPr="005379D3" w:rsidRDefault="00DF3D76" w:rsidP="00DF3D76">
            <w:pPr>
              <w:ind w:left="-40"/>
              <w:rPr>
                <w:rFonts w:asciiTheme="minorHAnsi" w:hAnsiTheme="minorHAnsi" w:cstheme="minorHAnsi"/>
                <w:sz w:val="18"/>
                <w:szCs w:val="18"/>
              </w:rPr>
            </w:pPr>
            <w:r>
              <w:rPr>
                <w:rFonts w:asciiTheme="minorHAnsi" w:eastAsia="Times New Roman" w:hAnsiTheme="minorHAnsi" w:cstheme="minorHAnsi"/>
                <w:sz w:val="18"/>
                <w:szCs w:val="18"/>
              </w:rPr>
              <w:lastRenderedPageBreak/>
              <w:t xml:space="preserve">DLR 8.4: By December 31, 2023, </w:t>
            </w:r>
            <w:r w:rsidRPr="00196C0C">
              <w:rPr>
                <w:rFonts w:asciiTheme="minorHAnsi" w:eastAsia="Times New Roman" w:hAnsiTheme="minorHAnsi" w:cstheme="minorHAnsi"/>
                <w:sz w:val="18"/>
                <w:szCs w:val="18"/>
              </w:rPr>
              <w:t>SBs and specialized committees are functional</w:t>
            </w:r>
            <w:r>
              <w:rPr>
                <w:rFonts w:asciiTheme="minorHAnsi" w:eastAsia="Times New Roman" w:hAnsiTheme="minorHAnsi" w:cstheme="minorHAnsi"/>
                <w:sz w:val="18"/>
                <w:szCs w:val="18"/>
              </w:rPr>
              <w:t>.</w:t>
            </w:r>
          </w:p>
        </w:tc>
        <w:tc>
          <w:tcPr>
            <w:tcW w:w="1350" w:type="dxa"/>
          </w:tcPr>
          <w:p w14:paraId="4DC756E8" w14:textId="3D776FCB" w:rsidR="00DF3D76" w:rsidRPr="00DF3D76" w:rsidRDefault="00DF3D76" w:rsidP="00DF3D76">
            <w:pPr>
              <w:rPr>
                <w:rFonts w:asciiTheme="minorHAnsi" w:hAnsiTheme="minorHAnsi" w:cstheme="minorHAnsi"/>
                <w:sz w:val="18"/>
                <w:szCs w:val="18"/>
              </w:rPr>
            </w:pPr>
            <w:r>
              <w:rPr>
                <w:rFonts w:asciiTheme="minorHAnsi" w:hAnsiTheme="minorHAnsi" w:cstheme="minorHAnsi"/>
                <w:sz w:val="18"/>
                <w:szCs w:val="18"/>
              </w:rPr>
              <w:t>US$</w:t>
            </w:r>
            <w:r w:rsidRPr="00DF3D76">
              <w:rPr>
                <w:rFonts w:asciiTheme="minorHAnsi" w:hAnsiTheme="minorHAnsi" w:cstheme="minorHAnsi"/>
                <w:sz w:val="18"/>
                <w:szCs w:val="18"/>
              </w:rPr>
              <w:t>600,000</w:t>
            </w:r>
          </w:p>
        </w:tc>
        <w:tc>
          <w:tcPr>
            <w:tcW w:w="990" w:type="dxa"/>
          </w:tcPr>
          <w:p w14:paraId="735DE1D0" w14:textId="77777777" w:rsidR="00DF3D76" w:rsidRPr="005379D3" w:rsidRDefault="00DF3D76" w:rsidP="00DF3D76">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73ACD91A" w14:textId="4F94E8A2" w:rsidR="00DF3D76" w:rsidRPr="00A034D5" w:rsidRDefault="00DF3D76" w:rsidP="00DF3D76">
            <w:pPr>
              <w:rPr>
                <w:rFonts w:asciiTheme="minorHAnsi" w:hAnsiTheme="minorHAnsi" w:cstheme="minorHAnsi"/>
                <w:sz w:val="18"/>
                <w:szCs w:val="18"/>
              </w:rPr>
            </w:pPr>
            <w:r>
              <w:rPr>
                <w:rFonts w:asciiTheme="minorHAnsi" w:hAnsiTheme="minorHAnsi" w:cstheme="minorHAnsi"/>
                <w:sz w:val="18"/>
                <w:szCs w:val="18"/>
              </w:rPr>
              <w:t>Dec. 31</w:t>
            </w:r>
            <w:r w:rsidRPr="00A034D5">
              <w:rPr>
                <w:rFonts w:asciiTheme="minorHAnsi" w:hAnsiTheme="minorHAnsi" w:cstheme="minorHAnsi"/>
                <w:sz w:val="18"/>
                <w:szCs w:val="18"/>
              </w:rPr>
              <w:t>, 202</w:t>
            </w:r>
            <w:r>
              <w:rPr>
                <w:rFonts w:asciiTheme="minorHAnsi" w:hAnsiTheme="minorHAnsi" w:cstheme="minorHAnsi"/>
                <w:sz w:val="18"/>
                <w:szCs w:val="18"/>
              </w:rPr>
              <w:t>3</w:t>
            </w:r>
          </w:p>
        </w:tc>
        <w:tc>
          <w:tcPr>
            <w:tcW w:w="2700" w:type="dxa"/>
          </w:tcPr>
          <w:p w14:paraId="4911B40E" w14:textId="77777777" w:rsidR="00DF3D76" w:rsidRPr="005379D3" w:rsidRDefault="00DF3D76" w:rsidP="00DF3D76">
            <w:pPr>
              <w:pStyle w:val="ListParagraph"/>
              <w:ind w:left="0"/>
              <w:contextualSpacing w:val="0"/>
              <w:rPr>
                <w:rFonts w:asciiTheme="minorHAnsi" w:hAnsiTheme="minorHAnsi" w:cstheme="minorHAnsi"/>
                <w:sz w:val="18"/>
                <w:szCs w:val="18"/>
              </w:rPr>
            </w:pPr>
            <w:r w:rsidRPr="005379D3">
              <w:rPr>
                <w:rFonts w:asciiTheme="minorHAnsi" w:eastAsia="Times New Roman" w:hAnsiTheme="minorHAnsi" w:cstheme="minorHAnsi"/>
                <w:sz w:val="18"/>
                <w:szCs w:val="18"/>
              </w:rPr>
              <w:t>SBs and specialized committees are functional.</w:t>
            </w:r>
          </w:p>
        </w:tc>
        <w:tc>
          <w:tcPr>
            <w:tcW w:w="2430" w:type="dxa"/>
          </w:tcPr>
          <w:p w14:paraId="47354F6F" w14:textId="77777777" w:rsidR="00DF3D76" w:rsidRPr="005379D3" w:rsidRDefault="00DF3D76" w:rsidP="00DF3D76">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633520B3" w14:textId="77777777" w:rsidR="00DF3D76" w:rsidRPr="005379D3" w:rsidRDefault="00DF3D76" w:rsidP="00DF3D76">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DF3D76" w:rsidRPr="005379D3" w14:paraId="6DFC74A1" w14:textId="77777777" w:rsidTr="00A64B72">
        <w:trPr>
          <w:trHeight w:val="530"/>
        </w:trPr>
        <w:tc>
          <w:tcPr>
            <w:tcW w:w="3127" w:type="dxa"/>
          </w:tcPr>
          <w:p w14:paraId="5DA8C1F3" w14:textId="0C4A7D49" w:rsidR="00DF3D76" w:rsidRPr="005379D3" w:rsidRDefault="00DF3D76" w:rsidP="00DF3D76">
            <w:pPr>
              <w:ind w:left="-40"/>
              <w:rPr>
                <w:rFonts w:asciiTheme="minorHAnsi" w:hAnsiTheme="minorHAnsi" w:cstheme="minorHAnsi"/>
                <w:sz w:val="18"/>
                <w:szCs w:val="18"/>
              </w:rPr>
            </w:pPr>
            <w:r>
              <w:rPr>
                <w:rFonts w:asciiTheme="minorHAnsi" w:eastAsia="Times New Roman" w:hAnsiTheme="minorHAnsi" w:cstheme="minorHAnsi"/>
                <w:sz w:val="18"/>
                <w:szCs w:val="18"/>
              </w:rPr>
              <w:t xml:space="preserve">DLR 8.5: By December 31, 2024, </w:t>
            </w:r>
            <w:r w:rsidRPr="00196C0C">
              <w:rPr>
                <w:rFonts w:asciiTheme="minorHAnsi" w:eastAsia="Times New Roman" w:hAnsiTheme="minorHAnsi" w:cstheme="minorHAnsi"/>
                <w:sz w:val="18"/>
                <w:szCs w:val="18"/>
              </w:rPr>
              <w:t>SBs and specialized committees are functional</w:t>
            </w:r>
            <w:r>
              <w:rPr>
                <w:rFonts w:asciiTheme="minorHAnsi" w:eastAsia="Times New Roman" w:hAnsiTheme="minorHAnsi" w:cstheme="minorHAnsi"/>
                <w:sz w:val="18"/>
                <w:szCs w:val="18"/>
              </w:rPr>
              <w:t>.</w:t>
            </w:r>
          </w:p>
        </w:tc>
        <w:tc>
          <w:tcPr>
            <w:tcW w:w="1350" w:type="dxa"/>
          </w:tcPr>
          <w:p w14:paraId="2E25804A" w14:textId="30ACF286" w:rsidR="00DF3D76" w:rsidRPr="00DF3D76" w:rsidRDefault="00DF3D76" w:rsidP="00DF3D76">
            <w:pPr>
              <w:rPr>
                <w:rFonts w:asciiTheme="minorHAnsi" w:hAnsiTheme="minorHAnsi" w:cstheme="minorHAnsi"/>
                <w:sz w:val="18"/>
                <w:szCs w:val="18"/>
              </w:rPr>
            </w:pPr>
            <w:r>
              <w:rPr>
                <w:rFonts w:asciiTheme="minorHAnsi" w:hAnsiTheme="minorHAnsi" w:cstheme="minorHAnsi"/>
                <w:sz w:val="18"/>
                <w:szCs w:val="18"/>
              </w:rPr>
              <w:t>US$</w:t>
            </w:r>
            <w:r w:rsidRPr="00DF3D76">
              <w:rPr>
                <w:rFonts w:asciiTheme="minorHAnsi" w:hAnsiTheme="minorHAnsi" w:cstheme="minorHAnsi"/>
                <w:sz w:val="18"/>
                <w:szCs w:val="18"/>
              </w:rPr>
              <w:t>100,000</w:t>
            </w:r>
          </w:p>
        </w:tc>
        <w:tc>
          <w:tcPr>
            <w:tcW w:w="990" w:type="dxa"/>
          </w:tcPr>
          <w:p w14:paraId="6FB757C5" w14:textId="77777777" w:rsidR="00DF3D76" w:rsidRPr="005379D3" w:rsidRDefault="00DF3D76" w:rsidP="00DF3D76">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67AF05F1" w14:textId="63E6E41D" w:rsidR="00DF3D76" w:rsidRPr="00A034D5" w:rsidRDefault="00DF3D76" w:rsidP="00DF3D76">
            <w:pPr>
              <w:rPr>
                <w:rFonts w:asciiTheme="minorHAnsi" w:hAnsiTheme="minorHAnsi" w:cstheme="minorHAnsi"/>
                <w:sz w:val="18"/>
                <w:szCs w:val="18"/>
              </w:rPr>
            </w:pPr>
            <w:r w:rsidRPr="00A034D5">
              <w:rPr>
                <w:rFonts w:asciiTheme="minorHAnsi" w:hAnsiTheme="minorHAnsi" w:cstheme="minorHAnsi"/>
                <w:sz w:val="18"/>
                <w:szCs w:val="18"/>
              </w:rPr>
              <w:t>Dec. 31, 202</w:t>
            </w:r>
            <w:r>
              <w:rPr>
                <w:rFonts w:asciiTheme="minorHAnsi" w:hAnsiTheme="minorHAnsi" w:cstheme="minorHAnsi"/>
                <w:sz w:val="18"/>
                <w:szCs w:val="18"/>
              </w:rPr>
              <w:t>4</w:t>
            </w:r>
          </w:p>
        </w:tc>
        <w:tc>
          <w:tcPr>
            <w:tcW w:w="2700" w:type="dxa"/>
          </w:tcPr>
          <w:p w14:paraId="4083E59D" w14:textId="77777777" w:rsidR="00DF3D76" w:rsidRPr="005379D3" w:rsidRDefault="00DF3D76" w:rsidP="00DF3D76">
            <w:pPr>
              <w:pStyle w:val="ListParagraph"/>
              <w:ind w:left="0"/>
              <w:contextualSpacing w:val="0"/>
              <w:rPr>
                <w:rFonts w:asciiTheme="minorHAnsi" w:hAnsiTheme="minorHAnsi" w:cstheme="minorHAnsi"/>
                <w:sz w:val="18"/>
                <w:szCs w:val="18"/>
              </w:rPr>
            </w:pPr>
            <w:r w:rsidRPr="005379D3">
              <w:rPr>
                <w:rFonts w:asciiTheme="minorHAnsi" w:eastAsia="Times New Roman" w:hAnsiTheme="minorHAnsi" w:cstheme="minorHAnsi"/>
                <w:sz w:val="18"/>
                <w:szCs w:val="18"/>
              </w:rPr>
              <w:t>SBs and specialized committees are functional.</w:t>
            </w:r>
          </w:p>
        </w:tc>
        <w:tc>
          <w:tcPr>
            <w:tcW w:w="2430" w:type="dxa"/>
          </w:tcPr>
          <w:p w14:paraId="1F0C8391" w14:textId="77777777" w:rsidR="00DF3D76" w:rsidRPr="005379D3" w:rsidRDefault="00DF3D76" w:rsidP="00DF3D76">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3E2008C0" w14:textId="77777777" w:rsidR="00DF3D76" w:rsidRPr="005379D3" w:rsidRDefault="00DF3D76" w:rsidP="00DF3D76">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DF3D76" w:rsidRPr="005379D3" w14:paraId="000817B2" w14:textId="77777777" w:rsidTr="00A64B72">
        <w:trPr>
          <w:trHeight w:val="530"/>
        </w:trPr>
        <w:tc>
          <w:tcPr>
            <w:tcW w:w="3127" w:type="dxa"/>
          </w:tcPr>
          <w:p w14:paraId="09133E40" w14:textId="0273E826" w:rsidR="00DF3D76" w:rsidRPr="005379D3" w:rsidRDefault="00DF3D76" w:rsidP="00DF3D76">
            <w:pPr>
              <w:ind w:left="-40"/>
              <w:rPr>
                <w:rFonts w:asciiTheme="minorHAnsi" w:hAnsiTheme="minorHAnsi" w:cstheme="minorHAnsi"/>
                <w:sz w:val="18"/>
                <w:szCs w:val="18"/>
              </w:rPr>
            </w:pPr>
            <w:r>
              <w:rPr>
                <w:rFonts w:asciiTheme="minorHAnsi" w:eastAsia="Times New Roman" w:hAnsiTheme="minorHAnsi" w:cstheme="minorHAnsi"/>
                <w:sz w:val="18"/>
                <w:szCs w:val="18"/>
              </w:rPr>
              <w:t xml:space="preserve">DLR 8.6: By December 31, 2025, </w:t>
            </w:r>
            <w:r w:rsidRPr="00196C0C">
              <w:rPr>
                <w:rFonts w:asciiTheme="minorHAnsi" w:eastAsia="Times New Roman" w:hAnsiTheme="minorHAnsi" w:cstheme="minorHAnsi"/>
                <w:sz w:val="18"/>
                <w:szCs w:val="18"/>
              </w:rPr>
              <w:t>SBs and specialized committees are functional</w:t>
            </w:r>
            <w:r>
              <w:rPr>
                <w:rFonts w:asciiTheme="minorHAnsi" w:eastAsia="Times New Roman" w:hAnsiTheme="minorHAnsi" w:cstheme="minorHAnsi"/>
                <w:sz w:val="18"/>
                <w:szCs w:val="18"/>
              </w:rPr>
              <w:t>.</w:t>
            </w:r>
          </w:p>
        </w:tc>
        <w:tc>
          <w:tcPr>
            <w:tcW w:w="1350" w:type="dxa"/>
          </w:tcPr>
          <w:p w14:paraId="4247D72B" w14:textId="33E2BA52" w:rsidR="00DF3D76" w:rsidRPr="00DF3D76" w:rsidRDefault="00DF3D76" w:rsidP="00DF3D76">
            <w:pPr>
              <w:rPr>
                <w:rFonts w:asciiTheme="minorHAnsi" w:hAnsiTheme="minorHAnsi" w:cstheme="minorHAnsi"/>
                <w:sz w:val="18"/>
                <w:szCs w:val="18"/>
              </w:rPr>
            </w:pPr>
            <w:r>
              <w:rPr>
                <w:rFonts w:asciiTheme="minorHAnsi" w:hAnsiTheme="minorHAnsi" w:cstheme="minorHAnsi"/>
                <w:sz w:val="18"/>
                <w:szCs w:val="18"/>
              </w:rPr>
              <w:t>US$</w:t>
            </w:r>
            <w:r w:rsidRPr="00DF3D76">
              <w:rPr>
                <w:rFonts w:asciiTheme="minorHAnsi" w:hAnsiTheme="minorHAnsi" w:cstheme="minorHAnsi"/>
                <w:sz w:val="18"/>
                <w:szCs w:val="18"/>
              </w:rPr>
              <w:t>100,000</w:t>
            </w:r>
          </w:p>
        </w:tc>
        <w:tc>
          <w:tcPr>
            <w:tcW w:w="990" w:type="dxa"/>
          </w:tcPr>
          <w:p w14:paraId="5916761E" w14:textId="77777777" w:rsidR="00DF3D76" w:rsidRPr="005379D3" w:rsidRDefault="00DF3D76" w:rsidP="00DF3D76">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4DBE5382" w14:textId="37314999" w:rsidR="00DF3D76" w:rsidRPr="00A034D5" w:rsidRDefault="00DF3D76" w:rsidP="00DF3D76">
            <w:pPr>
              <w:rPr>
                <w:rFonts w:asciiTheme="minorHAnsi" w:hAnsiTheme="minorHAnsi" w:cstheme="minorHAnsi"/>
                <w:sz w:val="18"/>
                <w:szCs w:val="18"/>
              </w:rPr>
            </w:pPr>
            <w:r w:rsidRPr="00A034D5">
              <w:rPr>
                <w:rFonts w:asciiTheme="minorHAnsi" w:hAnsiTheme="minorHAnsi" w:cstheme="minorHAnsi"/>
                <w:sz w:val="18"/>
                <w:szCs w:val="18"/>
              </w:rPr>
              <w:t>Dec.31, 202</w:t>
            </w:r>
            <w:r>
              <w:rPr>
                <w:rFonts w:asciiTheme="minorHAnsi" w:hAnsiTheme="minorHAnsi" w:cstheme="minorHAnsi"/>
                <w:sz w:val="18"/>
                <w:szCs w:val="18"/>
              </w:rPr>
              <w:t>5</w:t>
            </w:r>
          </w:p>
        </w:tc>
        <w:tc>
          <w:tcPr>
            <w:tcW w:w="2700" w:type="dxa"/>
          </w:tcPr>
          <w:p w14:paraId="199690AC" w14:textId="77777777" w:rsidR="00DF3D76" w:rsidRPr="005379D3" w:rsidRDefault="00DF3D76" w:rsidP="00DF3D76">
            <w:pPr>
              <w:pStyle w:val="ListParagraph"/>
              <w:ind w:left="0"/>
              <w:contextualSpacing w:val="0"/>
              <w:rPr>
                <w:rFonts w:asciiTheme="minorHAnsi" w:hAnsiTheme="minorHAnsi" w:cstheme="minorHAnsi"/>
                <w:sz w:val="18"/>
                <w:szCs w:val="18"/>
              </w:rPr>
            </w:pPr>
            <w:r w:rsidRPr="005379D3">
              <w:rPr>
                <w:rFonts w:asciiTheme="minorHAnsi" w:eastAsia="Times New Roman" w:hAnsiTheme="minorHAnsi" w:cstheme="minorHAnsi"/>
                <w:sz w:val="18"/>
                <w:szCs w:val="18"/>
              </w:rPr>
              <w:t>SBs and specialized committees are functional.</w:t>
            </w:r>
          </w:p>
        </w:tc>
        <w:tc>
          <w:tcPr>
            <w:tcW w:w="2430" w:type="dxa"/>
          </w:tcPr>
          <w:p w14:paraId="4038E649" w14:textId="77777777" w:rsidR="00DF3D76" w:rsidRPr="005379D3" w:rsidRDefault="00DF3D76" w:rsidP="00DF3D76">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61E74327" w14:textId="77777777" w:rsidR="00DF3D76" w:rsidRPr="005379D3" w:rsidRDefault="00DF3D76" w:rsidP="00DF3D76">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DF3D76" w:rsidRPr="005379D3" w14:paraId="47794EC4" w14:textId="77777777" w:rsidTr="00A64B72">
        <w:trPr>
          <w:trHeight w:val="530"/>
        </w:trPr>
        <w:tc>
          <w:tcPr>
            <w:tcW w:w="3127" w:type="dxa"/>
          </w:tcPr>
          <w:p w14:paraId="5181CA0D" w14:textId="25EF75F9" w:rsidR="00DF3D76" w:rsidRPr="005379D3" w:rsidRDefault="00DF3D76" w:rsidP="00DF3D76">
            <w:pPr>
              <w:ind w:left="-40"/>
              <w:rPr>
                <w:rFonts w:asciiTheme="minorHAnsi" w:hAnsiTheme="minorHAnsi" w:cstheme="minorHAnsi"/>
                <w:sz w:val="18"/>
                <w:szCs w:val="18"/>
              </w:rPr>
            </w:pPr>
            <w:r>
              <w:rPr>
                <w:rFonts w:asciiTheme="minorHAnsi" w:eastAsia="Times New Roman" w:hAnsiTheme="minorHAnsi" w:cstheme="minorHAnsi"/>
                <w:sz w:val="18"/>
                <w:szCs w:val="18"/>
              </w:rPr>
              <w:t xml:space="preserve">DLR 8.7: By December 31, 2026, </w:t>
            </w:r>
            <w:r w:rsidRPr="00196C0C">
              <w:rPr>
                <w:rFonts w:asciiTheme="minorHAnsi" w:eastAsia="Times New Roman" w:hAnsiTheme="minorHAnsi" w:cstheme="minorHAnsi"/>
                <w:sz w:val="18"/>
                <w:szCs w:val="18"/>
              </w:rPr>
              <w:t>SBs and specialized committees are functional</w:t>
            </w:r>
            <w:r>
              <w:rPr>
                <w:rFonts w:asciiTheme="minorHAnsi" w:eastAsia="Times New Roman" w:hAnsiTheme="minorHAnsi" w:cstheme="minorHAnsi"/>
                <w:sz w:val="18"/>
                <w:szCs w:val="18"/>
              </w:rPr>
              <w:t>.</w:t>
            </w:r>
          </w:p>
        </w:tc>
        <w:tc>
          <w:tcPr>
            <w:tcW w:w="1350" w:type="dxa"/>
          </w:tcPr>
          <w:p w14:paraId="7B312C03" w14:textId="10FD1910" w:rsidR="00DF3D76" w:rsidRPr="00DF3D76" w:rsidRDefault="00DF3D76" w:rsidP="00DF3D76">
            <w:pPr>
              <w:rPr>
                <w:rFonts w:asciiTheme="minorHAnsi" w:hAnsiTheme="minorHAnsi" w:cstheme="minorHAnsi"/>
                <w:sz w:val="18"/>
                <w:szCs w:val="18"/>
              </w:rPr>
            </w:pPr>
            <w:r>
              <w:rPr>
                <w:rFonts w:asciiTheme="minorHAnsi" w:hAnsiTheme="minorHAnsi" w:cstheme="minorHAnsi"/>
                <w:sz w:val="18"/>
                <w:szCs w:val="18"/>
              </w:rPr>
              <w:t>US$</w:t>
            </w:r>
            <w:r w:rsidRPr="00DF3D76">
              <w:rPr>
                <w:rFonts w:asciiTheme="minorHAnsi" w:hAnsiTheme="minorHAnsi" w:cstheme="minorHAnsi"/>
                <w:sz w:val="18"/>
                <w:szCs w:val="18"/>
              </w:rPr>
              <w:t>100,000</w:t>
            </w:r>
          </w:p>
        </w:tc>
        <w:tc>
          <w:tcPr>
            <w:tcW w:w="990" w:type="dxa"/>
          </w:tcPr>
          <w:p w14:paraId="28726E05" w14:textId="77777777" w:rsidR="00DF3D76" w:rsidRPr="005379D3" w:rsidRDefault="00DF3D76" w:rsidP="00DF3D76">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48F38444" w14:textId="1E1D79FE" w:rsidR="00DF3D76" w:rsidRPr="00A034D5" w:rsidRDefault="00DF3D76" w:rsidP="00DF3D76">
            <w:pPr>
              <w:rPr>
                <w:rFonts w:asciiTheme="minorHAnsi" w:hAnsiTheme="minorHAnsi" w:cstheme="minorHAnsi"/>
                <w:sz w:val="18"/>
                <w:szCs w:val="18"/>
              </w:rPr>
            </w:pPr>
            <w:r w:rsidRPr="00A034D5">
              <w:rPr>
                <w:rFonts w:asciiTheme="minorHAnsi" w:hAnsiTheme="minorHAnsi" w:cstheme="minorHAnsi"/>
                <w:sz w:val="18"/>
                <w:szCs w:val="18"/>
              </w:rPr>
              <w:t>Dec. 31, 202</w:t>
            </w:r>
            <w:r>
              <w:rPr>
                <w:rFonts w:asciiTheme="minorHAnsi" w:hAnsiTheme="minorHAnsi" w:cstheme="minorHAnsi"/>
                <w:sz w:val="18"/>
                <w:szCs w:val="18"/>
              </w:rPr>
              <w:t>6</w:t>
            </w:r>
          </w:p>
        </w:tc>
        <w:tc>
          <w:tcPr>
            <w:tcW w:w="2700" w:type="dxa"/>
          </w:tcPr>
          <w:p w14:paraId="4126055C" w14:textId="77777777" w:rsidR="00DF3D76" w:rsidRPr="005379D3" w:rsidRDefault="00DF3D76" w:rsidP="00DF3D76">
            <w:pPr>
              <w:pStyle w:val="ListParagraph"/>
              <w:ind w:left="0"/>
              <w:contextualSpacing w:val="0"/>
              <w:rPr>
                <w:rFonts w:asciiTheme="minorHAnsi" w:hAnsiTheme="minorHAnsi" w:cstheme="minorHAnsi"/>
                <w:sz w:val="18"/>
                <w:szCs w:val="18"/>
              </w:rPr>
            </w:pPr>
            <w:r w:rsidRPr="005379D3">
              <w:rPr>
                <w:rFonts w:asciiTheme="minorHAnsi" w:eastAsia="Times New Roman" w:hAnsiTheme="minorHAnsi" w:cstheme="minorHAnsi"/>
                <w:sz w:val="18"/>
                <w:szCs w:val="18"/>
              </w:rPr>
              <w:t>SBs and specialized committees are functional.</w:t>
            </w:r>
          </w:p>
        </w:tc>
        <w:tc>
          <w:tcPr>
            <w:tcW w:w="2430" w:type="dxa"/>
          </w:tcPr>
          <w:p w14:paraId="6AA88066" w14:textId="77777777" w:rsidR="00DF3D76" w:rsidRPr="005379D3" w:rsidRDefault="00DF3D76" w:rsidP="00DF3D76">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5D52AB0F" w14:textId="77777777" w:rsidR="00DF3D76" w:rsidRPr="005379D3" w:rsidRDefault="00DF3D76" w:rsidP="00DF3D76">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DF3D76" w:rsidRPr="005379D3" w14:paraId="006E8DF8" w14:textId="77777777" w:rsidTr="00A64B72">
        <w:trPr>
          <w:trHeight w:val="530"/>
        </w:trPr>
        <w:tc>
          <w:tcPr>
            <w:tcW w:w="3127" w:type="dxa"/>
          </w:tcPr>
          <w:p w14:paraId="143F5FF6" w14:textId="087C9709" w:rsidR="00DF3D76" w:rsidRDefault="00DF3D76" w:rsidP="00DF3D76">
            <w:pPr>
              <w:ind w:left="-40"/>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DLR 8.8: By December 31, 2027, </w:t>
            </w:r>
            <w:r w:rsidRPr="00196C0C">
              <w:rPr>
                <w:rFonts w:asciiTheme="minorHAnsi" w:eastAsia="Times New Roman" w:hAnsiTheme="minorHAnsi" w:cstheme="minorHAnsi"/>
                <w:sz w:val="18"/>
                <w:szCs w:val="18"/>
              </w:rPr>
              <w:t>SBs and specialized committees are functional</w:t>
            </w:r>
            <w:r>
              <w:rPr>
                <w:rFonts w:asciiTheme="minorHAnsi" w:eastAsia="Times New Roman" w:hAnsiTheme="minorHAnsi" w:cstheme="minorHAnsi"/>
                <w:sz w:val="18"/>
                <w:szCs w:val="18"/>
              </w:rPr>
              <w:t>.</w:t>
            </w:r>
          </w:p>
        </w:tc>
        <w:tc>
          <w:tcPr>
            <w:tcW w:w="1350" w:type="dxa"/>
          </w:tcPr>
          <w:p w14:paraId="5E511E55" w14:textId="59C2201E" w:rsidR="00DF3D76" w:rsidRPr="00DF3D76" w:rsidRDefault="00DF3D76" w:rsidP="00DF3D76">
            <w:pPr>
              <w:rPr>
                <w:rFonts w:asciiTheme="minorHAnsi" w:hAnsiTheme="minorHAnsi" w:cstheme="minorHAnsi"/>
                <w:sz w:val="18"/>
                <w:szCs w:val="18"/>
              </w:rPr>
            </w:pPr>
            <w:r>
              <w:rPr>
                <w:rFonts w:asciiTheme="minorHAnsi" w:hAnsiTheme="minorHAnsi" w:cstheme="minorHAnsi"/>
                <w:sz w:val="18"/>
                <w:szCs w:val="18"/>
              </w:rPr>
              <w:t>US$</w:t>
            </w:r>
            <w:r w:rsidRPr="00DF3D76">
              <w:rPr>
                <w:rFonts w:asciiTheme="minorHAnsi" w:hAnsiTheme="minorHAnsi" w:cstheme="minorHAnsi"/>
                <w:sz w:val="18"/>
                <w:szCs w:val="18"/>
              </w:rPr>
              <w:t>100,000</w:t>
            </w:r>
          </w:p>
        </w:tc>
        <w:tc>
          <w:tcPr>
            <w:tcW w:w="990" w:type="dxa"/>
          </w:tcPr>
          <w:p w14:paraId="69058508" w14:textId="502EF7BB" w:rsidR="00DF3D76" w:rsidRDefault="00DF3D76" w:rsidP="00DF3D76">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13CD822A" w14:textId="67B2470F" w:rsidR="00DF3D76" w:rsidRPr="00A034D5" w:rsidRDefault="00DF3D76" w:rsidP="00DF3D76">
            <w:pPr>
              <w:rPr>
                <w:rFonts w:asciiTheme="minorHAnsi" w:hAnsiTheme="minorHAnsi" w:cstheme="minorHAnsi"/>
                <w:sz w:val="18"/>
                <w:szCs w:val="18"/>
              </w:rPr>
            </w:pPr>
            <w:r>
              <w:rPr>
                <w:rFonts w:asciiTheme="minorHAnsi" w:hAnsiTheme="minorHAnsi" w:cstheme="minorHAnsi"/>
                <w:sz w:val="18"/>
                <w:szCs w:val="18"/>
              </w:rPr>
              <w:t>Dec. 31, 2027</w:t>
            </w:r>
          </w:p>
        </w:tc>
        <w:tc>
          <w:tcPr>
            <w:tcW w:w="2700" w:type="dxa"/>
          </w:tcPr>
          <w:p w14:paraId="4E073B35" w14:textId="0DB48EC8" w:rsidR="00DF3D76" w:rsidRPr="005379D3" w:rsidRDefault="00DF3D76" w:rsidP="00DF3D76">
            <w:pPr>
              <w:pStyle w:val="ListParagraph"/>
              <w:ind w:left="0"/>
              <w:contextualSpacing w:val="0"/>
              <w:rPr>
                <w:rFonts w:asciiTheme="minorHAnsi" w:eastAsia="Times New Roman" w:hAnsiTheme="minorHAnsi" w:cstheme="minorHAnsi"/>
                <w:sz w:val="18"/>
                <w:szCs w:val="18"/>
              </w:rPr>
            </w:pPr>
            <w:r w:rsidRPr="005379D3">
              <w:rPr>
                <w:rFonts w:asciiTheme="minorHAnsi" w:eastAsia="Times New Roman" w:hAnsiTheme="minorHAnsi" w:cstheme="minorHAnsi"/>
                <w:sz w:val="18"/>
                <w:szCs w:val="18"/>
              </w:rPr>
              <w:t>SBs and specialized committees are functional.</w:t>
            </w:r>
          </w:p>
        </w:tc>
        <w:tc>
          <w:tcPr>
            <w:tcW w:w="2430" w:type="dxa"/>
          </w:tcPr>
          <w:p w14:paraId="067731B4" w14:textId="46FB0EC3" w:rsidR="00DF3D76" w:rsidRPr="005379D3" w:rsidRDefault="00DF3D76" w:rsidP="00DF3D76">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25BA8AE1" w14:textId="5A7476CF" w:rsidR="00DF3D76" w:rsidRPr="005379D3" w:rsidRDefault="00DF3D76" w:rsidP="00DF3D76">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DF3D76" w:rsidRPr="005379D3" w14:paraId="446410D7" w14:textId="77777777" w:rsidTr="00A64B72">
        <w:trPr>
          <w:trHeight w:val="530"/>
        </w:trPr>
        <w:tc>
          <w:tcPr>
            <w:tcW w:w="3127" w:type="dxa"/>
          </w:tcPr>
          <w:p w14:paraId="66248082" w14:textId="19A80D1C" w:rsidR="00DF3D76" w:rsidRDefault="00DF3D76" w:rsidP="00DF3D76">
            <w:pPr>
              <w:ind w:left="-40"/>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DLR 8.9: By December 31, 2028, </w:t>
            </w:r>
            <w:r w:rsidRPr="00196C0C">
              <w:rPr>
                <w:rFonts w:asciiTheme="minorHAnsi" w:eastAsia="Times New Roman" w:hAnsiTheme="minorHAnsi" w:cstheme="minorHAnsi"/>
                <w:sz w:val="18"/>
                <w:szCs w:val="18"/>
              </w:rPr>
              <w:t>SBs and specialized committees are functional</w:t>
            </w:r>
            <w:r>
              <w:rPr>
                <w:rFonts w:asciiTheme="minorHAnsi" w:eastAsia="Times New Roman" w:hAnsiTheme="minorHAnsi" w:cstheme="minorHAnsi"/>
                <w:sz w:val="18"/>
                <w:szCs w:val="18"/>
              </w:rPr>
              <w:t>.</w:t>
            </w:r>
          </w:p>
        </w:tc>
        <w:tc>
          <w:tcPr>
            <w:tcW w:w="1350" w:type="dxa"/>
          </w:tcPr>
          <w:p w14:paraId="2162E960" w14:textId="3E68DB0C" w:rsidR="00DF3D76" w:rsidRPr="00DF3D76" w:rsidRDefault="00DF3D76" w:rsidP="00DF3D76">
            <w:pPr>
              <w:rPr>
                <w:rFonts w:asciiTheme="minorHAnsi" w:hAnsiTheme="minorHAnsi" w:cstheme="minorHAnsi"/>
                <w:sz w:val="18"/>
                <w:szCs w:val="18"/>
              </w:rPr>
            </w:pPr>
            <w:r>
              <w:rPr>
                <w:rFonts w:asciiTheme="minorHAnsi" w:hAnsiTheme="minorHAnsi" w:cstheme="minorHAnsi"/>
                <w:sz w:val="18"/>
                <w:szCs w:val="18"/>
              </w:rPr>
              <w:t>US$</w:t>
            </w:r>
            <w:r w:rsidRPr="00DF3D76">
              <w:rPr>
                <w:rFonts w:asciiTheme="minorHAnsi" w:hAnsiTheme="minorHAnsi" w:cstheme="minorHAnsi"/>
                <w:sz w:val="18"/>
                <w:szCs w:val="18"/>
              </w:rPr>
              <w:t>100,000</w:t>
            </w:r>
          </w:p>
        </w:tc>
        <w:tc>
          <w:tcPr>
            <w:tcW w:w="990" w:type="dxa"/>
          </w:tcPr>
          <w:p w14:paraId="6A9FBBCC" w14:textId="21D3EE9E" w:rsidR="00DF3D76" w:rsidRDefault="00DF3D76" w:rsidP="00DF3D76">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0CF47C98" w14:textId="713D16A9" w:rsidR="00DF3D76" w:rsidRPr="00A034D5" w:rsidRDefault="00DF3D76" w:rsidP="00DF3D76">
            <w:pPr>
              <w:rPr>
                <w:rFonts w:asciiTheme="minorHAnsi" w:hAnsiTheme="minorHAnsi" w:cstheme="minorHAnsi"/>
                <w:sz w:val="18"/>
                <w:szCs w:val="18"/>
              </w:rPr>
            </w:pPr>
            <w:r>
              <w:rPr>
                <w:rFonts w:asciiTheme="minorHAnsi" w:hAnsiTheme="minorHAnsi" w:cstheme="minorHAnsi"/>
                <w:sz w:val="18"/>
                <w:szCs w:val="18"/>
              </w:rPr>
              <w:t>Dec. 31, 2028</w:t>
            </w:r>
          </w:p>
        </w:tc>
        <w:tc>
          <w:tcPr>
            <w:tcW w:w="2700" w:type="dxa"/>
          </w:tcPr>
          <w:p w14:paraId="1A5C93E2" w14:textId="66C6C7EF" w:rsidR="00DF3D76" w:rsidRPr="005379D3" w:rsidRDefault="00DF3D76" w:rsidP="00DF3D76">
            <w:pPr>
              <w:pStyle w:val="ListParagraph"/>
              <w:ind w:left="0"/>
              <w:contextualSpacing w:val="0"/>
              <w:rPr>
                <w:rFonts w:asciiTheme="minorHAnsi" w:eastAsia="Times New Roman" w:hAnsiTheme="minorHAnsi" w:cstheme="minorHAnsi"/>
                <w:sz w:val="18"/>
                <w:szCs w:val="18"/>
              </w:rPr>
            </w:pPr>
            <w:r w:rsidRPr="005379D3">
              <w:rPr>
                <w:rFonts w:asciiTheme="minorHAnsi" w:eastAsia="Times New Roman" w:hAnsiTheme="minorHAnsi" w:cstheme="minorHAnsi"/>
                <w:sz w:val="18"/>
                <w:szCs w:val="18"/>
              </w:rPr>
              <w:t>SBs and specialized committees are functional.</w:t>
            </w:r>
          </w:p>
        </w:tc>
        <w:tc>
          <w:tcPr>
            <w:tcW w:w="2430" w:type="dxa"/>
          </w:tcPr>
          <w:p w14:paraId="6CA21592" w14:textId="43C33D41" w:rsidR="00DF3D76" w:rsidRPr="005379D3" w:rsidRDefault="00DF3D76" w:rsidP="00DF3D76">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21228564" w14:textId="630D0C9F" w:rsidR="00DF3D76" w:rsidRPr="005379D3" w:rsidRDefault="00DF3D76" w:rsidP="00DF3D76">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DF3D76" w:rsidRPr="005379D3" w14:paraId="5928492C" w14:textId="77777777" w:rsidTr="00A64B72">
        <w:trPr>
          <w:trHeight w:val="530"/>
        </w:trPr>
        <w:tc>
          <w:tcPr>
            <w:tcW w:w="3127" w:type="dxa"/>
          </w:tcPr>
          <w:p w14:paraId="40C52DCC" w14:textId="5EFB44A2" w:rsidR="00DF3D76" w:rsidRDefault="00DF3D76" w:rsidP="00DF3D76">
            <w:pPr>
              <w:ind w:left="-40"/>
              <w:rPr>
                <w:rFonts w:asciiTheme="minorHAnsi" w:eastAsia="Times New Roman" w:hAnsiTheme="minorHAnsi" w:cstheme="minorHAnsi"/>
                <w:sz w:val="18"/>
                <w:szCs w:val="18"/>
              </w:rPr>
            </w:pPr>
            <w:r>
              <w:rPr>
                <w:rFonts w:asciiTheme="minorHAnsi" w:eastAsia="Times New Roman" w:hAnsiTheme="minorHAnsi" w:cstheme="minorHAnsi"/>
                <w:sz w:val="18"/>
                <w:szCs w:val="18"/>
              </w:rPr>
              <w:lastRenderedPageBreak/>
              <w:t xml:space="preserve">DLR 8.10: By December 31, 2029, </w:t>
            </w:r>
            <w:r w:rsidRPr="00196C0C">
              <w:rPr>
                <w:rFonts w:asciiTheme="minorHAnsi" w:eastAsia="Times New Roman" w:hAnsiTheme="minorHAnsi" w:cstheme="minorHAnsi"/>
                <w:sz w:val="18"/>
                <w:szCs w:val="18"/>
              </w:rPr>
              <w:t>SBs and specialized committees are functional</w:t>
            </w:r>
            <w:r>
              <w:rPr>
                <w:rFonts w:asciiTheme="minorHAnsi" w:eastAsia="Times New Roman" w:hAnsiTheme="minorHAnsi" w:cstheme="minorHAnsi"/>
                <w:sz w:val="18"/>
                <w:szCs w:val="18"/>
              </w:rPr>
              <w:t>.</w:t>
            </w:r>
          </w:p>
        </w:tc>
        <w:tc>
          <w:tcPr>
            <w:tcW w:w="1350" w:type="dxa"/>
          </w:tcPr>
          <w:p w14:paraId="677AC77E" w14:textId="2EC66423" w:rsidR="00DF3D76" w:rsidRPr="00DF3D76" w:rsidRDefault="00DF3D76" w:rsidP="00DF3D76">
            <w:pPr>
              <w:rPr>
                <w:rFonts w:asciiTheme="minorHAnsi" w:hAnsiTheme="minorHAnsi" w:cstheme="minorHAnsi"/>
                <w:sz w:val="18"/>
                <w:szCs w:val="18"/>
              </w:rPr>
            </w:pPr>
            <w:r>
              <w:rPr>
                <w:rFonts w:asciiTheme="minorHAnsi" w:hAnsiTheme="minorHAnsi" w:cstheme="minorHAnsi"/>
                <w:sz w:val="18"/>
                <w:szCs w:val="18"/>
              </w:rPr>
              <w:t>US$</w:t>
            </w:r>
            <w:r w:rsidRPr="00DF3D76">
              <w:rPr>
                <w:rFonts w:asciiTheme="minorHAnsi" w:hAnsiTheme="minorHAnsi" w:cstheme="minorHAnsi"/>
                <w:sz w:val="18"/>
                <w:szCs w:val="18"/>
              </w:rPr>
              <w:t>100,000</w:t>
            </w:r>
          </w:p>
        </w:tc>
        <w:tc>
          <w:tcPr>
            <w:tcW w:w="990" w:type="dxa"/>
          </w:tcPr>
          <w:p w14:paraId="6C442B8D" w14:textId="30072575" w:rsidR="00DF3D76" w:rsidRDefault="00DF3D76" w:rsidP="00DF3D76">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0E47A6F4" w14:textId="17E90DCB" w:rsidR="00DF3D76" w:rsidRPr="00A034D5" w:rsidRDefault="00DF3D76" w:rsidP="00DF3D76">
            <w:pPr>
              <w:rPr>
                <w:rFonts w:asciiTheme="minorHAnsi" w:hAnsiTheme="minorHAnsi" w:cstheme="minorHAnsi"/>
                <w:sz w:val="18"/>
                <w:szCs w:val="18"/>
              </w:rPr>
            </w:pPr>
            <w:r>
              <w:rPr>
                <w:rFonts w:asciiTheme="minorHAnsi" w:hAnsiTheme="minorHAnsi" w:cstheme="minorHAnsi"/>
                <w:sz w:val="18"/>
                <w:szCs w:val="18"/>
              </w:rPr>
              <w:t>Dec. 31, 2029</w:t>
            </w:r>
          </w:p>
        </w:tc>
        <w:tc>
          <w:tcPr>
            <w:tcW w:w="2700" w:type="dxa"/>
          </w:tcPr>
          <w:p w14:paraId="6DDC9350" w14:textId="29823896" w:rsidR="00DF3D76" w:rsidRPr="005379D3" w:rsidRDefault="00DF3D76" w:rsidP="00DF3D76">
            <w:pPr>
              <w:pStyle w:val="ListParagraph"/>
              <w:ind w:left="0"/>
              <w:contextualSpacing w:val="0"/>
              <w:rPr>
                <w:rFonts w:asciiTheme="minorHAnsi" w:eastAsia="Times New Roman" w:hAnsiTheme="minorHAnsi" w:cstheme="minorHAnsi"/>
                <w:sz w:val="18"/>
                <w:szCs w:val="18"/>
              </w:rPr>
            </w:pPr>
            <w:r w:rsidRPr="005379D3">
              <w:rPr>
                <w:rFonts w:asciiTheme="minorHAnsi" w:eastAsia="Times New Roman" w:hAnsiTheme="minorHAnsi" w:cstheme="minorHAnsi"/>
                <w:sz w:val="18"/>
                <w:szCs w:val="18"/>
              </w:rPr>
              <w:t>SBs and specialized committees are functional.</w:t>
            </w:r>
          </w:p>
        </w:tc>
        <w:tc>
          <w:tcPr>
            <w:tcW w:w="2430" w:type="dxa"/>
          </w:tcPr>
          <w:p w14:paraId="420C5880" w14:textId="52B0C0C9" w:rsidR="00DF3D76" w:rsidRPr="005379D3" w:rsidRDefault="00DF3D76" w:rsidP="00DF3D76">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6EAC0AD4" w14:textId="1AB4F9C3" w:rsidR="00DF3D76" w:rsidRPr="005379D3" w:rsidRDefault="00DF3D76" w:rsidP="00DF3D76">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DF3D76" w:rsidRPr="005379D3" w14:paraId="381B453C" w14:textId="77777777" w:rsidTr="00A64B72">
        <w:trPr>
          <w:trHeight w:val="530"/>
        </w:trPr>
        <w:tc>
          <w:tcPr>
            <w:tcW w:w="3127" w:type="dxa"/>
          </w:tcPr>
          <w:p w14:paraId="63C905D4" w14:textId="35E91420" w:rsidR="00DF3D76" w:rsidRDefault="00DF3D76" w:rsidP="00DF3D76">
            <w:pPr>
              <w:ind w:left="-40"/>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DLR 8.11: By December 31, 2030, </w:t>
            </w:r>
            <w:r w:rsidRPr="00196C0C">
              <w:rPr>
                <w:rFonts w:asciiTheme="minorHAnsi" w:eastAsia="Times New Roman" w:hAnsiTheme="minorHAnsi" w:cstheme="minorHAnsi"/>
                <w:sz w:val="18"/>
                <w:szCs w:val="18"/>
              </w:rPr>
              <w:t>SBs and specialized committees are functional</w:t>
            </w:r>
            <w:r>
              <w:rPr>
                <w:rFonts w:asciiTheme="minorHAnsi" w:eastAsia="Times New Roman" w:hAnsiTheme="minorHAnsi" w:cstheme="minorHAnsi"/>
                <w:sz w:val="18"/>
                <w:szCs w:val="18"/>
              </w:rPr>
              <w:t>.</w:t>
            </w:r>
          </w:p>
        </w:tc>
        <w:tc>
          <w:tcPr>
            <w:tcW w:w="1350" w:type="dxa"/>
          </w:tcPr>
          <w:p w14:paraId="31F18FF6" w14:textId="4F3469D6" w:rsidR="00DF3D76" w:rsidRPr="00DF3D76" w:rsidRDefault="00DF3D76" w:rsidP="00DF3D76">
            <w:pPr>
              <w:rPr>
                <w:rFonts w:asciiTheme="minorHAnsi" w:hAnsiTheme="minorHAnsi" w:cstheme="minorHAnsi"/>
                <w:sz w:val="18"/>
                <w:szCs w:val="18"/>
              </w:rPr>
            </w:pPr>
            <w:r>
              <w:rPr>
                <w:rFonts w:asciiTheme="minorHAnsi" w:hAnsiTheme="minorHAnsi" w:cstheme="minorHAnsi"/>
                <w:sz w:val="18"/>
                <w:szCs w:val="18"/>
              </w:rPr>
              <w:t>US$</w:t>
            </w:r>
            <w:r w:rsidRPr="00DF3D76">
              <w:rPr>
                <w:rFonts w:asciiTheme="minorHAnsi" w:hAnsiTheme="minorHAnsi" w:cstheme="minorHAnsi"/>
                <w:sz w:val="18"/>
                <w:szCs w:val="18"/>
              </w:rPr>
              <w:t>100,000</w:t>
            </w:r>
          </w:p>
        </w:tc>
        <w:tc>
          <w:tcPr>
            <w:tcW w:w="990" w:type="dxa"/>
          </w:tcPr>
          <w:p w14:paraId="1B2CAEC8" w14:textId="2E6C4AEB" w:rsidR="00DF3D76" w:rsidRDefault="00DF3D76" w:rsidP="00DF3D76">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1C39DD0A" w14:textId="3CF11138" w:rsidR="00DF3D76" w:rsidRPr="00A034D5" w:rsidRDefault="00DF3D76" w:rsidP="00DF3D76">
            <w:pPr>
              <w:rPr>
                <w:rFonts w:asciiTheme="minorHAnsi" w:hAnsiTheme="minorHAnsi" w:cstheme="minorHAnsi"/>
                <w:sz w:val="18"/>
                <w:szCs w:val="18"/>
              </w:rPr>
            </w:pPr>
            <w:r>
              <w:rPr>
                <w:rFonts w:asciiTheme="minorHAnsi" w:hAnsiTheme="minorHAnsi" w:cstheme="minorHAnsi"/>
                <w:sz w:val="18"/>
                <w:szCs w:val="18"/>
              </w:rPr>
              <w:t>Dec. 31, 2030</w:t>
            </w:r>
          </w:p>
        </w:tc>
        <w:tc>
          <w:tcPr>
            <w:tcW w:w="2700" w:type="dxa"/>
          </w:tcPr>
          <w:p w14:paraId="72E18CD1" w14:textId="00B4D91D" w:rsidR="00DF3D76" w:rsidRPr="005379D3" w:rsidRDefault="00DF3D76" w:rsidP="00DF3D76">
            <w:pPr>
              <w:pStyle w:val="ListParagraph"/>
              <w:ind w:left="0"/>
              <w:contextualSpacing w:val="0"/>
              <w:rPr>
                <w:rFonts w:asciiTheme="minorHAnsi" w:eastAsia="Times New Roman" w:hAnsiTheme="minorHAnsi" w:cstheme="minorHAnsi"/>
                <w:sz w:val="18"/>
                <w:szCs w:val="18"/>
              </w:rPr>
            </w:pPr>
            <w:r w:rsidRPr="005379D3">
              <w:rPr>
                <w:rFonts w:asciiTheme="minorHAnsi" w:eastAsia="Times New Roman" w:hAnsiTheme="minorHAnsi" w:cstheme="minorHAnsi"/>
                <w:sz w:val="18"/>
                <w:szCs w:val="18"/>
              </w:rPr>
              <w:t>SBs and specialized committees are functional.</w:t>
            </w:r>
          </w:p>
        </w:tc>
        <w:tc>
          <w:tcPr>
            <w:tcW w:w="2430" w:type="dxa"/>
          </w:tcPr>
          <w:p w14:paraId="51E41301" w14:textId="08AE6C82" w:rsidR="00DF3D76" w:rsidRPr="005379D3" w:rsidRDefault="00DF3D76" w:rsidP="00DF3D76">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35B9E88D" w14:textId="007BE06B" w:rsidR="00DF3D76" w:rsidRPr="005379D3" w:rsidRDefault="00DF3D76" w:rsidP="00DF3D76">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DF3D76" w:rsidRPr="005379D3" w14:paraId="3D5FC62F" w14:textId="77777777" w:rsidTr="00A64B72">
        <w:trPr>
          <w:trHeight w:val="530"/>
        </w:trPr>
        <w:tc>
          <w:tcPr>
            <w:tcW w:w="3127" w:type="dxa"/>
            <w:vAlign w:val="center"/>
          </w:tcPr>
          <w:p w14:paraId="13CF99C3" w14:textId="0DB71A51" w:rsidR="00DF3D76" w:rsidRPr="005379D3" w:rsidRDefault="00DF3D76" w:rsidP="00DF3D76">
            <w:pPr>
              <w:ind w:left="-40"/>
              <w:rPr>
                <w:rFonts w:asciiTheme="minorHAnsi" w:hAnsiTheme="minorHAnsi" w:cstheme="minorHAnsi"/>
                <w:b/>
                <w:sz w:val="18"/>
                <w:szCs w:val="18"/>
              </w:rPr>
            </w:pPr>
            <w:r>
              <w:rPr>
                <w:rFonts w:asciiTheme="minorHAnsi" w:eastAsia="Times New Roman" w:hAnsiTheme="minorHAnsi" w:cstheme="minorHAnsi"/>
                <w:b/>
                <w:sz w:val="18"/>
                <w:szCs w:val="18"/>
              </w:rPr>
              <w:t>DLI 9</w:t>
            </w:r>
            <w:r w:rsidRPr="005379D3">
              <w:rPr>
                <w:rFonts w:asciiTheme="minorHAnsi" w:eastAsia="Times New Roman" w:hAnsiTheme="minorHAnsi" w:cstheme="minorHAnsi"/>
                <w:b/>
                <w:sz w:val="18"/>
                <w:szCs w:val="18"/>
              </w:rPr>
              <w:t xml:space="preserve">: </w:t>
            </w:r>
            <w:r w:rsidRPr="00F97A96">
              <w:rPr>
                <w:rFonts w:ascii="Calibri" w:eastAsia="Times New Roman" w:hAnsi="Calibri" w:cs="Calibri"/>
                <w:b/>
                <w:sz w:val="18"/>
                <w:szCs w:val="18"/>
              </w:rPr>
              <w:t>Improvement of operational and financial transparency of BT, SIB, and STB</w:t>
            </w:r>
          </w:p>
        </w:tc>
        <w:tc>
          <w:tcPr>
            <w:tcW w:w="1350" w:type="dxa"/>
            <w:vAlign w:val="center"/>
          </w:tcPr>
          <w:p w14:paraId="1E4A782D" w14:textId="4F80B612" w:rsidR="00DF3D76" w:rsidRPr="00FC034E" w:rsidRDefault="00DF3D76" w:rsidP="00DF3D76">
            <w:pPr>
              <w:rPr>
                <w:rFonts w:asciiTheme="minorHAnsi" w:hAnsiTheme="minorHAnsi" w:cstheme="minorHAnsi"/>
                <w:b/>
                <w:sz w:val="18"/>
                <w:szCs w:val="18"/>
              </w:rPr>
            </w:pPr>
            <w:r>
              <w:rPr>
                <w:rFonts w:asciiTheme="minorHAnsi" w:hAnsiTheme="minorHAnsi" w:cstheme="minorHAnsi"/>
                <w:b/>
                <w:sz w:val="18"/>
                <w:szCs w:val="18"/>
              </w:rPr>
              <w:t>US$90</w:t>
            </w:r>
            <w:r w:rsidRPr="00FC034E">
              <w:rPr>
                <w:rFonts w:asciiTheme="minorHAnsi" w:hAnsiTheme="minorHAnsi" w:cstheme="minorHAnsi"/>
                <w:b/>
                <w:sz w:val="18"/>
                <w:szCs w:val="18"/>
              </w:rPr>
              <w:t>0,000</w:t>
            </w:r>
          </w:p>
        </w:tc>
        <w:tc>
          <w:tcPr>
            <w:tcW w:w="990" w:type="dxa"/>
            <w:vAlign w:val="center"/>
          </w:tcPr>
          <w:p w14:paraId="29F121E1" w14:textId="77777777" w:rsidR="00DF3D76" w:rsidRPr="005379D3" w:rsidRDefault="00DF3D76" w:rsidP="00DF3D76">
            <w:pPr>
              <w:rPr>
                <w:rFonts w:asciiTheme="minorHAnsi" w:hAnsiTheme="minorHAnsi" w:cstheme="minorHAnsi"/>
                <w:b/>
                <w:sz w:val="18"/>
                <w:szCs w:val="18"/>
              </w:rPr>
            </w:pPr>
          </w:p>
        </w:tc>
        <w:tc>
          <w:tcPr>
            <w:tcW w:w="1530" w:type="dxa"/>
            <w:vAlign w:val="center"/>
          </w:tcPr>
          <w:p w14:paraId="22AD6BD0" w14:textId="77777777" w:rsidR="00DF3D76" w:rsidRPr="005379D3" w:rsidRDefault="00DF3D76" w:rsidP="00DF3D76">
            <w:pPr>
              <w:pStyle w:val="ListParagraph"/>
              <w:ind w:left="162"/>
              <w:contextualSpacing w:val="0"/>
              <w:rPr>
                <w:rFonts w:asciiTheme="minorHAnsi" w:hAnsiTheme="minorHAnsi" w:cstheme="minorHAnsi"/>
                <w:b/>
                <w:sz w:val="18"/>
                <w:szCs w:val="18"/>
              </w:rPr>
            </w:pPr>
          </w:p>
        </w:tc>
        <w:tc>
          <w:tcPr>
            <w:tcW w:w="2700" w:type="dxa"/>
            <w:vAlign w:val="center"/>
          </w:tcPr>
          <w:p w14:paraId="720DD171" w14:textId="77777777" w:rsidR="00DF3D76" w:rsidRPr="005379D3" w:rsidRDefault="00DF3D76" w:rsidP="00DF3D76">
            <w:pPr>
              <w:pStyle w:val="ListParagraph"/>
              <w:ind w:left="0"/>
              <w:contextualSpacing w:val="0"/>
              <w:rPr>
                <w:rFonts w:asciiTheme="minorHAnsi" w:hAnsiTheme="minorHAnsi" w:cstheme="minorHAnsi"/>
                <w:b/>
                <w:sz w:val="18"/>
                <w:szCs w:val="18"/>
              </w:rPr>
            </w:pPr>
          </w:p>
        </w:tc>
        <w:tc>
          <w:tcPr>
            <w:tcW w:w="2430" w:type="dxa"/>
            <w:vAlign w:val="center"/>
          </w:tcPr>
          <w:p w14:paraId="1728D5D0" w14:textId="77777777" w:rsidR="00DF3D76" w:rsidRPr="005379D3" w:rsidRDefault="00DF3D76" w:rsidP="00DF3D76">
            <w:pPr>
              <w:rPr>
                <w:rFonts w:asciiTheme="minorHAnsi" w:hAnsiTheme="minorHAnsi" w:cstheme="minorHAnsi"/>
                <w:b/>
                <w:sz w:val="18"/>
                <w:szCs w:val="18"/>
              </w:rPr>
            </w:pPr>
          </w:p>
        </w:tc>
        <w:tc>
          <w:tcPr>
            <w:tcW w:w="2340" w:type="dxa"/>
            <w:vAlign w:val="center"/>
          </w:tcPr>
          <w:p w14:paraId="149F467C" w14:textId="77777777" w:rsidR="00DF3D76" w:rsidRPr="005379D3" w:rsidRDefault="00DF3D76" w:rsidP="00DF3D76">
            <w:pPr>
              <w:rPr>
                <w:rFonts w:asciiTheme="minorHAnsi" w:hAnsiTheme="minorHAnsi" w:cstheme="minorHAnsi"/>
                <w:b/>
                <w:sz w:val="18"/>
                <w:szCs w:val="18"/>
              </w:rPr>
            </w:pPr>
          </w:p>
        </w:tc>
      </w:tr>
      <w:tr w:rsidR="00D32E85" w:rsidRPr="005379D3" w14:paraId="502F68B1" w14:textId="77777777" w:rsidTr="00A64B72">
        <w:trPr>
          <w:trHeight w:val="530"/>
        </w:trPr>
        <w:tc>
          <w:tcPr>
            <w:tcW w:w="3127" w:type="dxa"/>
          </w:tcPr>
          <w:p w14:paraId="1E42C953" w14:textId="77777777" w:rsidR="00D32E85" w:rsidRPr="005379D3" w:rsidRDefault="00D32E85" w:rsidP="00D32E85">
            <w:pPr>
              <w:ind w:left="-40"/>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DLR 9.1: </w:t>
            </w:r>
            <w:r w:rsidRPr="00196C0C">
              <w:rPr>
                <w:rFonts w:asciiTheme="minorHAnsi" w:eastAsia="Times New Roman" w:hAnsiTheme="minorHAnsi" w:cstheme="minorHAnsi"/>
                <w:sz w:val="18"/>
                <w:szCs w:val="18"/>
              </w:rPr>
              <w:t>BT publishes on its website the key quarterly operational data and</w:t>
            </w:r>
            <w:r>
              <w:rPr>
                <w:rFonts w:asciiTheme="minorHAnsi" w:eastAsia="Times New Roman" w:hAnsiTheme="minorHAnsi" w:cstheme="minorHAnsi"/>
                <w:sz w:val="18"/>
                <w:szCs w:val="18"/>
              </w:rPr>
              <w:t xml:space="preserve"> quarterly</w:t>
            </w:r>
            <w:r w:rsidRPr="00196C0C">
              <w:rPr>
                <w:rFonts w:asciiTheme="minorHAnsi" w:eastAsia="Times New Roman" w:hAnsiTheme="minorHAnsi" w:cstheme="minorHAnsi"/>
                <w:sz w:val="18"/>
                <w:szCs w:val="18"/>
              </w:rPr>
              <w:t xml:space="preserve"> un-audit</w:t>
            </w:r>
            <w:r>
              <w:rPr>
                <w:rFonts w:asciiTheme="minorHAnsi" w:eastAsia="Times New Roman" w:hAnsiTheme="minorHAnsi" w:cstheme="minorHAnsi"/>
                <w:sz w:val="18"/>
                <w:szCs w:val="18"/>
              </w:rPr>
              <w:t>ed financial statements for 2019.</w:t>
            </w:r>
          </w:p>
        </w:tc>
        <w:tc>
          <w:tcPr>
            <w:tcW w:w="1350" w:type="dxa"/>
          </w:tcPr>
          <w:p w14:paraId="03323D3D" w14:textId="72F8E1D6" w:rsidR="00D32E85" w:rsidRPr="00D32E85" w:rsidRDefault="00D32E85" w:rsidP="00D32E85">
            <w:pPr>
              <w:rPr>
                <w:rFonts w:asciiTheme="minorHAnsi" w:hAnsiTheme="minorHAnsi" w:cstheme="minorHAnsi"/>
                <w:sz w:val="18"/>
                <w:szCs w:val="18"/>
              </w:rPr>
            </w:pPr>
            <w:r w:rsidRPr="00D32E85">
              <w:rPr>
                <w:rFonts w:asciiTheme="minorHAnsi" w:hAnsiTheme="minorHAnsi" w:cstheme="minorHAnsi"/>
                <w:sz w:val="18"/>
                <w:szCs w:val="18"/>
              </w:rPr>
              <w:t>-</w:t>
            </w:r>
          </w:p>
        </w:tc>
        <w:tc>
          <w:tcPr>
            <w:tcW w:w="990" w:type="dxa"/>
          </w:tcPr>
          <w:p w14:paraId="3963F699" w14:textId="77777777" w:rsidR="00D32E85" w:rsidRPr="005379D3" w:rsidRDefault="00D32E85" w:rsidP="00D32E85">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4AF81038" w14:textId="77777777" w:rsidR="00D32E85" w:rsidRPr="005379D3" w:rsidRDefault="00D32E85" w:rsidP="00D32E85">
            <w:pPr>
              <w:rPr>
                <w:rFonts w:asciiTheme="minorHAnsi" w:hAnsiTheme="minorHAnsi" w:cstheme="minorHAnsi"/>
                <w:sz w:val="18"/>
                <w:szCs w:val="18"/>
              </w:rPr>
            </w:pPr>
            <w:r>
              <w:rPr>
                <w:rFonts w:asciiTheme="minorHAnsi" w:hAnsiTheme="minorHAnsi" w:cstheme="minorHAnsi"/>
                <w:sz w:val="18"/>
                <w:szCs w:val="18"/>
              </w:rPr>
              <w:t>Dec. 31, 2020</w:t>
            </w:r>
          </w:p>
        </w:tc>
        <w:tc>
          <w:tcPr>
            <w:tcW w:w="2700" w:type="dxa"/>
          </w:tcPr>
          <w:p w14:paraId="29930D83" w14:textId="4C2B7225" w:rsidR="00D32E85" w:rsidRPr="005379D3" w:rsidRDefault="00D32E85" w:rsidP="00D32E85">
            <w:pPr>
              <w:pStyle w:val="ListParagraph"/>
              <w:ind w:left="0"/>
              <w:contextualSpacing w:val="0"/>
              <w:rPr>
                <w:rFonts w:asciiTheme="minorHAnsi" w:hAnsiTheme="minorHAnsi" w:cstheme="minorHAnsi"/>
                <w:sz w:val="18"/>
                <w:szCs w:val="18"/>
              </w:rPr>
            </w:pPr>
            <w:r w:rsidRPr="00196C0C">
              <w:rPr>
                <w:rFonts w:asciiTheme="minorHAnsi" w:eastAsia="Times New Roman" w:hAnsiTheme="minorHAnsi" w:cstheme="minorHAnsi"/>
                <w:sz w:val="18"/>
                <w:szCs w:val="18"/>
              </w:rPr>
              <w:t>BT</w:t>
            </w:r>
            <w:r>
              <w:rPr>
                <w:rFonts w:asciiTheme="minorHAnsi" w:eastAsia="Times New Roman" w:hAnsiTheme="minorHAnsi" w:cstheme="minorHAnsi"/>
                <w:sz w:val="18"/>
                <w:szCs w:val="18"/>
              </w:rPr>
              <w:t>, SIB, and STB</w:t>
            </w:r>
            <w:r w:rsidRPr="00196C0C">
              <w:rPr>
                <w:rFonts w:asciiTheme="minorHAnsi" w:eastAsia="Times New Roman" w:hAnsiTheme="minorHAnsi" w:cstheme="minorHAnsi"/>
                <w:sz w:val="18"/>
                <w:szCs w:val="18"/>
              </w:rPr>
              <w:t xml:space="preserve"> publish on </w:t>
            </w:r>
            <w:r>
              <w:rPr>
                <w:rFonts w:asciiTheme="minorHAnsi" w:eastAsia="Times New Roman" w:hAnsiTheme="minorHAnsi" w:cstheme="minorHAnsi"/>
                <w:sz w:val="18"/>
                <w:szCs w:val="18"/>
              </w:rPr>
              <w:t>their</w:t>
            </w:r>
            <w:r w:rsidRPr="00196C0C">
              <w:rPr>
                <w:rFonts w:asciiTheme="minorHAnsi" w:eastAsia="Times New Roman" w:hAnsiTheme="minorHAnsi" w:cstheme="minorHAnsi"/>
                <w:sz w:val="18"/>
                <w:szCs w:val="18"/>
              </w:rPr>
              <w:t xml:space="preserve"> website</w:t>
            </w:r>
            <w:r>
              <w:rPr>
                <w:rFonts w:asciiTheme="minorHAnsi" w:eastAsia="Times New Roman" w:hAnsiTheme="minorHAnsi" w:cstheme="minorHAnsi"/>
                <w:sz w:val="18"/>
                <w:szCs w:val="18"/>
              </w:rPr>
              <w:t>s</w:t>
            </w:r>
            <w:r w:rsidRPr="00196C0C">
              <w:rPr>
                <w:rFonts w:asciiTheme="minorHAnsi" w:eastAsia="Times New Roman" w:hAnsiTheme="minorHAnsi" w:cstheme="minorHAnsi"/>
                <w:sz w:val="18"/>
                <w:szCs w:val="18"/>
              </w:rPr>
              <w:t xml:space="preserve"> the key quarterly operational </w:t>
            </w:r>
            <w:r>
              <w:rPr>
                <w:rFonts w:asciiTheme="minorHAnsi" w:eastAsia="Times New Roman" w:hAnsiTheme="minorHAnsi" w:cstheme="minorHAnsi"/>
                <w:sz w:val="18"/>
                <w:szCs w:val="18"/>
              </w:rPr>
              <w:t>and financial data for 2019.</w:t>
            </w:r>
          </w:p>
        </w:tc>
        <w:tc>
          <w:tcPr>
            <w:tcW w:w="2430" w:type="dxa"/>
          </w:tcPr>
          <w:p w14:paraId="097A13EA" w14:textId="77777777" w:rsidR="00D32E85" w:rsidRPr="005379D3" w:rsidRDefault="00D32E85" w:rsidP="00D32E85">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2B5AA9C3" w14:textId="77777777" w:rsidR="00D32E85" w:rsidRPr="005379D3" w:rsidRDefault="00D32E85" w:rsidP="00D32E85">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 </w:t>
            </w:r>
            <w:r w:rsidRPr="005379D3">
              <w:rPr>
                <w:rFonts w:asciiTheme="minorHAnsi" w:hAnsiTheme="minorHAnsi" w:cstheme="minorHAnsi"/>
                <w:sz w:val="18"/>
                <w:szCs w:val="18"/>
              </w:rPr>
              <w:t>disbursement for full compliance. No disbursement in case of partial or complete non-compliance.</w:t>
            </w:r>
          </w:p>
        </w:tc>
      </w:tr>
      <w:tr w:rsidR="00D32E85" w:rsidRPr="005379D3" w14:paraId="0DCD312A" w14:textId="77777777" w:rsidTr="00A64B72">
        <w:trPr>
          <w:trHeight w:val="530"/>
        </w:trPr>
        <w:tc>
          <w:tcPr>
            <w:tcW w:w="3127" w:type="dxa"/>
          </w:tcPr>
          <w:p w14:paraId="45D039BF" w14:textId="4498C9B1" w:rsidR="00D32E85" w:rsidRPr="005379D3" w:rsidRDefault="00D32E85" w:rsidP="00D32E85">
            <w:pPr>
              <w:ind w:left="-40"/>
              <w:rPr>
                <w:rFonts w:asciiTheme="minorHAnsi" w:eastAsia="Times New Roman" w:hAnsiTheme="minorHAnsi" w:cstheme="minorHAnsi"/>
                <w:sz w:val="18"/>
                <w:szCs w:val="18"/>
              </w:rPr>
            </w:pPr>
            <w:r w:rsidRPr="005379D3">
              <w:rPr>
                <w:rFonts w:asciiTheme="minorHAnsi" w:eastAsia="Times New Roman" w:hAnsiTheme="minorHAnsi" w:cstheme="minorHAnsi"/>
                <w:sz w:val="18"/>
                <w:szCs w:val="18"/>
              </w:rPr>
              <w:t xml:space="preserve">DLR </w:t>
            </w:r>
            <w:r>
              <w:rPr>
                <w:rFonts w:asciiTheme="minorHAnsi" w:eastAsia="Times New Roman" w:hAnsiTheme="minorHAnsi" w:cstheme="minorHAnsi"/>
                <w:sz w:val="18"/>
                <w:szCs w:val="18"/>
              </w:rPr>
              <w:t>9</w:t>
            </w:r>
            <w:r w:rsidRPr="005379D3">
              <w:rPr>
                <w:rFonts w:asciiTheme="minorHAnsi" w:eastAsia="Times New Roman" w:hAnsiTheme="minorHAnsi" w:cstheme="minorHAnsi"/>
                <w:sz w:val="18"/>
                <w:szCs w:val="18"/>
              </w:rPr>
              <w:t xml:space="preserve">.2: </w:t>
            </w:r>
            <w:r>
              <w:rPr>
                <w:rFonts w:asciiTheme="minorHAnsi" w:eastAsia="Times New Roman" w:hAnsiTheme="minorHAnsi" w:cstheme="minorHAnsi"/>
                <w:sz w:val="18"/>
                <w:szCs w:val="18"/>
              </w:rPr>
              <w:t xml:space="preserve">By December 31, 2021, </w:t>
            </w:r>
            <w:r w:rsidRPr="00196C0C">
              <w:rPr>
                <w:rFonts w:asciiTheme="minorHAnsi" w:eastAsia="Times New Roman" w:hAnsiTheme="minorHAnsi" w:cstheme="minorHAnsi"/>
                <w:sz w:val="18"/>
                <w:szCs w:val="18"/>
              </w:rPr>
              <w:t>BT publishes on its website the key quarterly operational data and</w:t>
            </w:r>
            <w:r>
              <w:rPr>
                <w:rFonts w:asciiTheme="minorHAnsi" w:eastAsia="Times New Roman" w:hAnsiTheme="minorHAnsi" w:cstheme="minorHAnsi"/>
                <w:sz w:val="18"/>
                <w:szCs w:val="18"/>
              </w:rPr>
              <w:t xml:space="preserve"> quarterly</w:t>
            </w:r>
            <w:r w:rsidRPr="00196C0C">
              <w:rPr>
                <w:rFonts w:asciiTheme="minorHAnsi" w:eastAsia="Times New Roman" w:hAnsiTheme="minorHAnsi" w:cstheme="minorHAnsi"/>
                <w:sz w:val="18"/>
                <w:szCs w:val="18"/>
              </w:rPr>
              <w:t xml:space="preserve"> un-audit</w:t>
            </w:r>
            <w:r>
              <w:rPr>
                <w:rFonts w:asciiTheme="minorHAnsi" w:eastAsia="Times New Roman" w:hAnsiTheme="minorHAnsi" w:cstheme="minorHAnsi"/>
                <w:sz w:val="18"/>
                <w:szCs w:val="18"/>
              </w:rPr>
              <w:t>ed financial statements for 2020.</w:t>
            </w:r>
          </w:p>
        </w:tc>
        <w:tc>
          <w:tcPr>
            <w:tcW w:w="1350" w:type="dxa"/>
          </w:tcPr>
          <w:p w14:paraId="6044405B" w14:textId="50FCB34C" w:rsidR="00D32E85" w:rsidRPr="00D32E85" w:rsidRDefault="00D32E85" w:rsidP="00D32E85">
            <w:pPr>
              <w:rPr>
                <w:rFonts w:asciiTheme="minorHAnsi" w:hAnsiTheme="minorHAnsi" w:cstheme="minorHAnsi"/>
                <w:sz w:val="18"/>
                <w:szCs w:val="18"/>
              </w:rPr>
            </w:pPr>
            <w:r w:rsidRPr="00D32E85">
              <w:rPr>
                <w:rFonts w:asciiTheme="minorHAnsi" w:hAnsiTheme="minorHAnsi" w:cstheme="minorHAnsi"/>
                <w:sz w:val="18"/>
                <w:szCs w:val="18"/>
              </w:rPr>
              <w:t>-</w:t>
            </w:r>
          </w:p>
        </w:tc>
        <w:tc>
          <w:tcPr>
            <w:tcW w:w="990" w:type="dxa"/>
          </w:tcPr>
          <w:p w14:paraId="3565D972" w14:textId="77777777" w:rsidR="00D32E85" w:rsidRPr="005379D3" w:rsidRDefault="00D32E85" w:rsidP="00D32E85">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1F53C3F5" w14:textId="77777777" w:rsidR="00D32E85" w:rsidRPr="005379D3" w:rsidRDefault="00D32E85" w:rsidP="00D32E85">
            <w:pPr>
              <w:rPr>
                <w:rFonts w:asciiTheme="minorHAnsi" w:hAnsiTheme="minorHAnsi" w:cstheme="minorHAnsi"/>
                <w:sz w:val="18"/>
                <w:szCs w:val="18"/>
              </w:rPr>
            </w:pPr>
            <w:r>
              <w:rPr>
                <w:rFonts w:asciiTheme="minorHAnsi" w:hAnsiTheme="minorHAnsi" w:cstheme="minorHAnsi"/>
                <w:sz w:val="18"/>
                <w:szCs w:val="18"/>
              </w:rPr>
              <w:t>Dec. 31, 2021</w:t>
            </w:r>
          </w:p>
        </w:tc>
        <w:tc>
          <w:tcPr>
            <w:tcW w:w="2700" w:type="dxa"/>
          </w:tcPr>
          <w:p w14:paraId="6B9143CD" w14:textId="72338EC5" w:rsidR="00D32E85" w:rsidRPr="005379D3" w:rsidRDefault="00D32E85" w:rsidP="00D32E85">
            <w:pPr>
              <w:pStyle w:val="ListParagraph"/>
              <w:ind w:left="0"/>
              <w:contextualSpacing w:val="0"/>
              <w:rPr>
                <w:rFonts w:asciiTheme="minorHAnsi" w:hAnsiTheme="minorHAnsi" w:cstheme="minorHAnsi"/>
                <w:sz w:val="18"/>
                <w:szCs w:val="18"/>
              </w:rPr>
            </w:pPr>
            <w:r w:rsidRPr="00196C0C">
              <w:rPr>
                <w:rFonts w:asciiTheme="minorHAnsi" w:eastAsia="Times New Roman" w:hAnsiTheme="minorHAnsi" w:cstheme="minorHAnsi"/>
                <w:sz w:val="18"/>
                <w:szCs w:val="18"/>
              </w:rPr>
              <w:t>BT</w:t>
            </w:r>
            <w:r>
              <w:rPr>
                <w:rFonts w:asciiTheme="minorHAnsi" w:eastAsia="Times New Roman" w:hAnsiTheme="minorHAnsi" w:cstheme="minorHAnsi"/>
                <w:sz w:val="18"/>
                <w:szCs w:val="18"/>
              </w:rPr>
              <w:t>, SIB, and STB</w:t>
            </w:r>
            <w:r w:rsidRPr="00196C0C">
              <w:rPr>
                <w:rFonts w:asciiTheme="minorHAnsi" w:eastAsia="Times New Roman" w:hAnsiTheme="minorHAnsi" w:cstheme="minorHAnsi"/>
                <w:sz w:val="18"/>
                <w:szCs w:val="18"/>
              </w:rPr>
              <w:t xml:space="preserve"> publish on </w:t>
            </w:r>
            <w:r>
              <w:rPr>
                <w:rFonts w:asciiTheme="minorHAnsi" w:eastAsia="Times New Roman" w:hAnsiTheme="minorHAnsi" w:cstheme="minorHAnsi"/>
                <w:sz w:val="18"/>
                <w:szCs w:val="18"/>
              </w:rPr>
              <w:t>their</w:t>
            </w:r>
            <w:r w:rsidRPr="00196C0C">
              <w:rPr>
                <w:rFonts w:asciiTheme="minorHAnsi" w:eastAsia="Times New Roman" w:hAnsiTheme="minorHAnsi" w:cstheme="minorHAnsi"/>
                <w:sz w:val="18"/>
                <w:szCs w:val="18"/>
              </w:rPr>
              <w:t xml:space="preserve"> website</w:t>
            </w:r>
            <w:r>
              <w:rPr>
                <w:rFonts w:asciiTheme="minorHAnsi" w:eastAsia="Times New Roman" w:hAnsiTheme="minorHAnsi" w:cstheme="minorHAnsi"/>
                <w:sz w:val="18"/>
                <w:szCs w:val="18"/>
              </w:rPr>
              <w:t>s</w:t>
            </w:r>
            <w:r w:rsidRPr="00196C0C">
              <w:rPr>
                <w:rFonts w:asciiTheme="minorHAnsi" w:eastAsia="Times New Roman" w:hAnsiTheme="minorHAnsi" w:cstheme="minorHAnsi"/>
                <w:sz w:val="18"/>
                <w:szCs w:val="18"/>
              </w:rPr>
              <w:t xml:space="preserve"> the key quarterly operational </w:t>
            </w:r>
            <w:r>
              <w:rPr>
                <w:rFonts w:asciiTheme="minorHAnsi" w:eastAsia="Times New Roman" w:hAnsiTheme="minorHAnsi" w:cstheme="minorHAnsi"/>
                <w:sz w:val="18"/>
                <w:szCs w:val="18"/>
              </w:rPr>
              <w:t>and financial data for 2020.</w:t>
            </w:r>
          </w:p>
        </w:tc>
        <w:tc>
          <w:tcPr>
            <w:tcW w:w="2430" w:type="dxa"/>
          </w:tcPr>
          <w:p w14:paraId="3EE2F959" w14:textId="77777777" w:rsidR="00D32E85" w:rsidRPr="005379D3" w:rsidRDefault="00D32E85" w:rsidP="00D32E85">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24849823" w14:textId="77777777" w:rsidR="00D32E85" w:rsidRPr="005379D3" w:rsidRDefault="00D32E85" w:rsidP="00D32E85">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D32E85" w:rsidRPr="005379D3" w14:paraId="2B742071" w14:textId="77777777" w:rsidTr="00A64B72">
        <w:trPr>
          <w:trHeight w:val="530"/>
        </w:trPr>
        <w:tc>
          <w:tcPr>
            <w:tcW w:w="3127" w:type="dxa"/>
          </w:tcPr>
          <w:p w14:paraId="13E3BF73" w14:textId="79EB0927" w:rsidR="00D32E85" w:rsidRPr="005379D3" w:rsidRDefault="00D32E85" w:rsidP="00D32E85">
            <w:pPr>
              <w:ind w:left="-40"/>
              <w:rPr>
                <w:rFonts w:asciiTheme="minorHAnsi" w:eastAsia="Times New Roman" w:hAnsiTheme="minorHAnsi" w:cstheme="minorHAnsi"/>
                <w:sz w:val="18"/>
                <w:szCs w:val="18"/>
              </w:rPr>
            </w:pPr>
            <w:r w:rsidRPr="005379D3">
              <w:rPr>
                <w:rFonts w:asciiTheme="minorHAnsi" w:eastAsia="Times New Roman" w:hAnsiTheme="minorHAnsi" w:cstheme="minorHAnsi"/>
                <w:sz w:val="18"/>
                <w:szCs w:val="18"/>
              </w:rPr>
              <w:t xml:space="preserve">DLR </w:t>
            </w:r>
            <w:r>
              <w:rPr>
                <w:rFonts w:asciiTheme="minorHAnsi" w:eastAsia="Times New Roman" w:hAnsiTheme="minorHAnsi" w:cstheme="minorHAnsi"/>
                <w:sz w:val="18"/>
                <w:szCs w:val="18"/>
              </w:rPr>
              <w:t>9</w:t>
            </w:r>
            <w:r w:rsidRPr="005379D3">
              <w:rPr>
                <w:rFonts w:asciiTheme="minorHAnsi" w:eastAsia="Times New Roman" w:hAnsiTheme="minorHAnsi" w:cstheme="minorHAnsi"/>
                <w:sz w:val="18"/>
                <w:szCs w:val="18"/>
              </w:rPr>
              <w:t xml:space="preserve">.3: </w:t>
            </w:r>
            <w:r>
              <w:rPr>
                <w:rFonts w:asciiTheme="minorHAnsi" w:eastAsia="Times New Roman" w:hAnsiTheme="minorHAnsi" w:cstheme="minorHAnsi"/>
                <w:sz w:val="18"/>
                <w:szCs w:val="18"/>
              </w:rPr>
              <w:t xml:space="preserve">By December 31, 2022, </w:t>
            </w:r>
            <w:r w:rsidRPr="00196C0C">
              <w:rPr>
                <w:rFonts w:asciiTheme="minorHAnsi" w:eastAsia="Times New Roman" w:hAnsiTheme="minorHAnsi" w:cstheme="minorHAnsi"/>
                <w:sz w:val="18"/>
                <w:szCs w:val="18"/>
              </w:rPr>
              <w:t>BT</w:t>
            </w:r>
            <w:r>
              <w:rPr>
                <w:rFonts w:asciiTheme="minorHAnsi" w:eastAsia="Times New Roman" w:hAnsiTheme="minorHAnsi" w:cstheme="minorHAnsi"/>
                <w:sz w:val="18"/>
                <w:szCs w:val="18"/>
              </w:rPr>
              <w:t>, SIB, and STB</w:t>
            </w:r>
            <w:r w:rsidRPr="00196C0C">
              <w:rPr>
                <w:rFonts w:asciiTheme="minorHAnsi" w:eastAsia="Times New Roman" w:hAnsiTheme="minorHAnsi" w:cstheme="minorHAnsi"/>
                <w:sz w:val="18"/>
                <w:szCs w:val="18"/>
              </w:rPr>
              <w:t xml:space="preserve"> publish on </w:t>
            </w:r>
            <w:r>
              <w:rPr>
                <w:rFonts w:asciiTheme="minorHAnsi" w:eastAsia="Times New Roman" w:hAnsiTheme="minorHAnsi" w:cstheme="minorHAnsi"/>
                <w:sz w:val="18"/>
                <w:szCs w:val="18"/>
              </w:rPr>
              <w:t>their</w:t>
            </w:r>
            <w:r w:rsidRPr="00196C0C">
              <w:rPr>
                <w:rFonts w:asciiTheme="minorHAnsi" w:eastAsia="Times New Roman" w:hAnsiTheme="minorHAnsi" w:cstheme="minorHAnsi"/>
                <w:sz w:val="18"/>
                <w:szCs w:val="18"/>
              </w:rPr>
              <w:t xml:space="preserve"> website</w:t>
            </w:r>
            <w:r>
              <w:rPr>
                <w:rFonts w:asciiTheme="minorHAnsi" w:eastAsia="Times New Roman" w:hAnsiTheme="minorHAnsi" w:cstheme="minorHAnsi"/>
                <w:sz w:val="18"/>
                <w:szCs w:val="18"/>
              </w:rPr>
              <w:t>s</w:t>
            </w:r>
            <w:r w:rsidRPr="00196C0C">
              <w:rPr>
                <w:rFonts w:asciiTheme="minorHAnsi" w:eastAsia="Times New Roman" w:hAnsiTheme="minorHAnsi" w:cstheme="minorHAnsi"/>
                <w:sz w:val="18"/>
                <w:szCs w:val="18"/>
              </w:rPr>
              <w:t xml:space="preserve"> the key quarterly operational data and</w:t>
            </w:r>
            <w:r>
              <w:rPr>
                <w:rFonts w:asciiTheme="minorHAnsi" w:eastAsia="Times New Roman" w:hAnsiTheme="minorHAnsi" w:cstheme="minorHAnsi"/>
                <w:sz w:val="18"/>
                <w:szCs w:val="18"/>
              </w:rPr>
              <w:t xml:space="preserve"> quarterly</w:t>
            </w:r>
            <w:r w:rsidRPr="00196C0C">
              <w:rPr>
                <w:rFonts w:asciiTheme="minorHAnsi" w:eastAsia="Times New Roman" w:hAnsiTheme="minorHAnsi" w:cstheme="minorHAnsi"/>
                <w:sz w:val="18"/>
                <w:szCs w:val="18"/>
              </w:rPr>
              <w:t xml:space="preserve"> un-audit</w:t>
            </w:r>
            <w:r>
              <w:rPr>
                <w:rFonts w:asciiTheme="minorHAnsi" w:eastAsia="Times New Roman" w:hAnsiTheme="minorHAnsi" w:cstheme="minorHAnsi"/>
                <w:sz w:val="18"/>
                <w:szCs w:val="18"/>
              </w:rPr>
              <w:t>ed financial statements for 2021.</w:t>
            </w:r>
          </w:p>
        </w:tc>
        <w:tc>
          <w:tcPr>
            <w:tcW w:w="1350" w:type="dxa"/>
          </w:tcPr>
          <w:p w14:paraId="2334522E" w14:textId="23FCB62D" w:rsidR="00D32E85" w:rsidRPr="00D32E85" w:rsidRDefault="00D32E85" w:rsidP="00D32E85">
            <w:pPr>
              <w:rPr>
                <w:rFonts w:asciiTheme="minorHAnsi" w:hAnsiTheme="minorHAnsi" w:cstheme="minorHAnsi"/>
                <w:sz w:val="18"/>
                <w:szCs w:val="18"/>
              </w:rPr>
            </w:pPr>
            <w:r>
              <w:rPr>
                <w:rFonts w:asciiTheme="minorHAnsi" w:hAnsiTheme="minorHAnsi" w:cstheme="minorHAnsi"/>
                <w:sz w:val="18"/>
                <w:szCs w:val="18"/>
              </w:rPr>
              <w:t>US$</w:t>
            </w:r>
            <w:r w:rsidRPr="00D32E85">
              <w:rPr>
                <w:rFonts w:asciiTheme="minorHAnsi" w:hAnsiTheme="minorHAnsi" w:cstheme="minorHAnsi"/>
                <w:sz w:val="18"/>
                <w:szCs w:val="18"/>
              </w:rPr>
              <w:t>400,000</w:t>
            </w:r>
          </w:p>
        </w:tc>
        <w:tc>
          <w:tcPr>
            <w:tcW w:w="990" w:type="dxa"/>
          </w:tcPr>
          <w:p w14:paraId="2941796B" w14:textId="77777777" w:rsidR="00D32E85" w:rsidRPr="005379D3" w:rsidRDefault="00D32E85" w:rsidP="00D32E85">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4FDBB505" w14:textId="77777777" w:rsidR="00D32E85" w:rsidRPr="005379D3" w:rsidRDefault="00D32E85" w:rsidP="00D32E85">
            <w:pPr>
              <w:rPr>
                <w:rFonts w:asciiTheme="minorHAnsi" w:hAnsiTheme="minorHAnsi" w:cstheme="minorHAnsi"/>
                <w:sz w:val="18"/>
                <w:szCs w:val="18"/>
              </w:rPr>
            </w:pPr>
            <w:r>
              <w:rPr>
                <w:rFonts w:asciiTheme="minorHAnsi" w:hAnsiTheme="minorHAnsi" w:cstheme="minorHAnsi"/>
                <w:sz w:val="18"/>
                <w:szCs w:val="18"/>
              </w:rPr>
              <w:t>Dec. 31, 2022</w:t>
            </w:r>
          </w:p>
        </w:tc>
        <w:tc>
          <w:tcPr>
            <w:tcW w:w="2700" w:type="dxa"/>
          </w:tcPr>
          <w:p w14:paraId="3ABC4EAB" w14:textId="3EEB4A84" w:rsidR="00D32E85" w:rsidRPr="005379D3" w:rsidRDefault="00D32E85" w:rsidP="00D32E85">
            <w:pPr>
              <w:pStyle w:val="ListParagraph"/>
              <w:ind w:left="0"/>
              <w:contextualSpacing w:val="0"/>
              <w:rPr>
                <w:rFonts w:asciiTheme="minorHAnsi" w:hAnsiTheme="minorHAnsi" w:cstheme="minorHAnsi"/>
                <w:sz w:val="18"/>
                <w:szCs w:val="18"/>
              </w:rPr>
            </w:pPr>
            <w:r w:rsidRPr="00196C0C">
              <w:rPr>
                <w:rFonts w:asciiTheme="minorHAnsi" w:eastAsia="Times New Roman" w:hAnsiTheme="minorHAnsi" w:cstheme="minorHAnsi"/>
                <w:sz w:val="18"/>
                <w:szCs w:val="18"/>
              </w:rPr>
              <w:t>BT</w:t>
            </w:r>
            <w:r>
              <w:rPr>
                <w:rFonts w:asciiTheme="minorHAnsi" w:eastAsia="Times New Roman" w:hAnsiTheme="minorHAnsi" w:cstheme="minorHAnsi"/>
                <w:sz w:val="18"/>
                <w:szCs w:val="18"/>
              </w:rPr>
              <w:t>, SIB, and STB</w:t>
            </w:r>
            <w:r w:rsidRPr="00196C0C">
              <w:rPr>
                <w:rFonts w:asciiTheme="minorHAnsi" w:eastAsia="Times New Roman" w:hAnsiTheme="minorHAnsi" w:cstheme="minorHAnsi"/>
                <w:sz w:val="18"/>
                <w:szCs w:val="18"/>
              </w:rPr>
              <w:t xml:space="preserve"> publish on </w:t>
            </w:r>
            <w:r>
              <w:rPr>
                <w:rFonts w:asciiTheme="minorHAnsi" w:eastAsia="Times New Roman" w:hAnsiTheme="minorHAnsi" w:cstheme="minorHAnsi"/>
                <w:sz w:val="18"/>
                <w:szCs w:val="18"/>
              </w:rPr>
              <w:t>their</w:t>
            </w:r>
            <w:r w:rsidRPr="00196C0C">
              <w:rPr>
                <w:rFonts w:asciiTheme="minorHAnsi" w:eastAsia="Times New Roman" w:hAnsiTheme="minorHAnsi" w:cstheme="minorHAnsi"/>
                <w:sz w:val="18"/>
                <w:szCs w:val="18"/>
              </w:rPr>
              <w:t xml:space="preserve"> website</w:t>
            </w:r>
            <w:r>
              <w:rPr>
                <w:rFonts w:asciiTheme="minorHAnsi" w:eastAsia="Times New Roman" w:hAnsiTheme="minorHAnsi" w:cstheme="minorHAnsi"/>
                <w:sz w:val="18"/>
                <w:szCs w:val="18"/>
              </w:rPr>
              <w:t>s</w:t>
            </w:r>
            <w:r w:rsidRPr="00196C0C">
              <w:rPr>
                <w:rFonts w:asciiTheme="minorHAnsi" w:eastAsia="Times New Roman" w:hAnsiTheme="minorHAnsi" w:cstheme="minorHAnsi"/>
                <w:sz w:val="18"/>
                <w:szCs w:val="18"/>
              </w:rPr>
              <w:t xml:space="preserve"> the key quarterly operational </w:t>
            </w:r>
            <w:r>
              <w:rPr>
                <w:rFonts w:asciiTheme="minorHAnsi" w:eastAsia="Times New Roman" w:hAnsiTheme="minorHAnsi" w:cstheme="minorHAnsi"/>
                <w:sz w:val="18"/>
                <w:szCs w:val="18"/>
              </w:rPr>
              <w:t>and financial data for 2021.</w:t>
            </w:r>
          </w:p>
        </w:tc>
        <w:tc>
          <w:tcPr>
            <w:tcW w:w="2430" w:type="dxa"/>
          </w:tcPr>
          <w:p w14:paraId="6522C565" w14:textId="77777777" w:rsidR="00D32E85" w:rsidRPr="005379D3" w:rsidRDefault="00D32E85" w:rsidP="00D32E85">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01FB9447" w14:textId="77777777" w:rsidR="00D32E85" w:rsidRPr="005379D3" w:rsidRDefault="00D32E85" w:rsidP="00D32E85">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D32E85" w:rsidRPr="005379D3" w14:paraId="2210CB90" w14:textId="77777777" w:rsidTr="00A64B72">
        <w:trPr>
          <w:trHeight w:val="530"/>
        </w:trPr>
        <w:tc>
          <w:tcPr>
            <w:tcW w:w="3127" w:type="dxa"/>
          </w:tcPr>
          <w:p w14:paraId="210D4ED2" w14:textId="6C049FA8" w:rsidR="00D32E85" w:rsidRPr="005379D3" w:rsidRDefault="00D32E85" w:rsidP="00D32E85">
            <w:pPr>
              <w:ind w:left="-40"/>
              <w:rPr>
                <w:rFonts w:asciiTheme="minorHAnsi" w:eastAsia="Times New Roman" w:hAnsiTheme="minorHAnsi" w:cstheme="minorHAnsi"/>
                <w:sz w:val="18"/>
                <w:szCs w:val="18"/>
              </w:rPr>
            </w:pPr>
            <w:r w:rsidRPr="005379D3">
              <w:rPr>
                <w:rFonts w:asciiTheme="minorHAnsi" w:eastAsia="Times New Roman" w:hAnsiTheme="minorHAnsi" w:cstheme="minorHAnsi"/>
                <w:sz w:val="18"/>
                <w:szCs w:val="18"/>
              </w:rPr>
              <w:t xml:space="preserve">DLR </w:t>
            </w:r>
            <w:r>
              <w:rPr>
                <w:rFonts w:asciiTheme="minorHAnsi" w:eastAsia="Times New Roman" w:hAnsiTheme="minorHAnsi" w:cstheme="minorHAnsi"/>
                <w:sz w:val="18"/>
                <w:szCs w:val="18"/>
              </w:rPr>
              <w:t>9</w:t>
            </w:r>
            <w:r w:rsidRPr="005379D3">
              <w:rPr>
                <w:rFonts w:asciiTheme="minorHAnsi" w:eastAsia="Times New Roman" w:hAnsiTheme="minorHAnsi" w:cstheme="minorHAnsi"/>
                <w:sz w:val="18"/>
                <w:szCs w:val="18"/>
              </w:rPr>
              <w:t xml:space="preserve">.4: </w:t>
            </w:r>
            <w:r>
              <w:rPr>
                <w:rFonts w:asciiTheme="minorHAnsi" w:eastAsia="Times New Roman" w:hAnsiTheme="minorHAnsi" w:cstheme="minorHAnsi"/>
                <w:sz w:val="18"/>
                <w:szCs w:val="18"/>
              </w:rPr>
              <w:t xml:space="preserve">By December 31, 2023, </w:t>
            </w:r>
            <w:r w:rsidRPr="00196C0C">
              <w:rPr>
                <w:rFonts w:asciiTheme="minorHAnsi" w:eastAsia="Times New Roman" w:hAnsiTheme="minorHAnsi" w:cstheme="minorHAnsi"/>
                <w:sz w:val="18"/>
                <w:szCs w:val="18"/>
              </w:rPr>
              <w:t>BT</w:t>
            </w:r>
            <w:r>
              <w:rPr>
                <w:rFonts w:asciiTheme="minorHAnsi" w:eastAsia="Times New Roman" w:hAnsiTheme="minorHAnsi" w:cstheme="minorHAnsi"/>
                <w:sz w:val="18"/>
                <w:szCs w:val="18"/>
              </w:rPr>
              <w:t>, SIB, and STB</w:t>
            </w:r>
            <w:r w:rsidRPr="00196C0C">
              <w:rPr>
                <w:rFonts w:asciiTheme="minorHAnsi" w:eastAsia="Times New Roman" w:hAnsiTheme="minorHAnsi" w:cstheme="minorHAnsi"/>
                <w:sz w:val="18"/>
                <w:szCs w:val="18"/>
              </w:rPr>
              <w:t xml:space="preserve"> publish on </w:t>
            </w:r>
            <w:r>
              <w:rPr>
                <w:rFonts w:asciiTheme="minorHAnsi" w:eastAsia="Times New Roman" w:hAnsiTheme="minorHAnsi" w:cstheme="minorHAnsi"/>
                <w:sz w:val="18"/>
                <w:szCs w:val="18"/>
              </w:rPr>
              <w:t>their</w:t>
            </w:r>
            <w:r w:rsidRPr="00196C0C">
              <w:rPr>
                <w:rFonts w:asciiTheme="minorHAnsi" w:eastAsia="Times New Roman" w:hAnsiTheme="minorHAnsi" w:cstheme="minorHAnsi"/>
                <w:sz w:val="18"/>
                <w:szCs w:val="18"/>
              </w:rPr>
              <w:t xml:space="preserve"> website</w:t>
            </w:r>
            <w:r>
              <w:rPr>
                <w:rFonts w:asciiTheme="minorHAnsi" w:eastAsia="Times New Roman" w:hAnsiTheme="minorHAnsi" w:cstheme="minorHAnsi"/>
                <w:sz w:val="18"/>
                <w:szCs w:val="18"/>
              </w:rPr>
              <w:t>s</w:t>
            </w:r>
            <w:r w:rsidRPr="00196C0C">
              <w:rPr>
                <w:rFonts w:asciiTheme="minorHAnsi" w:eastAsia="Times New Roman" w:hAnsiTheme="minorHAnsi" w:cstheme="minorHAnsi"/>
                <w:sz w:val="18"/>
                <w:szCs w:val="18"/>
              </w:rPr>
              <w:t xml:space="preserve"> the key quarterly operational data and</w:t>
            </w:r>
            <w:r>
              <w:rPr>
                <w:rFonts w:asciiTheme="minorHAnsi" w:eastAsia="Times New Roman" w:hAnsiTheme="minorHAnsi" w:cstheme="minorHAnsi"/>
                <w:sz w:val="18"/>
                <w:szCs w:val="18"/>
              </w:rPr>
              <w:t xml:space="preserve"> quarterly</w:t>
            </w:r>
            <w:r w:rsidRPr="00196C0C">
              <w:rPr>
                <w:rFonts w:asciiTheme="minorHAnsi" w:eastAsia="Times New Roman" w:hAnsiTheme="minorHAnsi" w:cstheme="minorHAnsi"/>
                <w:sz w:val="18"/>
                <w:szCs w:val="18"/>
              </w:rPr>
              <w:t xml:space="preserve"> un-audit</w:t>
            </w:r>
            <w:r>
              <w:rPr>
                <w:rFonts w:asciiTheme="minorHAnsi" w:eastAsia="Times New Roman" w:hAnsiTheme="minorHAnsi" w:cstheme="minorHAnsi"/>
                <w:sz w:val="18"/>
                <w:szCs w:val="18"/>
              </w:rPr>
              <w:t>ed financial statements for 2022.</w:t>
            </w:r>
          </w:p>
        </w:tc>
        <w:tc>
          <w:tcPr>
            <w:tcW w:w="1350" w:type="dxa"/>
          </w:tcPr>
          <w:p w14:paraId="16958883" w14:textId="17C93F3A" w:rsidR="00D32E85" w:rsidRPr="00D32E85" w:rsidRDefault="00D32E85" w:rsidP="00D32E85">
            <w:pPr>
              <w:rPr>
                <w:rFonts w:asciiTheme="minorHAnsi" w:hAnsiTheme="minorHAnsi" w:cstheme="minorHAnsi"/>
                <w:sz w:val="18"/>
                <w:szCs w:val="18"/>
              </w:rPr>
            </w:pPr>
            <w:r>
              <w:rPr>
                <w:rFonts w:asciiTheme="minorHAnsi" w:hAnsiTheme="minorHAnsi" w:cstheme="minorHAnsi"/>
                <w:sz w:val="18"/>
                <w:szCs w:val="18"/>
              </w:rPr>
              <w:t>US$</w:t>
            </w:r>
            <w:r w:rsidRPr="00D32E85">
              <w:rPr>
                <w:rFonts w:asciiTheme="minorHAnsi" w:hAnsiTheme="minorHAnsi" w:cstheme="minorHAnsi"/>
                <w:sz w:val="18"/>
                <w:szCs w:val="18"/>
              </w:rPr>
              <w:t>100,000</w:t>
            </w:r>
          </w:p>
        </w:tc>
        <w:tc>
          <w:tcPr>
            <w:tcW w:w="990" w:type="dxa"/>
          </w:tcPr>
          <w:p w14:paraId="01A2C23D" w14:textId="77777777" w:rsidR="00D32E85" w:rsidRPr="005379D3" w:rsidRDefault="00D32E85" w:rsidP="00D32E85">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5C025DEC" w14:textId="77777777" w:rsidR="00D32E85" w:rsidRPr="005379D3" w:rsidRDefault="00D32E85" w:rsidP="00D32E85">
            <w:pPr>
              <w:rPr>
                <w:rFonts w:asciiTheme="minorHAnsi" w:hAnsiTheme="minorHAnsi" w:cstheme="minorHAnsi"/>
                <w:sz w:val="18"/>
                <w:szCs w:val="18"/>
              </w:rPr>
            </w:pPr>
            <w:r>
              <w:rPr>
                <w:rFonts w:asciiTheme="minorHAnsi" w:hAnsiTheme="minorHAnsi" w:cstheme="minorHAnsi"/>
                <w:sz w:val="18"/>
                <w:szCs w:val="18"/>
              </w:rPr>
              <w:t>Dec. 31, 2023</w:t>
            </w:r>
          </w:p>
        </w:tc>
        <w:tc>
          <w:tcPr>
            <w:tcW w:w="2700" w:type="dxa"/>
          </w:tcPr>
          <w:p w14:paraId="61DA16AD" w14:textId="31C8AC4F" w:rsidR="00D32E85" w:rsidRPr="005379D3" w:rsidRDefault="00D32E85" w:rsidP="00D32E85">
            <w:pPr>
              <w:pStyle w:val="ListParagraph"/>
              <w:ind w:left="0"/>
              <w:contextualSpacing w:val="0"/>
              <w:rPr>
                <w:rFonts w:asciiTheme="minorHAnsi" w:hAnsiTheme="minorHAnsi" w:cstheme="minorHAnsi"/>
                <w:sz w:val="18"/>
                <w:szCs w:val="18"/>
              </w:rPr>
            </w:pPr>
            <w:r w:rsidRPr="00196C0C">
              <w:rPr>
                <w:rFonts w:asciiTheme="minorHAnsi" w:eastAsia="Times New Roman" w:hAnsiTheme="minorHAnsi" w:cstheme="minorHAnsi"/>
                <w:sz w:val="18"/>
                <w:szCs w:val="18"/>
              </w:rPr>
              <w:t>BT</w:t>
            </w:r>
            <w:r>
              <w:rPr>
                <w:rFonts w:asciiTheme="minorHAnsi" w:eastAsia="Times New Roman" w:hAnsiTheme="minorHAnsi" w:cstheme="minorHAnsi"/>
                <w:sz w:val="18"/>
                <w:szCs w:val="18"/>
              </w:rPr>
              <w:t>, SIB, and STB</w:t>
            </w:r>
            <w:r w:rsidRPr="00196C0C">
              <w:rPr>
                <w:rFonts w:asciiTheme="minorHAnsi" w:eastAsia="Times New Roman" w:hAnsiTheme="minorHAnsi" w:cstheme="minorHAnsi"/>
                <w:sz w:val="18"/>
                <w:szCs w:val="18"/>
              </w:rPr>
              <w:t xml:space="preserve"> publish on </w:t>
            </w:r>
            <w:r>
              <w:rPr>
                <w:rFonts w:asciiTheme="minorHAnsi" w:eastAsia="Times New Roman" w:hAnsiTheme="minorHAnsi" w:cstheme="minorHAnsi"/>
                <w:sz w:val="18"/>
                <w:szCs w:val="18"/>
              </w:rPr>
              <w:t>their</w:t>
            </w:r>
            <w:r w:rsidRPr="00196C0C">
              <w:rPr>
                <w:rFonts w:asciiTheme="minorHAnsi" w:eastAsia="Times New Roman" w:hAnsiTheme="minorHAnsi" w:cstheme="minorHAnsi"/>
                <w:sz w:val="18"/>
                <w:szCs w:val="18"/>
              </w:rPr>
              <w:t xml:space="preserve"> website</w:t>
            </w:r>
            <w:r>
              <w:rPr>
                <w:rFonts w:asciiTheme="minorHAnsi" w:eastAsia="Times New Roman" w:hAnsiTheme="minorHAnsi" w:cstheme="minorHAnsi"/>
                <w:sz w:val="18"/>
                <w:szCs w:val="18"/>
              </w:rPr>
              <w:t>s</w:t>
            </w:r>
            <w:r w:rsidRPr="00196C0C">
              <w:rPr>
                <w:rFonts w:asciiTheme="minorHAnsi" w:eastAsia="Times New Roman" w:hAnsiTheme="minorHAnsi" w:cstheme="minorHAnsi"/>
                <w:sz w:val="18"/>
                <w:szCs w:val="18"/>
              </w:rPr>
              <w:t xml:space="preserve"> the key quarterly operational </w:t>
            </w:r>
            <w:r>
              <w:rPr>
                <w:rFonts w:asciiTheme="minorHAnsi" w:eastAsia="Times New Roman" w:hAnsiTheme="minorHAnsi" w:cstheme="minorHAnsi"/>
                <w:sz w:val="18"/>
                <w:szCs w:val="18"/>
              </w:rPr>
              <w:t>and financial data for 2022.</w:t>
            </w:r>
          </w:p>
        </w:tc>
        <w:tc>
          <w:tcPr>
            <w:tcW w:w="2430" w:type="dxa"/>
          </w:tcPr>
          <w:p w14:paraId="06A4DE64" w14:textId="77777777" w:rsidR="00D32E85" w:rsidRPr="005379D3" w:rsidRDefault="00D32E85" w:rsidP="00D32E85">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7DF4593F" w14:textId="77777777" w:rsidR="00D32E85" w:rsidRPr="005379D3" w:rsidRDefault="00D32E85" w:rsidP="00D32E85">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D32E85" w:rsidRPr="005379D3" w14:paraId="2C03CE05" w14:textId="77777777" w:rsidTr="001D2776">
        <w:trPr>
          <w:trHeight w:val="530"/>
        </w:trPr>
        <w:tc>
          <w:tcPr>
            <w:tcW w:w="3127" w:type="dxa"/>
          </w:tcPr>
          <w:p w14:paraId="795E0895" w14:textId="2BDD3B2D" w:rsidR="00D32E85" w:rsidRPr="005379D3" w:rsidRDefault="00D32E85" w:rsidP="00D32E85">
            <w:pPr>
              <w:ind w:left="-40"/>
              <w:rPr>
                <w:rFonts w:asciiTheme="minorHAnsi" w:eastAsia="Times New Roman" w:hAnsiTheme="minorHAnsi" w:cstheme="minorHAnsi"/>
                <w:sz w:val="18"/>
                <w:szCs w:val="18"/>
              </w:rPr>
            </w:pPr>
            <w:r w:rsidRPr="005379D3">
              <w:rPr>
                <w:rFonts w:asciiTheme="minorHAnsi" w:eastAsia="Times New Roman" w:hAnsiTheme="minorHAnsi" w:cstheme="minorHAnsi"/>
                <w:sz w:val="18"/>
                <w:szCs w:val="18"/>
              </w:rPr>
              <w:lastRenderedPageBreak/>
              <w:t xml:space="preserve">DLR </w:t>
            </w:r>
            <w:r>
              <w:rPr>
                <w:rFonts w:asciiTheme="minorHAnsi" w:eastAsia="Times New Roman" w:hAnsiTheme="minorHAnsi" w:cstheme="minorHAnsi"/>
                <w:sz w:val="18"/>
                <w:szCs w:val="18"/>
              </w:rPr>
              <w:t>9</w:t>
            </w:r>
            <w:r w:rsidRPr="005379D3">
              <w:rPr>
                <w:rFonts w:asciiTheme="minorHAnsi" w:eastAsia="Times New Roman" w:hAnsiTheme="minorHAnsi" w:cstheme="minorHAnsi"/>
                <w:sz w:val="18"/>
                <w:szCs w:val="18"/>
              </w:rPr>
              <w:t xml:space="preserve">.5: </w:t>
            </w:r>
            <w:r>
              <w:rPr>
                <w:rFonts w:asciiTheme="minorHAnsi" w:eastAsia="Times New Roman" w:hAnsiTheme="minorHAnsi" w:cstheme="minorHAnsi"/>
                <w:sz w:val="18"/>
                <w:szCs w:val="18"/>
              </w:rPr>
              <w:t xml:space="preserve">By December 31, 2024, </w:t>
            </w:r>
            <w:r w:rsidRPr="00196C0C">
              <w:rPr>
                <w:rFonts w:asciiTheme="minorHAnsi" w:eastAsia="Times New Roman" w:hAnsiTheme="minorHAnsi" w:cstheme="minorHAnsi"/>
                <w:sz w:val="18"/>
                <w:szCs w:val="18"/>
              </w:rPr>
              <w:t>BT</w:t>
            </w:r>
            <w:r>
              <w:rPr>
                <w:rFonts w:asciiTheme="minorHAnsi" w:eastAsia="Times New Roman" w:hAnsiTheme="minorHAnsi" w:cstheme="minorHAnsi"/>
                <w:sz w:val="18"/>
                <w:szCs w:val="18"/>
              </w:rPr>
              <w:t>, SIB, and STB</w:t>
            </w:r>
            <w:r w:rsidRPr="00196C0C">
              <w:rPr>
                <w:rFonts w:asciiTheme="minorHAnsi" w:eastAsia="Times New Roman" w:hAnsiTheme="minorHAnsi" w:cstheme="minorHAnsi"/>
                <w:sz w:val="18"/>
                <w:szCs w:val="18"/>
              </w:rPr>
              <w:t xml:space="preserve"> publish on </w:t>
            </w:r>
            <w:r>
              <w:rPr>
                <w:rFonts w:asciiTheme="minorHAnsi" w:eastAsia="Times New Roman" w:hAnsiTheme="minorHAnsi" w:cstheme="minorHAnsi"/>
                <w:sz w:val="18"/>
                <w:szCs w:val="18"/>
              </w:rPr>
              <w:t>their</w:t>
            </w:r>
            <w:r w:rsidRPr="00196C0C">
              <w:rPr>
                <w:rFonts w:asciiTheme="minorHAnsi" w:eastAsia="Times New Roman" w:hAnsiTheme="minorHAnsi" w:cstheme="minorHAnsi"/>
                <w:sz w:val="18"/>
                <w:szCs w:val="18"/>
              </w:rPr>
              <w:t xml:space="preserve"> website</w:t>
            </w:r>
            <w:r>
              <w:rPr>
                <w:rFonts w:asciiTheme="minorHAnsi" w:eastAsia="Times New Roman" w:hAnsiTheme="minorHAnsi" w:cstheme="minorHAnsi"/>
                <w:sz w:val="18"/>
                <w:szCs w:val="18"/>
              </w:rPr>
              <w:t>s</w:t>
            </w:r>
            <w:r w:rsidRPr="00196C0C">
              <w:rPr>
                <w:rFonts w:asciiTheme="minorHAnsi" w:eastAsia="Times New Roman" w:hAnsiTheme="minorHAnsi" w:cstheme="minorHAnsi"/>
                <w:sz w:val="18"/>
                <w:szCs w:val="18"/>
              </w:rPr>
              <w:t xml:space="preserve"> the key quarterly operational data and</w:t>
            </w:r>
            <w:r>
              <w:rPr>
                <w:rFonts w:asciiTheme="minorHAnsi" w:eastAsia="Times New Roman" w:hAnsiTheme="minorHAnsi" w:cstheme="minorHAnsi"/>
                <w:sz w:val="18"/>
                <w:szCs w:val="18"/>
              </w:rPr>
              <w:t xml:space="preserve"> quarterly</w:t>
            </w:r>
            <w:r w:rsidRPr="00196C0C">
              <w:rPr>
                <w:rFonts w:asciiTheme="minorHAnsi" w:eastAsia="Times New Roman" w:hAnsiTheme="minorHAnsi" w:cstheme="minorHAnsi"/>
                <w:sz w:val="18"/>
                <w:szCs w:val="18"/>
              </w:rPr>
              <w:t xml:space="preserve"> un-audit</w:t>
            </w:r>
            <w:r>
              <w:rPr>
                <w:rFonts w:asciiTheme="minorHAnsi" w:eastAsia="Times New Roman" w:hAnsiTheme="minorHAnsi" w:cstheme="minorHAnsi"/>
                <w:sz w:val="18"/>
                <w:szCs w:val="18"/>
              </w:rPr>
              <w:t>ed financial statements for 2023.</w:t>
            </w:r>
          </w:p>
        </w:tc>
        <w:tc>
          <w:tcPr>
            <w:tcW w:w="1350" w:type="dxa"/>
          </w:tcPr>
          <w:p w14:paraId="277C41F4" w14:textId="757B6A68" w:rsidR="00D32E85" w:rsidRPr="00D32E85" w:rsidRDefault="00D32E85" w:rsidP="00D32E85">
            <w:pPr>
              <w:rPr>
                <w:rFonts w:asciiTheme="minorHAnsi" w:hAnsiTheme="minorHAnsi" w:cstheme="minorHAnsi"/>
                <w:sz w:val="18"/>
                <w:szCs w:val="18"/>
              </w:rPr>
            </w:pPr>
            <w:r>
              <w:rPr>
                <w:rFonts w:asciiTheme="minorHAnsi" w:hAnsiTheme="minorHAnsi" w:cstheme="minorHAnsi"/>
                <w:sz w:val="18"/>
                <w:szCs w:val="18"/>
              </w:rPr>
              <w:t>US$</w:t>
            </w:r>
            <w:r w:rsidRPr="00D32E85">
              <w:rPr>
                <w:rFonts w:asciiTheme="minorHAnsi" w:hAnsiTheme="minorHAnsi" w:cstheme="minorHAnsi"/>
                <w:sz w:val="18"/>
                <w:szCs w:val="18"/>
              </w:rPr>
              <w:t>100,000</w:t>
            </w:r>
          </w:p>
        </w:tc>
        <w:tc>
          <w:tcPr>
            <w:tcW w:w="990" w:type="dxa"/>
          </w:tcPr>
          <w:p w14:paraId="64FAF100" w14:textId="77777777" w:rsidR="00D32E85" w:rsidRPr="005379D3" w:rsidRDefault="00D32E85" w:rsidP="00D32E85">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09FC7228" w14:textId="77777777" w:rsidR="00D32E85" w:rsidRPr="005379D3" w:rsidRDefault="00D32E85" w:rsidP="00D32E85">
            <w:pPr>
              <w:rPr>
                <w:rFonts w:asciiTheme="minorHAnsi" w:hAnsiTheme="minorHAnsi" w:cstheme="minorHAnsi"/>
                <w:sz w:val="18"/>
                <w:szCs w:val="18"/>
              </w:rPr>
            </w:pPr>
            <w:r>
              <w:rPr>
                <w:rFonts w:asciiTheme="minorHAnsi" w:hAnsiTheme="minorHAnsi" w:cstheme="minorHAnsi"/>
                <w:sz w:val="18"/>
                <w:szCs w:val="18"/>
              </w:rPr>
              <w:t>Dec. 31, 2024</w:t>
            </w:r>
          </w:p>
        </w:tc>
        <w:tc>
          <w:tcPr>
            <w:tcW w:w="2700" w:type="dxa"/>
          </w:tcPr>
          <w:p w14:paraId="34B42440" w14:textId="2D393CC8" w:rsidR="00D32E85" w:rsidRPr="005379D3" w:rsidRDefault="00D32E85" w:rsidP="00D32E85">
            <w:pPr>
              <w:pStyle w:val="ListParagraph"/>
              <w:ind w:left="0"/>
              <w:contextualSpacing w:val="0"/>
              <w:rPr>
                <w:rFonts w:asciiTheme="minorHAnsi" w:hAnsiTheme="minorHAnsi" w:cstheme="minorHAnsi"/>
                <w:sz w:val="18"/>
                <w:szCs w:val="18"/>
              </w:rPr>
            </w:pPr>
            <w:r w:rsidRPr="00196C0C">
              <w:rPr>
                <w:rFonts w:asciiTheme="minorHAnsi" w:eastAsia="Times New Roman" w:hAnsiTheme="minorHAnsi" w:cstheme="minorHAnsi"/>
                <w:sz w:val="18"/>
                <w:szCs w:val="18"/>
              </w:rPr>
              <w:t>BT</w:t>
            </w:r>
            <w:r>
              <w:rPr>
                <w:rFonts w:asciiTheme="minorHAnsi" w:eastAsia="Times New Roman" w:hAnsiTheme="minorHAnsi" w:cstheme="minorHAnsi"/>
                <w:sz w:val="18"/>
                <w:szCs w:val="18"/>
              </w:rPr>
              <w:t>, SIB, and STB</w:t>
            </w:r>
            <w:r w:rsidRPr="00196C0C">
              <w:rPr>
                <w:rFonts w:asciiTheme="minorHAnsi" w:eastAsia="Times New Roman" w:hAnsiTheme="minorHAnsi" w:cstheme="minorHAnsi"/>
                <w:sz w:val="18"/>
                <w:szCs w:val="18"/>
              </w:rPr>
              <w:t xml:space="preserve"> publish on </w:t>
            </w:r>
            <w:r>
              <w:rPr>
                <w:rFonts w:asciiTheme="minorHAnsi" w:eastAsia="Times New Roman" w:hAnsiTheme="minorHAnsi" w:cstheme="minorHAnsi"/>
                <w:sz w:val="18"/>
                <w:szCs w:val="18"/>
              </w:rPr>
              <w:t>their</w:t>
            </w:r>
            <w:r w:rsidRPr="00196C0C">
              <w:rPr>
                <w:rFonts w:asciiTheme="minorHAnsi" w:eastAsia="Times New Roman" w:hAnsiTheme="minorHAnsi" w:cstheme="minorHAnsi"/>
                <w:sz w:val="18"/>
                <w:szCs w:val="18"/>
              </w:rPr>
              <w:t xml:space="preserve"> website</w:t>
            </w:r>
            <w:r>
              <w:rPr>
                <w:rFonts w:asciiTheme="minorHAnsi" w:eastAsia="Times New Roman" w:hAnsiTheme="minorHAnsi" w:cstheme="minorHAnsi"/>
                <w:sz w:val="18"/>
                <w:szCs w:val="18"/>
              </w:rPr>
              <w:t>s</w:t>
            </w:r>
            <w:r w:rsidRPr="00196C0C">
              <w:rPr>
                <w:rFonts w:asciiTheme="minorHAnsi" w:eastAsia="Times New Roman" w:hAnsiTheme="minorHAnsi" w:cstheme="minorHAnsi"/>
                <w:sz w:val="18"/>
                <w:szCs w:val="18"/>
              </w:rPr>
              <w:t xml:space="preserve"> the key quarterly operational </w:t>
            </w:r>
            <w:r>
              <w:rPr>
                <w:rFonts w:asciiTheme="minorHAnsi" w:eastAsia="Times New Roman" w:hAnsiTheme="minorHAnsi" w:cstheme="minorHAnsi"/>
                <w:sz w:val="18"/>
                <w:szCs w:val="18"/>
              </w:rPr>
              <w:t>and financial data for 2023.</w:t>
            </w:r>
          </w:p>
        </w:tc>
        <w:tc>
          <w:tcPr>
            <w:tcW w:w="2430" w:type="dxa"/>
          </w:tcPr>
          <w:p w14:paraId="7DDF7C2B" w14:textId="77777777" w:rsidR="00D32E85" w:rsidRPr="005379D3" w:rsidRDefault="00D32E85" w:rsidP="00D32E85">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01AB846C" w14:textId="77777777" w:rsidR="00D32E85" w:rsidRPr="005379D3" w:rsidRDefault="00D32E85" w:rsidP="00D32E85">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 </w:t>
            </w:r>
            <w:r w:rsidRPr="005379D3">
              <w:rPr>
                <w:rFonts w:asciiTheme="minorHAnsi" w:hAnsiTheme="minorHAnsi" w:cstheme="minorHAnsi"/>
                <w:sz w:val="18"/>
                <w:szCs w:val="18"/>
              </w:rPr>
              <w:t>disbursement for full compliance. No disbursement in case of partial or complete non-compliance.</w:t>
            </w:r>
          </w:p>
        </w:tc>
      </w:tr>
      <w:tr w:rsidR="00D32E85" w:rsidRPr="005379D3" w14:paraId="0D32DA02" w14:textId="77777777" w:rsidTr="005D3932">
        <w:trPr>
          <w:trHeight w:val="530"/>
        </w:trPr>
        <w:tc>
          <w:tcPr>
            <w:tcW w:w="3127" w:type="dxa"/>
            <w:vAlign w:val="center"/>
          </w:tcPr>
          <w:p w14:paraId="290364CB" w14:textId="44D91B9E" w:rsidR="00D32E85" w:rsidRPr="005379D3" w:rsidRDefault="00D32E85" w:rsidP="00D32E85">
            <w:pPr>
              <w:ind w:left="-40"/>
              <w:rPr>
                <w:rFonts w:asciiTheme="minorHAnsi" w:eastAsia="Times New Roman" w:hAnsiTheme="minorHAnsi" w:cstheme="minorHAnsi"/>
                <w:sz w:val="18"/>
                <w:szCs w:val="18"/>
              </w:rPr>
            </w:pPr>
            <w:r w:rsidRPr="005379D3">
              <w:rPr>
                <w:rFonts w:asciiTheme="minorHAnsi" w:eastAsia="Times New Roman" w:hAnsiTheme="minorHAnsi" w:cstheme="minorHAnsi"/>
                <w:sz w:val="18"/>
                <w:szCs w:val="18"/>
              </w:rPr>
              <w:t xml:space="preserve">DLR </w:t>
            </w:r>
            <w:r>
              <w:rPr>
                <w:rFonts w:asciiTheme="minorHAnsi" w:eastAsia="Times New Roman" w:hAnsiTheme="minorHAnsi" w:cstheme="minorHAnsi"/>
                <w:sz w:val="18"/>
                <w:szCs w:val="18"/>
              </w:rPr>
              <w:t>9</w:t>
            </w:r>
            <w:r w:rsidRPr="005379D3">
              <w:rPr>
                <w:rFonts w:asciiTheme="minorHAnsi" w:eastAsia="Times New Roman" w:hAnsiTheme="minorHAnsi" w:cstheme="minorHAnsi"/>
                <w:sz w:val="18"/>
                <w:szCs w:val="18"/>
              </w:rPr>
              <w:t>.6</w:t>
            </w:r>
            <w:r>
              <w:rPr>
                <w:rFonts w:asciiTheme="minorHAnsi" w:eastAsia="Times New Roman" w:hAnsiTheme="minorHAnsi" w:cstheme="minorHAnsi"/>
                <w:sz w:val="18"/>
                <w:szCs w:val="18"/>
              </w:rPr>
              <w:t>:</w:t>
            </w:r>
            <w:r w:rsidRPr="005379D3">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 xml:space="preserve">By December 31, 2025, </w:t>
            </w:r>
            <w:r w:rsidRPr="00196C0C">
              <w:rPr>
                <w:rFonts w:asciiTheme="minorHAnsi" w:eastAsia="Times New Roman" w:hAnsiTheme="minorHAnsi" w:cstheme="minorHAnsi"/>
                <w:sz w:val="18"/>
                <w:szCs w:val="18"/>
              </w:rPr>
              <w:t>BT</w:t>
            </w:r>
            <w:r>
              <w:rPr>
                <w:rFonts w:asciiTheme="minorHAnsi" w:eastAsia="Times New Roman" w:hAnsiTheme="minorHAnsi" w:cstheme="minorHAnsi"/>
                <w:sz w:val="18"/>
                <w:szCs w:val="18"/>
              </w:rPr>
              <w:t>, SIB, and STB</w:t>
            </w:r>
            <w:r w:rsidRPr="00196C0C">
              <w:rPr>
                <w:rFonts w:asciiTheme="minorHAnsi" w:eastAsia="Times New Roman" w:hAnsiTheme="minorHAnsi" w:cstheme="minorHAnsi"/>
                <w:sz w:val="18"/>
                <w:szCs w:val="18"/>
              </w:rPr>
              <w:t xml:space="preserve"> publish on </w:t>
            </w:r>
            <w:r>
              <w:rPr>
                <w:rFonts w:asciiTheme="minorHAnsi" w:eastAsia="Times New Roman" w:hAnsiTheme="minorHAnsi" w:cstheme="minorHAnsi"/>
                <w:sz w:val="18"/>
                <w:szCs w:val="18"/>
              </w:rPr>
              <w:t>their</w:t>
            </w:r>
            <w:r w:rsidRPr="00196C0C">
              <w:rPr>
                <w:rFonts w:asciiTheme="minorHAnsi" w:eastAsia="Times New Roman" w:hAnsiTheme="minorHAnsi" w:cstheme="minorHAnsi"/>
                <w:sz w:val="18"/>
                <w:szCs w:val="18"/>
              </w:rPr>
              <w:t xml:space="preserve"> website</w:t>
            </w:r>
            <w:r>
              <w:rPr>
                <w:rFonts w:asciiTheme="minorHAnsi" w:eastAsia="Times New Roman" w:hAnsiTheme="minorHAnsi" w:cstheme="minorHAnsi"/>
                <w:sz w:val="18"/>
                <w:szCs w:val="18"/>
              </w:rPr>
              <w:t>s</w:t>
            </w:r>
            <w:r w:rsidRPr="00196C0C">
              <w:rPr>
                <w:rFonts w:asciiTheme="minorHAnsi" w:eastAsia="Times New Roman" w:hAnsiTheme="minorHAnsi" w:cstheme="minorHAnsi"/>
                <w:sz w:val="18"/>
                <w:szCs w:val="18"/>
              </w:rPr>
              <w:t xml:space="preserve"> the key quarterly operational data and</w:t>
            </w:r>
            <w:r>
              <w:rPr>
                <w:rFonts w:asciiTheme="minorHAnsi" w:eastAsia="Times New Roman" w:hAnsiTheme="minorHAnsi" w:cstheme="minorHAnsi"/>
                <w:sz w:val="18"/>
                <w:szCs w:val="18"/>
              </w:rPr>
              <w:t xml:space="preserve"> quarterly</w:t>
            </w:r>
            <w:r w:rsidRPr="00196C0C">
              <w:rPr>
                <w:rFonts w:asciiTheme="minorHAnsi" w:eastAsia="Times New Roman" w:hAnsiTheme="minorHAnsi" w:cstheme="minorHAnsi"/>
                <w:sz w:val="18"/>
                <w:szCs w:val="18"/>
              </w:rPr>
              <w:t xml:space="preserve"> un-audit</w:t>
            </w:r>
            <w:r>
              <w:rPr>
                <w:rFonts w:asciiTheme="minorHAnsi" w:eastAsia="Times New Roman" w:hAnsiTheme="minorHAnsi" w:cstheme="minorHAnsi"/>
                <w:sz w:val="18"/>
                <w:szCs w:val="18"/>
              </w:rPr>
              <w:t>ed financial statements for 2024.</w:t>
            </w:r>
          </w:p>
        </w:tc>
        <w:tc>
          <w:tcPr>
            <w:tcW w:w="1350" w:type="dxa"/>
          </w:tcPr>
          <w:p w14:paraId="023E9B76" w14:textId="3770F67B" w:rsidR="00D32E85" w:rsidRPr="00D32E85" w:rsidRDefault="00D32E85" w:rsidP="00D32E85">
            <w:pPr>
              <w:rPr>
                <w:rFonts w:asciiTheme="minorHAnsi" w:hAnsiTheme="minorHAnsi" w:cstheme="minorHAnsi"/>
                <w:sz w:val="18"/>
                <w:szCs w:val="18"/>
              </w:rPr>
            </w:pPr>
            <w:r>
              <w:rPr>
                <w:rFonts w:asciiTheme="minorHAnsi" w:hAnsiTheme="minorHAnsi" w:cstheme="minorHAnsi"/>
                <w:sz w:val="18"/>
                <w:szCs w:val="18"/>
              </w:rPr>
              <w:t>US$</w:t>
            </w:r>
            <w:r w:rsidRPr="00D32E85">
              <w:rPr>
                <w:rFonts w:asciiTheme="minorHAnsi" w:hAnsiTheme="minorHAnsi" w:cstheme="minorHAnsi"/>
                <w:sz w:val="18"/>
                <w:szCs w:val="18"/>
              </w:rPr>
              <w:t>50,000</w:t>
            </w:r>
          </w:p>
        </w:tc>
        <w:tc>
          <w:tcPr>
            <w:tcW w:w="990" w:type="dxa"/>
            <w:vAlign w:val="center"/>
          </w:tcPr>
          <w:p w14:paraId="36DEBDEF" w14:textId="77777777" w:rsidR="00D32E85" w:rsidRPr="005379D3" w:rsidRDefault="00D32E85" w:rsidP="00D32E85">
            <w:pPr>
              <w:rPr>
                <w:rFonts w:asciiTheme="minorHAnsi" w:hAnsiTheme="minorHAnsi" w:cstheme="minorHAnsi"/>
                <w:sz w:val="18"/>
                <w:szCs w:val="18"/>
              </w:rPr>
            </w:pPr>
            <w:r>
              <w:rPr>
                <w:rFonts w:asciiTheme="minorHAnsi" w:hAnsiTheme="minorHAnsi" w:cstheme="minorHAnsi"/>
                <w:sz w:val="18"/>
                <w:szCs w:val="18"/>
              </w:rPr>
              <w:t>-</w:t>
            </w:r>
          </w:p>
        </w:tc>
        <w:tc>
          <w:tcPr>
            <w:tcW w:w="1530" w:type="dxa"/>
            <w:vAlign w:val="center"/>
          </w:tcPr>
          <w:p w14:paraId="1A2938EB" w14:textId="77777777" w:rsidR="00D32E85" w:rsidRPr="005379D3" w:rsidRDefault="00D32E85" w:rsidP="00D32E85">
            <w:pPr>
              <w:rPr>
                <w:rFonts w:asciiTheme="minorHAnsi" w:hAnsiTheme="minorHAnsi" w:cstheme="minorHAnsi"/>
                <w:sz w:val="18"/>
                <w:szCs w:val="18"/>
              </w:rPr>
            </w:pPr>
            <w:r>
              <w:rPr>
                <w:rFonts w:asciiTheme="minorHAnsi" w:hAnsiTheme="minorHAnsi" w:cstheme="minorHAnsi"/>
                <w:sz w:val="18"/>
                <w:szCs w:val="18"/>
              </w:rPr>
              <w:t>Dec. 31, 2025</w:t>
            </w:r>
          </w:p>
        </w:tc>
        <w:tc>
          <w:tcPr>
            <w:tcW w:w="2700" w:type="dxa"/>
          </w:tcPr>
          <w:p w14:paraId="3A79579A" w14:textId="23C68D4A" w:rsidR="00D32E85" w:rsidRPr="005379D3" w:rsidRDefault="00D32E85" w:rsidP="00D32E85">
            <w:pPr>
              <w:pStyle w:val="ListParagraph"/>
              <w:ind w:left="0"/>
              <w:contextualSpacing w:val="0"/>
              <w:rPr>
                <w:rFonts w:asciiTheme="minorHAnsi" w:hAnsiTheme="minorHAnsi" w:cstheme="minorHAnsi"/>
                <w:sz w:val="18"/>
                <w:szCs w:val="18"/>
              </w:rPr>
            </w:pPr>
            <w:r w:rsidRPr="00196C0C">
              <w:rPr>
                <w:rFonts w:asciiTheme="minorHAnsi" w:eastAsia="Times New Roman" w:hAnsiTheme="minorHAnsi" w:cstheme="minorHAnsi"/>
                <w:sz w:val="18"/>
                <w:szCs w:val="18"/>
              </w:rPr>
              <w:t>BT</w:t>
            </w:r>
            <w:r>
              <w:rPr>
                <w:rFonts w:asciiTheme="minorHAnsi" w:eastAsia="Times New Roman" w:hAnsiTheme="minorHAnsi" w:cstheme="minorHAnsi"/>
                <w:sz w:val="18"/>
                <w:szCs w:val="18"/>
              </w:rPr>
              <w:t>, SIB, and STB</w:t>
            </w:r>
            <w:r w:rsidRPr="00196C0C">
              <w:rPr>
                <w:rFonts w:asciiTheme="minorHAnsi" w:eastAsia="Times New Roman" w:hAnsiTheme="minorHAnsi" w:cstheme="minorHAnsi"/>
                <w:sz w:val="18"/>
                <w:szCs w:val="18"/>
              </w:rPr>
              <w:t xml:space="preserve"> publish on </w:t>
            </w:r>
            <w:r>
              <w:rPr>
                <w:rFonts w:asciiTheme="minorHAnsi" w:eastAsia="Times New Roman" w:hAnsiTheme="minorHAnsi" w:cstheme="minorHAnsi"/>
                <w:sz w:val="18"/>
                <w:szCs w:val="18"/>
              </w:rPr>
              <w:t>their</w:t>
            </w:r>
            <w:r w:rsidRPr="00196C0C">
              <w:rPr>
                <w:rFonts w:asciiTheme="minorHAnsi" w:eastAsia="Times New Roman" w:hAnsiTheme="minorHAnsi" w:cstheme="minorHAnsi"/>
                <w:sz w:val="18"/>
                <w:szCs w:val="18"/>
              </w:rPr>
              <w:t xml:space="preserve"> website</w:t>
            </w:r>
            <w:r>
              <w:rPr>
                <w:rFonts w:asciiTheme="minorHAnsi" w:eastAsia="Times New Roman" w:hAnsiTheme="minorHAnsi" w:cstheme="minorHAnsi"/>
                <w:sz w:val="18"/>
                <w:szCs w:val="18"/>
              </w:rPr>
              <w:t>s</w:t>
            </w:r>
            <w:r w:rsidRPr="00196C0C">
              <w:rPr>
                <w:rFonts w:asciiTheme="minorHAnsi" w:eastAsia="Times New Roman" w:hAnsiTheme="minorHAnsi" w:cstheme="minorHAnsi"/>
                <w:sz w:val="18"/>
                <w:szCs w:val="18"/>
              </w:rPr>
              <w:t xml:space="preserve"> the key quarterly operational </w:t>
            </w:r>
            <w:r>
              <w:rPr>
                <w:rFonts w:asciiTheme="minorHAnsi" w:eastAsia="Times New Roman" w:hAnsiTheme="minorHAnsi" w:cstheme="minorHAnsi"/>
                <w:sz w:val="18"/>
                <w:szCs w:val="18"/>
              </w:rPr>
              <w:t>and financial data for 2024.</w:t>
            </w:r>
          </w:p>
        </w:tc>
        <w:tc>
          <w:tcPr>
            <w:tcW w:w="2430" w:type="dxa"/>
            <w:vAlign w:val="center"/>
          </w:tcPr>
          <w:p w14:paraId="5C228CAE" w14:textId="77777777" w:rsidR="00D32E85" w:rsidRPr="005379D3" w:rsidRDefault="00D32E85" w:rsidP="00D32E85">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vAlign w:val="center"/>
          </w:tcPr>
          <w:p w14:paraId="347BD1F8" w14:textId="77777777" w:rsidR="00D32E85" w:rsidRPr="005379D3" w:rsidRDefault="00D32E85" w:rsidP="00D32E85">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D32E85" w:rsidRPr="005379D3" w14:paraId="4A8D97C7" w14:textId="77777777" w:rsidTr="005D3932">
        <w:trPr>
          <w:trHeight w:val="530"/>
        </w:trPr>
        <w:tc>
          <w:tcPr>
            <w:tcW w:w="3127" w:type="dxa"/>
            <w:vAlign w:val="center"/>
          </w:tcPr>
          <w:p w14:paraId="1E8F9F95" w14:textId="1CF56E78" w:rsidR="00D32E85" w:rsidRPr="005379D3" w:rsidRDefault="00D32E85" w:rsidP="00D32E85">
            <w:pPr>
              <w:ind w:left="-40"/>
              <w:rPr>
                <w:rFonts w:asciiTheme="minorHAnsi" w:eastAsia="Times New Roman" w:hAnsiTheme="minorHAnsi" w:cstheme="minorHAnsi"/>
                <w:sz w:val="18"/>
                <w:szCs w:val="18"/>
              </w:rPr>
            </w:pPr>
            <w:r w:rsidRPr="005379D3">
              <w:rPr>
                <w:rFonts w:asciiTheme="minorHAnsi" w:eastAsia="Times New Roman" w:hAnsiTheme="minorHAnsi" w:cstheme="minorHAnsi"/>
                <w:sz w:val="18"/>
                <w:szCs w:val="18"/>
              </w:rPr>
              <w:t xml:space="preserve">DLR </w:t>
            </w:r>
            <w:r>
              <w:rPr>
                <w:rFonts w:asciiTheme="minorHAnsi" w:eastAsia="Times New Roman" w:hAnsiTheme="minorHAnsi" w:cstheme="minorHAnsi"/>
                <w:sz w:val="18"/>
                <w:szCs w:val="18"/>
              </w:rPr>
              <w:t>9</w:t>
            </w:r>
            <w:r w:rsidRPr="005379D3">
              <w:rPr>
                <w:rFonts w:asciiTheme="minorHAnsi" w:eastAsia="Times New Roman" w:hAnsiTheme="minorHAnsi" w:cstheme="minorHAnsi"/>
                <w:sz w:val="18"/>
                <w:szCs w:val="18"/>
              </w:rPr>
              <w:t>.</w:t>
            </w:r>
            <w:r>
              <w:rPr>
                <w:rFonts w:asciiTheme="minorHAnsi" w:eastAsia="Times New Roman" w:hAnsiTheme="minorHAnsi" w:cstheme="minorHAnsi"/>
                <w:sz w:val="18"/>
                <w:szCs w:val="18"/>
              </w:rPr>
              <w:t>7:</w:t>
            </w:r>
            <w:r w:rsidRPr="005379D3">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 xml:space="preserve">By December 31, 2026, </w:t>
            </w:r>
            <w:r w:rsidRPr="00196C0C">
              <w:rPr>
                <w:rFonts w:asciiTheme="minorHAnsi" w:eastAsia="Times New Roman" w:hAnsiTheme="minorHAnsi" w:cstheme="minorHAnsi"/>
                <w:sz w:val="18"/>
                <w:szCs w:val="18"/>
              </w:rPr>
              <w:t>BT</w:t>
            </w:r>
            <w:r>
              <w:rPr>
                <w:rFonts w:asciiTheme="minorHAnsi" w:eastAsia="Times New Roman" w:hAnsiTheme="minorHAnsi" w:cstheme="minorHAnsi"/>
                <w:sz w:val="18"/>
                <w:szCs w:val="18"/>
              </w:rPr>
              <w:t>, SIB, and STB</w:t>
            </w:r>
            <w:r w:rsidRPr="00196C0C">
              <w:rPr>
                <w:rFonts w:asciiTheme="minorHAnsi" w:eastAsia="Times New Roman" w:hAnsiTheme="minorHAnsi" w:cstheme="minorHAnsi"/>
                <w:sz w:val="18"/>
                <w:szCs w:val="18"/>
              </w:rPr>
              <w:t xml:space="preserve"> publish on </w:t>
            </w:r>
            <w:r>
              <w:rPr>
                <w:rFonts w:asciiTheme="minorHAnsi" w:eastAsia="Times New Roman" w:hAnsiTheme="minorHAnsi" w:cstheme="minorHAnsi"/>
                <w:sz w:val="18"/>
                <w:szCs w:val="18"/>
              </w:rPr>
              <w:t>their</w:t>
            </w:r>
            <w:r w:rsidRPr="00196C0C">
              <w:rPr>
                <w:rFonts w:asciiTheme="minorHAnsi" w:eastAsia="Times New Roman" w:hAnsiTheme="minorHAnsi" w:cstheme="minorHAnsi"/>
                <w:sz w:val="18"/>
                <w:szCs w:val="18"/>
              </w:rPr>
              <w:t xml:space="preserve"> website</w:t>
            </w:r>
            <w:r>
              <w:rPr>
                <w:rFonts w:asciiTheme="minorHAnsi" w:eastAsia="Times New Roman" w:hAnsiTheme="minorHAnsi" w:cstheme="minorHAnsi"/>
                <w:sz w:val="18"/>
                <w:szCs w:val="18"/>
              </w:rPr>
              <w:t>s</w:t>
            </w:r>
            <w:r w:rsidRPr="00196C0C">
              <w:rPr>
                <w:rFonts w:asciiTheme="minorHAnsi" w:eastAsia="Times New Roman" w:hAnsiTheme="minorHAnsi" w:cstheme="minorHAnsi"/>
                <w:sz w:val="18"/>
                <w:szCs w:val="18"/>
              </w:rPr>
              <w:t xml:space="preserve"> the key quarterly operational data and</w:t>
            </w:r>
            <w:r>
              <w:rPr>
                <w:rFonts w:asciiTheme="minorHAnsi" w:eastAsia="Times New Roman" w:hAnsiTheme="minorHAnsi" w:cstheme="minorHAnsi"/>
                <w:sz w:val="18"/>
                <w:szCs w:val="18"/>
              </w:rPr>
              <w:t xml:space="preserve"> quarterly</w:t>
            </w:r>
            <w:r w:rsidRPr="00196C0C">
              <w:rPr>
                <w:rFonts w:asciiTheme="minorHAnsi" w:eastAsia="Times New Roman" w:hAnsiTheme="minorHAnsi" w:cstheme="minorHAnsi"/>
                <w:sz w:val="18"/>
                <w:szCs w:val="18"/>
              </w:rPr>
              <w:t xml:space="preserve"> un-audit</w:t>
            </w:r>
            <w:r>
              <w:rPr>
                <w:rFonts w:asciiTheme="minorHAnsi" w:eastAsia="Times New Roman" w:hAnsiTheme="minorHAnsi" w:cstheme="minorHAnsi"/>
                <w:sz w:val="18"/>
                <w:szCs w:val="18"/>
              </w:rPr>
              <w:t>ed financial statements for 2025.</w:t>
            </w:r>
          </w:p>
        </w:tc>
        <w:tc>
          <w:tcPr>
            <w:tcW w:w="1350" w:type="dxa"/>
          </w:tcPr>
          <w:p w14:paraId="06E9D579" w14:textId="187048BF" w:rsidR="00D32E85" w:rsidRPr="00D32E85" w:rsidRDefault="00D32E85" w:rsidP="00D32E85">
            <w:pPr>
              <w:rPr>
                <w:rFonts w:asciiTheme="minorHAnsi" w:hAnsiTheme="minorHAnsi" w:cstheme="minorHAnsi"/>
                <w:sz w:val="18"/>
                <w:szCs w:val="18"/>
              </w:rPr>
            </w:pPr>
            <w:r>
              <w:rPr>
                <w:rFonts w:asciiTheme="minorHAnsi" w:hAnsiTheme="minorHAnsi" w:cstheme="minorHAnsi"/>
                <w:sz w:val="18"/>
                <w:szCs w:val="18"/>
              </w:rPr>
              <w:t>US$</w:t>
            </w:r>
            <w:r w:rsidRPr="00D32E85">
              <w:rPr>
                <w:rFonts w:asciiTheme="minorHAnsi" w:hAnsiTheme="minorHAnsi" w:cstheme="minorHAnsi"/>
                <w:sz w:val="18"/>
                <w:szCs w:val="18"/>
              </w:rPr>
              <w:t>50,000</w:t>
            </w:r>
          </w:p>
        </w:tc>
        <w:tc>
          <w:tcPr>
            <w:tcW w:w="990" w:type="dxa"/>
            <w:vAlign w:val="center"/>
          </w:tcPr>
          <w:p w14:paraId="53AF3B3A" w14:textId="6F6DCFCE" w:rsidR="00D32E85" w:rsidRDefault="00D32E85" w:rsidP="00D32E85">
            <w:pPr>
              <w:rPr>
                <w:rFonts w:asciiTheme="minorHAnsi" w:hAnsiTheme="minorHAnsi" w:cstheme="minorHAnsi"/>
                <w:sz w:val="18"/>
                <w:szCs w:val="18"/>
              </w:rPr>
            </w:pPr>
            <w:r>
              <w:rPr>
                <w:rFonts w:asciiTheme="minorHAnsi" w:hAnsiTheme="minorHAnsi" w:cstheme="minorHAnsi"/>
                <w:sz w:val="18"/>
                <w:szCs w:val="18"/>
              </w:rPr>
              <w:t>-</w:t>
            </w:r>
          </w:p>
        </w:tc>
        <w:tc>
          <w:tcPr>
            <w:tcW w:w="1530" w:type="dxa"/>
            <w:vAlign w:val="center"/>
          </w:tcPr>
          <w:p w14:paraId="048009B9" w14:textId="6F85D481" w:rsidR="00D32E85" w:rsidRDefault="00D32E85" w:rsidP="00D32E85">
            <w:pPr>
              <w:rPr>
                <w:rFonts w:asciiTheme="minorHAnsi" w:hAnsiTheme="minorHAnsi" w:cstheme="minorHAnsi"/>
                <w:sz w:val="18"/>
                <w:szCs w:val="18"/>
              </w:rPr>
            </w:pPr>
            <w:r>
              <w:rPr>
                <w:rFonts w:asciiTheme="minorHAnsi" w:hAnsiTheme="minorHAnsi" w:cstheme="minorHAnsi"/>
                <w:sz w:val="18"/>
                <w:szCs w:val="18"/>
              </w:rPr>
              <w:t>Dec. 31, 2026</w:t>
            </w:r>
          </w:p>
        </w:tc>
        <w:tc>
          <w:tcPr>
            <w:tcW w:w="2700" w:type="dxa"/>
          </w:tcPr>
          <w:p w14:paraId="3F01B607" w14:textId="3E99A653" w:rsidR="00D32E85" w:rsidRPr="00196C0C" w:rsidRDefault="00D32E85" w:rsidP="00D32E85">
            <w:pPr>
              <w:pStyle w:val="ListParagraph"/>
              <w:ind w:left="0"/>
              <w:contextualSpacing w:val="0"/>
              <w:rPr>
                <w:rFonts w:asciiTheme="minorHAnsi" w:eastAsia="Times New Roman" w:hAnsiTheme="minorHAnsi" w:cstheme="minorHAnsi"/>
                <w:sz w:val="18"/>
                <w:szCs w:val="18"/>
              </w:rPr>
            </w:pPr>
            <w:r w:rsidRPr="00196C0C">
              <w:rPr>
                <w:rFonts w:asciiTheme="minorHAnsi" w:eastAsia="Times New Roman" w:hAnsiTheme="minorHAnsi" w:cstheme="minorHAnsi"/>
                <w:sz w:val="18"/>
                <w:szCs w:val="18"/>
              </w:rPr>
              <w:t>BT</w:t>
            </w:r>
            <w:r>
              <w:rPr>
                <w:rFonts w:asciiTheme="minorHAnsi" w:eastAsia="Times New Roman" w:hAnsiTheme="minorHAnsi" w:cstheme="minorHAnsi"/>
                <w:sz w:val="18"/>
                <w:szCs w:val="18"/>
              </w:rPr>
              <w:t>, SIB, and STB</w:t>
            </w:r>
            <w:r w:rsidRPr="00196C0C">
              <w:rPr>
                <w:rFonts w:asciiTheme="minorHAnsi" w:eastAsia="Times New Roman" w:hAnsiTheme="minorHAnsi" w:cstheme="minorHAnsi"/>
                <w:sz w:val="18"/>
                <w:szCs w:val="18"/>
              </w:rPr>
              <w:t xml:space="preserve"> publish on </w:t>
            </w:r>
            <w:r>
              <w:rPr>
                <w:rFonts w:asciiTheme="minorHAnsi" w:eastAsia="Times New Roman" w:hAnsiTheme="minorHAnsi" w:cstheme="minorHAnsi"/>
                <w:sz w:val="18"/>
                <w:szCs w:val="18"/>
              </w:rPr>
              <w:t>their</w:t>
            </w:r>
            <w:r w:rsidRPr="00196C0C">
              <w:rPr>
                <w:rFonts w:asciiTheme="minorHAnsi" w:eastAsia="Times New Roman" w:hAnsiTheme="minorHAnsi" w:cstheme="minorHAnsi"/>
                <w:sz w:val="18"/>
                <w:szCs w:val="18"/>
              </w:rPr>
              <w:t xml:space="preserve"> website</w:t>
            </w:r>
            <w:r>
              <w:rPr>
                <w:rFonts w:asciiTheme="minorHAnsi" w:eastAsia="Times New Roman" w:hAnsiTheme="minorHAnsi" w:cstheme="minorHAnsi"/>
                <w:sz w:val="18"/>
                <w:szCs w:val="18"/>
              </w:rPr>
              <w:t>s</w:t>
            </w:r>
            <w:r w:rsidRPr="00196C0C">
              <w:rPr>
                <w:rFonts w:asciiTheme="minorHAnsi" w:eastAsia="Times New Roman" w:hAnsiTheme="minorHAnsi" w:cstheme="minorHAnsi"/>
                <w:sz w:val="18"/>
                <w:szCs w:val="18"/>
              </w:rPr>
              <w:t xml:space="preserve"> the key quarterly operational </w:t>
            </w:r>
            <w:r>
              <w:rPr>
                <w:rFonts w:asciiTheme="minorHAnsi" w:eastAsia="Times New Roman" w:hAnsiTheme="minorHAnsi" w:cstheme="minorHAnsi"/>
                <w:sz w:val="18"/>
                <w:szCs w:val="18"/>
              </w:rPr>
              <w:t>and financial data for 2025.</w:t>
            </w:r>
          </w:p>
        </w:tc>
        <w:tc>
          <w:tcPr>
            <w:tcW w:w="2430" w:type="dxa"/>
            <w:vAlign w:val="center"/>
          </w:tcPr>
          <w:p w14:paraId="3FB110BF" w14:textId="6D697F71" w:rsidR="00D32E85" w:rsidRPr="005379D3" w:rsidRDefault="00D32E85" w:rsidP="00D32E85">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vAlign w:val="center"/>
          </w:tcPr>
          <w:p w14:paraId="06DC3FF0" w14:textId="5F35C363" w:rsidR="00D32E85" w:rsidRPr="005379D3" w:rsidRDefault="00D32E85" w:rsidP="00D32E85">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D32E85" w:rsidRPr="005379D3" w14:paraId="0621BF11" w14:textId="77777777" w:rsidTr="005D3932">
        <w:trPr>
          <w:trHeight w:val="530"/>
        </w:trPr>
        <w:tc>
          <w:tcPr>
            <w:tcW w:w="3127" w:type="dxa"/>
            <w:vAlign w:val="center"/>
          </w:tcPr>
          <w:p w14:paraId="501D30F0" w14:textId="4A4B958A" w:rsidR="00D32E85" w:rsidRPr="005379D3" w:rsidRDefault="00D32E85" w:rsidP="00D32E85">
            <w:pPr>
              <w:ind w:left="-40"/>
              <w:rPr>
                <w:rFonts w:asciiTheme="minorHAnsi" w:eastAsia="Times New Roman" w:hAnsiTheme="minorHAnsi" w:cstheme="minorHAnsi"/>
                <w:sz w:val="18"/>
                <w:szCs w:val="18"/>
              </w:rPr>
            </w:pPr>
            <w:r w:rsidRPr="005379D3">
              <w:rPr>
                <w:rFonts w:asciiTheme="minorHAnsi" w:eastAsia="Times New Roman" w:hAnsiTheme="minorHAnsi" w:cstheme="minorHAnsi"/>
                <w:sz w:val="18"/>
                <w:szCs w:val="18"/>
              </w:rPr>
              <w:t xml:space="preserve">DLR </w:t>
            </w:r>
            <w:r>
              <w:rPr>
                <w:rFonts w:asciiTheme="minorHAnsi" w:eastAsia="Times New Roman" w:hAnsiTheme="minorHAnsi" w:cstheme="minorHAnsi"/>
                <w:sz w:val="18"/>
                <w:szCs w:val="18"/>
              </w:rPr>
              <w:t>9</w:t>
            </w:r>
            <w:r w:rsidRPr="005379D3">
              <w:rPr>
                <w:rFonts w:asciiTheme="minorHAnsi" w:eastAsia="Times New Roman" w:hAnsiTheme="minorHAnsi" w:cstheme="minorHAnsi"/>
                <w:sz w:val="18"/>
                <w:szCs w:val="18"/>
              </w:rPr>
              <w:t>.</w:t>
            </w:r>
            <w:r>
              <w:rPr>
                <w:rFonts w:asciiTheme="minorHAnsi" w:eastAsia="Times New Roman" w:hAnsiTheme="minorHAnsi" w:cstheme="minorHAnsi"/>
                <w:sz w:val="18"/>
                <w:szCs w:val="18"/>
              </w:rPr>
              <w:t>8:</w:t>
            </w:r>
            <w:r w:rsidRPr="005379D3">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 xml:space="preserve">By December 31, 2027, </w:t>
            </w:r>
            <w:r w:rsidRPr="00196C0C">
              <w:rPr>
                <w:rFonts w:asciiTheme="minorHAnsi" w:eastAsia="Times New Roman" w:hAnsiTheme="minorHAnsi" w:cstheme="minorHAnsi"/>
                <w:sz w:val="18"/>
                <w:szCs w:val="18"/>
              </w:rPr>
              <w:t>BT</w:t>
            </w:r>
            <w:r>
              <w:rPr>
                <w:rFonts w:asciiTheme="minorHAnsi" w:eastAsia="Times New Roman" w:hAnsiTheme="minorHAnsi" w:cstheme="minorHAnsi"/>
                <w:sz w:val="18"/>
                <w:szCs w:val="18"/>
              </w:rPr>
              <w:t>, SIB, and STB</w:t>
            </w:r>
            <w:r w:rsidRPr="00196C0C">
              <w:rPr>
                <w:rFonts w:asciiTheme="minorHAnsi" w:eastAsia="Times New Roman" w:hAnsiTheme="minorHAnsi" w:cstheme="minorHAnsi"/>
                <w:sz w:val="18"/>
                <w:szCs w:val="18"/>
              </w:rPr>
              <w:t xml:space="preserve"> publish on </w:t>
            </w:r>
            <w:r>
              <w:rPr>
                <w:rFonts w:asciiTheme="minorHAnsi" w:eastAsia="Times New Roman" w:hAnsiTheme="minorHAnsi" w:cstheme="minorHAnsi"/>
                <w:sz w:val="18"/>
                <w:szCs w:val="18"/>
              </w:rPr>
              <w:t>their</w:t>
            </w:r>
            <w:r w:rsidRPr="00196C0C">
              <w:rPr>
                <w:rFonts w:asciiTheme="minorHAnsi" w:eastAsia="Times New Roman" w:hAnsiTheme="minorHAnsi" w:cstheme="minorHAnsi"/>
                <w:sz w:val="18"/>
                <w:szCs w:val="18"/>
              </w:rPr>
              <w:t xml:space="preserve"> website</w:t>
            </w:r>
            <w:r>
              <w:rPr>
                <w:rFonts w:asciiTheme="minorHAnsi" w:eastAsia="Times New Roman" w:hAnsiTheme="minorHAnsi" w:cstheme="minorHAnsi"/>
                <w:sz w:val="18"/>
                <w:szCs w:val="18"/>
              </w:rPr>
              <w:t>s</w:t>
            </w:r>
            <w:r w:rsidRPr="00196C0C">
              <w:rPr>
                <w:rFonts w:asciiTheme="minorHAnsi" w:eastAsia="Times New Roman" w:hAnsiTheme="minorHAnsi" w:cstheme="minorHAnsi"/>
                <w:sz w:val="18"/>
                <w:szCs w:val="18"/>
              </w:rPr>
              <w:t xml:space="preserve"> the key quarterly operational data and</w:t>
            </w:r>
            <w:r>
              <w:rPr>
                <w:rFonts w:asciiTheme="minorHAnsi" w:eastAsia="Times New Roman" w:hAnsiTheme="minorHAnsi" w:cstheme="minorHAnsi"/>
                <w:sz w:val="18"/>
                <w:szCs w:val="18"/>
              </w:rPr>
              <w:t xml:space="preserve"> quarterly</w:t>
            </w:r>
            <w:r w:rsidRPr="00196C0C">
              <w:rPr>
                <w:rFonts w:asciiTheme="minorHAnsi" w:eastAsia="Times New Roman" w:hAnsiTheme="minorHAnsi" w:cstheme="minorHAnsi"/>
                <w:sz w:val="18"/>
                <w:szCs w:val="18"/>
              </w:rPr>
              <w:t xml:space="preserve"> un-audit</w:t>
            </w:r>
            <w:r>
              <w:rPr>
                <w:rFonts w:asciiTheme="minorHAnsi" w:eastAsia="Times New Roman" w:hAnsiTheme="minorHAnsi" w:cstheme="minorHAnsi"/>
                <w:sz w:val="18"/>
                <w:szCs w:val="18"/>
              </w:rPr>
              <w:t>ed financial statements for 2026.</w:t>
            </w:r>
          </w:p>
        </w:tc>
        <w:tc>
          <w:tcPr>
            <w:tcW w:w="1350" w:type="dxa"/>
          </w:tcPr>
          <w:p w14:paraId="0AEB57CF" w14:textId="7CD5F181" w:rsidR="00D32E85" w:rsidRPr="00D32E85" w:rsidRDefault="00D32E85" w:rsidP="00D32E85">
            <w:pPr>
              <w:rPr>
                <w:rFonts w:asciiTheme="minorHAnsi" w:hAnsiTheme="minorHAnsi" w:cstheme="minorHAnsi"/>
                <w:sz w:val="18"/>
                <w:szCs w:val="18"/>
              </w:rPr>
            </w:pPr>
            <w:r>
              <w:rPr>
                <w:rFonts w:asciiTheme="minorHAnsi" w:hAnsiTheme="minorHAnsi" w:cstheme="minorHAnsi"/>
                <w:sz w:val="18"/>
                <w:szCs w:val="18"/>
              </w:rPr>
              <w:t>US$</w:t>
            </w:r>
            <w:r w:rsidRPr="00D32E85">
              <w:rPr>
                <w:rFonts w:asciiTheme="minorHAnsi" w:hAnsiTheme="minorHAnsi" w:cstheme="minorHAnsi"/>
                <w:sz w:val="18"/>
                <w:szCs w:val="18"/>
              </w:rPr>
              <w:t>50,000</w:t>
            </w:r>
          </w:p>
        </w:tc>
        <w:tc>
          <w:tcPr>
            <w:tcW w:w="990" w:type="dxa"/>
            <w:vAlign w:val="center"/>
          </w:tcPr>
          <w:p w14:paraId="019453E7" w14:textId="6AE12628" w:rsidR="00D32E85" w:rsidRDefault="00D32E85" w:rsidP="00D32E85">
            <w:pPr>
              <w:rPr>
                <w:rFonts w:asciiTheme="minorHAnsi" w:hAnsiTheme="minorHAnsi" w:cstheme="minorHAnsi"/>
                <w:sz w:val="18"/>
                <w:szCs w:val="18"/>
              </w:rPr>
            </w:pPr>
            <w:r>
              <w:rPr>
                <w:rFonts w:asciiTheme="minorHAnsi" w:hAnsiTheme="minorHAnsi" w:cstheme="minorHAnsi"/>
                <w:sz w:val="18"/>
                <w:szCs w:val="18"/>
              </w:rPr>
              <w:t>-</w:t>
            </w:r>
          </w:p>
        </w:tc>
        <w:tc>
          <w:tcPr>
            <w:tcW w:w="1530" w:type="dxa"/>
            <w:vAlign w:val="center"/>
          </w:tcPr>
          <w:p w14:paraId="32638522" w14:textId="0DD5A25B" w:rsidR="00D32E85" w:rsidRDefault="00D32E85" w:rsidP="00D32E85">
            <w:pPr>
              <w:rPr>
                <w:rFonts w:asciiTheme="minorHAnsi" w:hAnsiTheme="minorHAnsi" w:cstheme="minorHAnsi"/>
                <w:sz w:val="18"/>
                <w:szCs w:val="18"/>
              </w:rPr>
            </w:pPr>
            <w:r>
              <w:rPr>
                <w:rFonts w:asciiTheme="minorHAnsi" w:hAnsiTheme="minorHAnsi" w:cstheme="minorHAnsi"/>
                <w:sz w:val="18"/>
                <w:szCs w:val="18"/>
              </w:rPr>
              <w:t>Dec. 31, 2027</w:t>
            </w:r>
          </w:p>
        </w:tc>
        <w:tc>
          <w:tcPr>
            <w:tcW w:w="2700" w:type="dxa"/>
          </w:tcPr>
          <w:p w14:paraId="2EF73661" w14:textId="0890ABFD" w:rsidR="00D32E85" w:rsidRPr="00196C0C" w:rsidRDefault="00D32E85" w:rsidP="00D32E85">
            <w:pPr>
              <w:pStyle w:val="ListParagraph"/>
              <w:ind w:left="0"/>
              <w:contextualSpacing w:val="0"/>
              <w:rPr>
                <w:rFonts w:asciiTheme="minorHAnsi" w:eastAsia="Times New Roman" w:hAnsiTheme="minorHAnsi" w:cstheme="minorHAnsi"/>
                <w:sz w:val="18"/>
                <w:szCs w:val="18"/>
              </w:rPr>
            </w:pPr>
            <w:r w:rsidRPr="00196C0C">
              <w:rPr>
                <w:rFonts w:asciiTheme="minorHAnsi" w:eastAsia="Times New Roman" w:hAnsiTheme="minorHAnsi" w:cstheme="minorHAnsi"/>
                <w:sz w:val="18"/>
                <w:szCs w:val="18"/>
              </w:rPr>
              <w:t>BT</w:t>
            </w:r>
            <w:r>
              <w:rPr>
                <w:rFonts w:asciiTheme="minorHAnsi" w:eastAsia="Times New Roman" w:hAnsiTheme="minorHAnsi" w:cstheme="minorHAnsi"/>
                <w:sz w:val="18"/>
                <w:szCs w:val="18"/>
              </w:rPr>
              <w:t>, SIB, and STB</w:t>
            </w:r>
            <w:r w:rsidRPr="00196C0C">
              <w:rPr>
                <w:rFonts w:asciiTheme="minorHAnsi" w:eastAsia="Times New Roman" w:hAnsiTheme="minorHAnsi" w:cstheme="minorHAnsi"/>
                <w:sz w:val="18"/>
                <w:szCs w:val="18"/>
              </w:rPr>
              <w:t xml:space="preserve"> publish on </w:t>
            </w:r>
            <w:r>
              <w:rPr>
                <w:rFonts w:asciiTheme="minorHAnsi" w:eastAsia="Times New Roman" w:hAnsiTheme="minorHAnsi" w:cstheme="minorHAnsi"/>
                <w:sz w:val="18"/>
                <w:szCs w:val="18"/>
              </w:rPr>
              <w:t>their</w:t>
            </w:r>
            <w:r w:rsidRPr="00196C0C">
              <w:rPr>
                <w:rFonts w:asciiTheme="minorHAnsi" w:eastAsia="Times New Roman" w:hAnsiTheme="minorHAnsi" w:cstheme="minorHAnsi"/>
                <w:sz w:val="18"/>
                <w:szCs w:val="18"/>
              </w:rPr>
              <w:t xml:space="preserve"> website</w:t>
            </w:r>
            <w:r>
              <w:rPr>
                <w:rFonts w:asciiTheme="minorHAnsi" w:eastAsia="Times New Roman" w:hAnsiTheme="minorHAnsi" w:cstheme="minorHAnsi"/>
                <w:sz w:val="18"/>
                <w:szCs w:val="18"/>
              </w:rPr>
              <w:t>s</w:t>
            </w:r>
            <w:r w:rsidRPr="00196C0C">
              <w:rPr>
                <w:rFonts w:asciiTheme="minorHAnsi" w:eastAsia="Times New Roman" w:hAnsiTheme="minorHAnsi" w:cstheme="minorHAnsi"/>
                <w:sz w:val="18"/>
                <w:szCs w:val="18"/>
              </w:rPr>
              <w:t xml:space="preserve"> the key quarterly operational </w:t>
            </w:r>
            <w:r>
              <w:rPr>
                <w:rFonts w:asciiTheme="minorHAnsi" w:eastAsia="Times New Roman" w:hAnsiTheme="minorHAnsi" w:cstheme="minorHAnsi"/>
                <w:sz w:val="18"/>
                <w:szCs w:val="18"/>
              </w:rPr>
              <w:t>and financial data for 2026.</w:t>
            </w:r>
          </w:p>
        </w:tc>
        <w:tc>
          <w:tcPr>
            <w:tcW w:w="2430" w:type="dxa"/>
            <w:vAlign w:val="center"/>
          </w:tcPr>
          <w:p w14:paraId="5CEE0216" w14:textId="1D4EB63C" w:rsidR="00D32E85" w:rsidRPr="005379D3" w:rsidRDefault="00D32E85" w:rsidP="00D32E85">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vAlign w:val="center"/>
          </w:tcPr>
          <w:p w14:paraId="31D2FC31" w14:textId="5E330004" w:rsidR="00D32E85" w:rsidRPr="005379D3" w:rsidRDefault="00D32E85" w:rsidP="00D32E85">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D32E85" w:rsidRPr="005379D3" w14:paraId="4E8AE275" w14:textId="77777777" w:rsidTr="005D3932">
        <w:trPr>
          <w:trHeight w:val="530"/>
        </w:trPr>
        <w:tc>
          <w:tcPr>
            <w:tcW w:w="3127" w:type="dxa"/>
            <w:vAlign w:val="center"/>
          </w:tcPr>
          <w:p w14:paraId="0DE9A408" w14:textId="2AC8B2C4" w:rsidR="00D32E85" w:rsidRPr="005379D3" w:rsidRDefault="00D32E85" w:rsidP="00D32E85">
            <w:pPr>
              <w:ind w:left="-40"/>
              <w:rPr>
                <w:rFonts w:asciiTheme="minorHAnsi" w:eastAsia="Times New Roman" w:hAnsiTheme="minorHAnsi" w:cstheme="minorHAnsi"/>
                <w:sz w:val="18"/>
                <w:szCs w:val="18"/>
              </w:rPr>
            </w:pPr>
            <w:r w:rsidRPr="005379D3">
              <w:rPr>
                <w:rFonts w:asciiTheme="minorHAnsi" w:eastAsia="Times New Roman" w:hAnsiTheme="minorHAnsi" w:cstheme="minorHAnsi"/>
                <w:sz w:val="18"/>
                <w:szCs w:val="18"/>
              </w:rPr>
              <w:t xml:space="preserve">DLR </w:t>
            </w:r>
            <w:r>
              <w:rPr>
                <w:rFonts w:asciiTheme="minorHAnsi" w:eastAsia="Times New Roman" w:hAnsiTheme="minorHAnsi" w:cstheme="minorHAnsi"/>
                <w:sz w:val="18"/>
                <w:szCs w:val="18"/>
              </w:rPr>
              <w:t>9</w:t>
            </w:r>
            <w:r w:rsidRPr="005379D3">
              <w:rPr>
                <w:rFonts w:asciiTheme="minorHAnsi" w:eastAsia="Times New Roman" w:hAnsiTheme="minorHAnsi" w:cstheme="minorHAnsi"/>
                <w:sz w:val="18"/>
                <w:szCs w:val="18"/>
              </w:rPr>
              <w:t>.</w:t>
            </w:r>
            <w:r>
              <w:rPr>
                <w:rFonts w:asciiTheme="minorHAnsi" w:eastAsia="Times New Roman" w:hAnsiTheme="minorHAnsi" w:cstheme="minorHAnsi"/>
                <w:sz w:val="18"/>
                <w:szCs w:val="18"/>
              </w:rPr>
              <w:t>9:</w:t>
            </w:r>
            <w:r w:rsidRPr="005379D3">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 xml:space="preserve">By December 31, 2028, </w:t>
            </w:r>
            <w:r w:rsidRPr="00196C0C">
              <w:rPr>
                <w:rFonts w:asciiTheme="minorHAnsi" w:eastAsia="Times New Roman" w:hAnsiTheme="minorHAnsi" w:cstheme="minorHAnsi"/>
                <w:sz w:val="18"/>
                <w:szCs w:val="18"/>
              </w:rPr>
              <w:t>BT</w:t>
            </w:r>
            <w:r>
              <w:rPr>
                <w:rFonts w:asciiTheme="minorHAnsi" w:eastAsia="Times New Roman" w:hAnsiTheme="minorHAnsi" w:cstheme="minorHAnsi"/>
                <w:sz w:val="18"/>
                <w:szCs w:val="18"/>
              </w:rPr>
              <w:t>, SIB, and STB</w:t>
            </w:r>
            <w:r w:rsidRPr="00196C0C">
              <w:rPr>
                <w:rFonts w:asciiTheme="minorHAnsi" w:eastAsia="Times New Roman" w:hAnsiTheme="minorHAnsi" w:cstheme="minorHAnsi"/>
                <w:sz w:val="18"/>
                <w:szCs w:val="18"/>
              </w:rPr>
              <w:t xml:space="preserve"> publish on </w:t>
            </w:r>
            <w:r>
              <w:rPr>
                <w:rFonts w:asciiTheme="minorHAnsi" w:eastAsia="Times New Roman" w:hAnsiTheme="minorHAnsi" w:cstheme="minorHAnsi"/>
                <w:sz w:val="18"/>
                <w:szCs w:val="18"/>
              </w:rPr>
              <w:t>their</w:t>
            </w:r>
            <w:r w:rsidRPr="00196C0C">
              <w:rPr>
                <w:rFonts w:asciiTheme="minorHAnsi" w:eastAsia="Times New Roman" w:hAnsiTheme="minorHAnsi" w:cstheme="minorHAnsi"/>
                <w:sz w:val="18"/>
                <w:szCs w:val="18"/>
              </w:rPr>
              <w:t xml:space="preserve"> website</w:t>
            </w:r>
            <w:r>
              <w:rPr>
                <w:rFonts w:asciiTheme="minorHAnsi" w:eastAsia="Times New Roman" w:hAnsiTheme="minorHAnsi" w:cstheme="minorHAnsi"/>
                <w:sz w:val="18"/>
                <w:szCs w:val="18"/>
              </w:rPr>
              <w:t>s</w:t>
            </w:r>
            <w:r w:rsidRPr="00196C0C">
              <w:rPr>
                <w:rFonts w:asciiTheme="minorHAnsi" w:eastAsia="Times New Roman" w:hAnsiTheme="minorHAnsi" w:cstheme="minorHAnsi"/>
                <w:sz w:val="18"/>
                <w:szCs w:val="18"/>
              </w:rPr>
              <w:t xml:space="preserve"> the key quarterly operational data and</w:t>
            </w:r>
            <w:r>
              <w:rPr>
                <w:rFonts w:asciiTheme="minorHAnsi" w:eastAsia="Times New Roman" w:hAnsiTheme="minorHAnsi" w:cstheme="minorHAnsi"/>
                <w:sz w:val="18"/>
                <w:szCs w:val="18"/>
              </w:rPr>
              <w:t xml:space="preserve"> quarterly</w:t>
            </w:r>
            <w:r w:rsidRPr="00196C0C">
              <w:rPr>
                <w:rFonts w:asciiTheme="minorHAnsi" w:eastAsia="Times New Roman" w:hAnsiTheme="minorHAnsi" w:cstheme="minorHAnsi"/>
                <w:sz w:val="18"/>
                <w:szCs w:val="18"/>
              </w:rPr>
              <w:t xml:space="preserve"> un-audit</w:t>
            </w:r>
            <w:r>
              <w:rPr>
                <w:rFonts w:asciiTheme="minorHAnsi" w:eastAsia="Times New Roman" w:hAnsiTheme="minorHAnsi" w:cstheme="minorHAnsi"/>
                <w:sz w:val="18"/>
                <w:szCs w:val="18"/>
              </w:rPr>
              <w:t>ed financial statements for 2027.</w:t>
            </w:r>
          </w:p>
        </w:tc>
        <w:tc>
          <w:tcPr>
            <w:tcW w:w="1350" w:type="dxa"/>
          </w:tcPr>
          <w:p w14:paraId="57467D9A" w14:textId="30A04691" w:rsidR="00D32E85" w:rsidRPr="00D32E85" w:rsidRDefault="00D32E85" w:rsidP="00D32E85">
            <w:pPr>
              <w:rPr>
                <w:rFonts w:asciiTheme="minorHAnsi" w:hAnsiTheme="minorHAnsi" w:cstheme="minorHAnsi"/>
                <w:sz w:val="18"/>
                <w:szCs w:val="18"/>
              </w:rPr>
            </w:pPr>
            <w:r>
              <w:rPr>
                <w:rFonts w:asciiTheme="minorHAnsi" w:hAnsiTheme="minorHAnsi" w:cstheme="minorHAnsi"/>
                <w:sz w:val="18"/>
                <w:szCs w:val="18"/>
              </w:rPr>
              <w:t>US$</w:t>
            </w:r>
            <w:r w:rsidRPr="00D32E85">
              <w:rPr>
                <w:rFonts w:asciiTheme="minorHAnsi" w:hAnsiTheme="minorHAnsi" w:cstheme="minorHAnsi"/>
                <w:sz w:val="18"/>
                <w:szCs w:val="18"/>
              </w:rPr>
              <w:t>50,000</w:t>
            </w:r>
          </w:p>
        </w:tc>
        <w:tc>
          <w:tcPr>
            <w:tcW w:w="990" w:type="dxa"/>
            <w:vAlign w:val="center"/>
          </w:tcPr>
          <w:p w14:paraId="464D6DB6" w14:textId="63B1322A" w:rsidR="00D32E85" w:rsidRDefault="00D32E85" w:rsidP="00D32E85">
            <w:pPr>
              <w:rPr>
                <w:rFonts w:asciiTheme="minorHAnsi" w:hAnsiTheme="minorHAnsi" w:cstheme="minorHAnsi"/>
                <w:sz w:val="18"/>
                <w:szCs w:val="18"/>
              </w:rPr>
            </w:pPr>
            <w:r>
              <w:rPr>
                <w:rFonts w:asciiTheme="minorHAnsi" w:hAnsiTheme="minorHAnsi" w:cstheme="minorHAnsi"/>
                <w:sz w:val="18"/>
                <w:szCs w:val="18"/>
              </w:rPr>
              <w:t>-</w:t>
            </w:r>
          </w:p>
        </w:tc>
        <w:tc>
          <w:tcPr>
            <w:tcW w:w="1530" w:type="dxa"/>
            <w:vAlign w:val="center"/>
          </w:tcPr>
          <w:p w14:paraId="2376C71F" w14:textId="4EBDFE19" w:rsidR="00D32E85" w:rsidRDefault="00D32E85" w:rsidP="00D32E85">
            <w:pPr>
              <w:rPr>
                <w:rFonts w:asciiTheme="minorHAnsi" w:hAnsiTheme="minorHAnsi" w:cstheme="minorHAnsi"/>
                <w:sz w:val="18"/>
                <w:szCs w:val="18"/>
              </w:rPr>
            </w:pPr>
            <w:r>
              <w:rPr>
                <w:rFonts w:asciiTheme="minorHAnsi" w:hAnsiTheme="minorHAnsi" w:cstheme="minorHAnsi"/>
                <w:sz w:val="18"/>
                <w:szCs w:val="18"/>
              </w:rPr>
              <w:t>Dec. 31, 2028</w:t>
            </w:r>
          </w:p>
        </w:tc>
        <w:tc>
          <w:tcPr>
            <w:tcW w:w="2700" w:type="dxa"/>
          </w:tcPr>
          <w:p w14:paraId="1EC1A83C" w14:textId="1C57ED02" w:rsidR="00D32E85" w:rsidRPr="00196C0C" w:rsidRDefault="00D32E85" w:rsidP="00D32E85">
            <w:pPr>
              <w:pStyle w:val="ListParagraph"/>
              <w:ind w:left="0"/>
              <w:contextualSpacing w:val="0"/>
              <w:rPr>
                <w:rFonts w:asciiTheme="minorHAnsi" w:eastAsia="Times New Roman" w:hAnsiTheme="minorHAnsi" w:cstheme="minorHAnsi"/>
                <w:sz w:val="18"/>
                <w:szCs w:val="18"/>
              </w:rPr>
            </w:pPr>
            <w:r w:rsidRPr="00196C0C">
              <w:rPr>
                <w:rFonts w:asciiTheme="minorHAnsi" w:eastAsia="Times New Roman" w:hAnsiTheme="minorHAnsi" w:cstheme="minorHAnsi"/>
                <w:sz w:val="18"/>
                <w:szCs w:val="18"/>
              </w:rPr>
              <w:t>BT</w:t>
            </w:r>
            <w:r>
              <w:rPr>
                <w:rFonts w:asciiTheme="minorHAnsi" w:eastAsia="Times New Roman" w:hAnsiTheme="minorHAnsi" w:cstheme="minorHAnsi"/>
                <w:sz w:val="18"/>
                <w:szCs w:val="18"/>
              </w:rPr>
              <w:t>, SIB, and STB</w:t>
            </w:r>
            <w:r w:rsidRPr="00196C0C">
              <w:rPr>
                <w:rFonts w:asciiTheme="minorHAnsi" w:eastAsia="Times New Roman" w:hAnsiTheme="minorHAnsi" w:cstheme="minorHAnsi"/>
                <w:sz w:val="18"/>
                <w:szCs w:val="18"/>
              </w:rPr>
              <w:t xml:space="preserve"> publish on </w:t>
            </w:r>
            <w:r>
              <w:rPr>
                <w:rFonts w:asciiTheme="minorHAnsi" w:eastAsia="Times New Roman" w:hAnsiTheme="minorHAnsi" w:cstheme="minorHAnsi"/>
                <w:sz w:val="18"/>
                <w:szCs w:val="18"/>
              </w:rPr>
              <w:t>their</w:t>
            </w:r>
            <w:r w:rsidRPr="00196C0C">
              <w:rPr>
                <w:rFonts w:asciiTheme="minorHAnsi" w:eastAsia="Times New Roman" w:hAnsiTheme="minorHAnsi" w:cstheme="minorHAnsi"/>
                <w:sz w:val="18"/>
                <w:szCs w:val="18"/>
              </w:rPr>
              <w:t xml:space="preserve"> website</w:t>
            </w:r>
            <w:r>
              <w:rPr>
                <w:rFonts w:asciiTheme="minorHAnsi" w:eastAsia="Times New Roman" w:hAnsiTheme="minorHAnsi" w:cstheme="minorHAnsi"/>
                <w:sz w:val="18"/>
                <w:szCs w:val="18"/>
              </w:rPr>
              <w:t>s</w:t>
            </w:r>
            <w:r w:rsidRPr="00196C0C">
              <w:rPr>
                <w:rFonts w:asciiTheme="minorHAnsi" w:eastAsia="Times New Roman" w:hAnsiTheme="minorHAnsi" w:cstheme="minorHAnsi"/>
                <w:sz w:val="18"/>
                <w:szCs w:val="18"/>
              </w:rPr>
              <w:t xml:space="preserve"> the key quarterly operational </w:t>
            </w:r>
            <w:r>
              <w:rPr>
                <w:rFonts w:asciiTheme="minorHAnsi" w:eastAsia="Times New Roman" w:hAnsiTheme="minorHAnsi" w:cstheme="minorHAnsi"/>
                <w:sz w:val="18"/>
                <w:szCs w:val="18"/>
              </w:rPr>
              <w:t>and financial data for 2027.</w:t>
            </w:r>
          </w:p>
        </w:tc>
        <w:tc>
          <w:tcPr>
            <w:tcW w:w="2430" w:type="dxa"/>
            <w:vAlign w:val="center"/>
          </w:tcPr>
          <w:p w14:paraId="065FD394" w14:textId="641818CE" w:rsidR="00D32E85" w:rsidRPr="005379D3" w:rsidRDefault="00D32E85" w:rsidP="00D32E85">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vAlign w:val="center"/>
          </w:tcPr>
          <w:p w14:paraId="254476B6" w14:textId="4A04C8F9" w:rsidR="00D32E85" w:rsidRPr="005379D3" w:rsidRDefault="00D32E85" w:rsidP="00D32E85">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D32E85" w:rsidRPr="005379D3" w14:paraId="45B75C5C" w14:textId="77777777" w:rsidTr="00654A7A">
        <w:trPr>
          <w:trHeight w:val="530"/>
        </w:trPr>
        <w:tc>
          <w:tcPr>
            <w:tcW w:w="3127" w:type="dxa"/>
          </w:tcPr>
          <w:p w14:paraId="27FBC38B" w14:textId="2186F047" w:rsidR="00D32E85" w:rsidRPr="005379D3" w:rsidRDefault="00D32E85" w:rsidP="00D32E85">
            <w:pPr>
              <w:ind w:left="-40"/>
              <w:rPr>
                <w:rFonts w:asciiTheme="minorHAnsi" w:eastAsia="Times New Roman" w:hAnsiTheme="minorHAnsi" w:cstheme="minorHAnsi"/>
                <w:sz w:val="18"/>
                <w:szCs w:val="18"/>
              </w:rPr>
            </w:pPr>
            <w:r w:rsidRPr="005379D3">
              <w:rPr>
                <w:rFonts w:asciiTheme="minorHAnsi" w:eastAsia="Times New Roman" w:hAnsiTheme="minorHAnsi" w:cstheme="minorHAnsi"/>
                <w:sz w:val="18"/>
                <w:szCs w:val="18"/>
              </w:rPr>
              <w:t xml:space="preserve">DLR </w:t>
            </w:r>
            <w:r>
              <w:rPr>
                <w:rFonts w:asciiTheme="minorHAnsi" w:eastAsia="Times New Roman" w:hAnsiTheme="minorHAnsi" w:cstheme="minorHAnsi"/>
                <w:sz w:val="18"/>
                <w:szCs w:val="18"/>
              </w:rPr>
              <w:t>9</w:t>
            </w:r>
            <w:r w:rsidRPr="005379D3">
              <w:rPr>
                <w:rFonts w:asciiTheme="minorHAnsi" w:eastAsia="Times New Roman" w:hAnsiTheme="minorHAnsi" w:cstheme="minorHAnsi"/>
                <w:sz w:val="18"/>
                <w:szCs w:val="18"/>
              </w:rPr>
              <w:t>.</w:t>
            </w:r>
            <w:r>
              <w:rPr>
                <w:rFonts w:asciiTheme="minorHAnsi" w:eastAsia="Times New Roman" w:hAnsiTheme="minorHAnsi" w:cstheme="minorHAnsi"/>
                <w:sz w:val="18"/>
                <w:szCs w:val="18"/>
              </w:rPr>
              <w:t>10:</w:t>
            </w:r>
            <w:r w:rsidRPr="005379D3">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 xml:space="preserve">By December 31, 2029, </w:t>
            </w:r>
            <w:r w:rsidRPr="00196C0C">
              <w:rPr>
                <w:rFonts w:asciiTheme="minorHAnsi" w:eastAsia="Times New Roman" w:hAnsiTheme="minorHAnsi" w:cstheme="minorHAnsi"/>
                <w:sz w:val="18"/>
                <w:szCs w:val="18"/>
              </w:rPr>
              <w:t>BT</w:t>
            </w:r>
            <w:r>
              <w:rPr>
                <w:rFonts w:asciiTheme="minorHAnsi" w:eastAsia="Times New Roman" w:hAnsiTheme="minorHAnsi" w:cstheme="minorHAnsi"/>
                <w:sz w:val="18"/>
                <w:szCs w:val="18"/>
              </w:rPr>
              <w:t>, SIB, and STB</w:t>
            </w:r>
            <w:r w:rsidRPr="00196C0C">
              <w:rPr>
                <w:rFonts w:asciiTheme="minorHAnsi" w:eastAsia="Times New Roman" w:hAnsiTheme="minorHAnsi" w:cstheme="minorHAnsi"/>
                <w:sz w:val="18"/>
                <w:szCs w:val="18"/>
              </w:rPr>
              <w:t xml:space="preserve"> publish on </w:t>
            </w:r>
            <w:r>
              <w:rPr>
                <w:rFonts w:asciiTheme="minorHAnsi" w:eastAsia="Times New Roman" w:hAnsiTheme="minorHAnsi" w:cstheme="minorHAnsi"/>
                <w:sz w:val="18"/>
                <w:szCs w:val="18"/>
              </w:rPr>
              <w:t>their</w:t>
            </w:r>
            <w:r w:rsidRPr="00196C0C">
              <w:rPr>
                <w:rFonts w:asciiTheme="minorHAnsi" w:eastAsia="Times New Roman" w:hAnsiTheme="minorHAnsi" w:cstheme="minorHAnsi"/>
                <w:sz w:val="18"/>
                <w:szCs w:val="18"/>
              </w:rPr>
              <w:t xml:space="preserve"> website</w:t>
            </w:r>
            <w:r>
              <w:rPr>
                <w:rFonts w:asciiTheme="minorHAnsi" w:eastAsia="Times New Roman" w:hAnsiTheme="minorHAnsi" w:cstheme="minorHAnsi"/>
                <w:sz w:val="18"/>
                <w:szCs w:val="18"/>
              </w:rPr>
              <w:t>s</w:t>
            </w:r>
            <w:r w:rsidRPr="00196C0C">
              <w:rPr>
                <w:rFonts w:asciiTheme="minorHAnsi" w:eastAsia="Times New Roman" w:hAnsiTheme="minorHAnsi" w:cstheme="minorHAnsi"/>
                <w:sz w:val="18"/>
                <w:szCs w:val="18"/>
              </w:rPr>
              <w:t xml:space="preserve"> the key quarterly operational data and</w:t>
            </w:r>
            <w:r>
              <w:rPr>
                <w:rFonts w:asciiTheme="minorHAnsi" w:eastAsia="Times New Roman" w:hAnsiTheme="minorHAnsi" w:cstheme="minorHAnsi"/>
                <w:sz w:val="18"/>
                <w:szCs w:val="18"/>
              </w:rPr>
              <w:t xml:space="preserve"> quarterly</w:t>
            </w:r>
            <w:r w:rsidRPr="00196C0C">
              <w:rPr>
                <w:rFonts w:asciiTheme="minorHAnsi" w:eastAsia="Times New Roman" w:hAnsiTheme="minorHAnsi" w:cstheme="minorHAnsi"/>
                <w:sz w:val="18"/>
                <w:szCs w:val="18"/>
              </w:rPr>
              <w:t xml:space="preserve"> un-audit</w:t>
            </w:r>
            <w:r>
              <w:rPr>
                <w:rFonts w:asciiTheme="minorHAnsi" w:eastAsia="Times New Roman" w:hAnsiTheme="minorHAnsi" w:cstheme="minorHAnsi"/>
                <w:sz w:val="18"/>
                <w:szCs w:val="18"/>
              </w:rPr>
              <w:t>ed financial statements for 2028.</w:t>
            </w:r>
          </w:p>
        </w:tc>
        <w:tc>
          <w:tcPr>
            <w:tcW w:w="1350" w:type="dxa"/>
          </w:tcPr>
          <w:p w14:paraId="00898531" w14:textId="421E9745" w:rsidR="00D32E85" w:rsidRPr="00D32E85" w:rsidRDefault="00D32E85" w:rsidP="00D32E85">
            <w:pPr>
              <w:rPr>
                <w:rFonts w:asciiTheme="minorHAnsi" w:hAnsiTheme="minorHAnsi" w:cstheme="minorHAnsi"/>
                <w:sz w:val="18"/>
                <w:szCs w:val="18"/>
              </w:rPr>
            </w:pPr>
            <w:r>
              <w:rPr>
                <w:rFonts w:asciiTheme="minorHAnsi" w:hAnsiTheme="minorHAnsi" w:cstheme="minorHAnsi"/>
                <w:sz w:val="18"/>
                <w:szCs w:val="18"/>
              </w:rPr>
              <w:t>US$</w:t>
            </w:r>
            <w:r w:rsidRPr="00D32E85">
              <w:rPr>
                <w:rFonts w:asciiTheme="minorHAnsi" w:hAnsiTheme="minorHAnsi" w:cstheme="minorHAnsi"/>
                <w:sz w:val="18"/>
                <w:szCs w:val="18"/>
              </w:rPr>
              <w:t>50,000</w:t>
            </w:r>
          </w:p>
        </w:tc>
        <w:tc>
          <w:tcPr>
            <w:tcW w:w="990" w:type="dxa"/>
          </w:tcPr>
          <w:p w14:paraId="36C7462C" w14:textId="762F93BC" w:rsidR="00D32E85" w:rsidRDefault="00D32E85" w:rsidP="00D32E85">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15DBE79F" w14:textId="2D60A43C" w:rsidR="00D32E85" w:rsidRDefault="00D32E85" w:rsidP="00D32E85">
            <w:pPr>
              <w:rPr>
                <w:rFonts w:asciiTheme="minorHAnsi" w:hAnsiTheme="minorHAnsi" w:cstheme="minorHAnsi"/>
                <w:sz w:val="18"/>
                <w:szCs w:val="18"/>
              </w:rPr>
            </w:pPr>
            <w:r>
              <w:rPr>
                <w:rFonts w:asciiTheme="minorHAnsi" w:hAnsiTheme="minorHAnsi" w:cstheme="minorHAnsi"/>
                <w:sz w:val="18"/>
                <w:szCs w:val="18"/>
              </w:rPr>
              <w:t>Dec. 31, 2029</w:t>
            </w:r>
          </w:p>
        </w:tc>
        <w:tc>
          <w:tcPr>
            <w:tcW w:w="2700" w:type="dxa"/>
          </w:tcPr>
          <w:p w14:paraId="30517157" w14:textId="1370CE2B" w:rsidR="00D32E85" w:rsidRPr="00196C0C" w:rsidRDefault="00D32E85" w:rsidP="00D32E85">
            <w:pPr>
              <w:pStyle w:val="ListParagraph"/>
              <w:ind w:left="0"/>
              <w:contextualSpacing w:val="0"/>
              <w:rPr>
                <w:rFonts w:asciiTheme="minorHAnsi" w:eastAsia="Times New Roman" w:hAnsiTheme="minorHAnsi" w:cstheme="minorHAnsi"/>
                <w:sz w:val="18"/>
                <w:szCs w:val="18"/>
              </w:rPr>
            </w:pPr>
            <w:r w:rsidRPr="00196C0C">
              <w:rPr>
                <w:rFonts w:asciiTheme="minorHAnsi" w:eastAsia="Times New Roman" w:hAnsiTheme="minorHAnsi" w:cstheme="minorHAnsi"/>
                <w:sz w:val="18"/>
                <w:szCs w:val="18"/>
              </w:rPr>
              <w:t>BT</w:t>
            </w:r>
            <w:r>
              <w:rPr>
                <w:rFonts w:asciiTheme="minorHAnsi" w:eastAsia="Times New Roman" w:hAnsiTheme="minorHAnsi" w:cstheme="minorHAnsi"/>
                <w:sz w:val="18"/>
                <w:szCs w:val="18"/>
              </w:rPr>
              <w:t>, SIB, and STB</w:t>
            </w:r>
            <w:r w:rsidRPr="00196C0C">
              <w:rPr>
                <w:rFonts w:asciiTheme="minorHAnsi" w:eastAsia="Times New Roman" w:hAnsiTheme="minorHAnsi" w:cstheme="minorHAnsi"/>
                <w:sz w:val="18"/>
                <w:szCs w:val="18"/>
              </w:rPr>
              <w:t xml:space="preserve"> publish on </w:t>
            </w:r>
            <w:r>
              <w:rPr>
                <w:rFonts w:asciiTheme="minorHAnsi" w:eastAsia="Times New Roman" w:hAnsiTheme="minorHAnsi" w:cstheme="minorHAnsi"/>
                <w:sz w:val="18"/>
                <w:szCs w:val="18"/>
              </w:rPr>
              <w:t>their</w:t>
            </w:r>
            <w:r w:rsidRPr="00196C0C">
              <w:rPr>
                <w:rFonts w:asciiTheme="minorHAnsi" w:eastAsia="Times New Roman" w:hAnsiTheme="minorHAnsi" w:cstheme="minorHAnsi"/>
                <w:sz w:val="18"/>
                <w:szCs w:val="18"/>
              </w:rPr>
              <w:t xml:space="preserve"> website</w:t>
            </w:r>
            <w:r>
              <w:rPr>
                <w:rFonts w:asciiTheme="minorHAnsi" w:eastAsia="Times New Roman" w:hAnsiTheme="minorHAnsi" w:cstheme="minorHAnsi"/>
                <w:sz w:val="18"/>
                <w:szCs w:val="18"/>
              </w:rPr>
              <w:t>s</w:t>
            </w:r>
            <w:r w:rsidRPr="00196C0C">
              <w:rPr>
                <w:rFonts w:asciiTheme="minorHAnsi" w:eastAsia="Times New Roman" w:hAnsiTheme="minorHAnsi" w:cstheme="minorHAnsi"/>
                <w:sz w:val="18"/>
                <w:szCs w:val="18"/>
              </w:rPr>
              <w:t xml:space="preserve"> the key quarterly operational </w:t>
            </w:r>
            <w:r>
              <w:rPr>
                <w:rFonts w:asciiTheme="minorHAnsi" w:eastAsia="Times New Roman" w:hAnsiTheme="minorHAnsi" w:cstheme="minorHAnsi"/>
                <w:sz w:val="18"/>
                <w:szCs w:val="18"/>
              </w:rPr>
              <w:t>and financial data for 2028.</w:t>
            </w:r>
          </w:p>
        </w:tc>
        <w:tc>
          <w:tcPr>
            <w:tcW w:w="2430" w:type="dxa"/>
          </w:tcPr>
          <w:p w14:paraId="3F75E162" w14:textId="15440DA6" w:rsidR="00D32E85" w:rsidRPr="005379D3" w:rsidRDefault="00D32E85" w:rsidP="00D32E85">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28545115" w14:textId="00B7CCAF" w:rsidR="00D32E85" w:rsidRPr="005379D3" w:rsidRDefault="00D32E85" w:rsidP="00D32E85">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D32E85" w:rsidRPr="005379D3" w14:paraId="1DD9D0B2" w14:textId="77777777" w:rsidTr="00654A7A">
        <w:trPr>
          <w:trHeight w:val="530"/>
        </w:trPr>
        <w:tc>
          <w:tcPr>
            <w:tcW w:w="3127" w:type="dxa"/>
          </w:tcPr>
          <w:p w14:paraId="7BA8A026" w14:textId="796FA05C" w:rsidR="00D32E85" w:rsidRPr="005379D3" w:rsidRDefault="00D32E85" w:rsidP="00D32E85">
            <w:pPr>
              <w:ind w:left="-40"/>
              <w:rPr>
                <w:rFonts w:asciiTheme="minorHAnsi" w:eastAsia="Times New Roman" w:hAnsiTheme="minorHAnsi" w:cstheme="minorHAnsi"/>
                <w:sz w:val="18"/>
                <w:szCs w:val="18"/>
              </w:rPr>
            </w:pPr>
            <w:r w:rsidRPr="005379D3">
              <w:rPr>
                <w:rFonts w:asciiTheme="minorHAnsi" w:eastAsia="Times New Roman" w:hAnsiTheme="minorHAnsi" w:cstheme="minorHAnsi"/>
                <w:sz w:val="18"/>
                <w:szCs w:val="18"/>
              </w:rPr>
              <w:t xml:space="preserve">DLR </w:t>
            </w:r>
            <w:r>
              <w:rPr>
                <w:rFonts w:asciiTheme="minorHAnsi" w:eastAsia="Times New Roman" w:hAnsiTheme="minorHAnsi" w:cstheme="minorHAnsi"/>
                <w:sz w:val="18"/>
                <w:szCs w:val="18"/>
              </w:rPr>
              <w:t>9</w:t>
            </w:r>
            <w:r w:rsidRPr="005379D3">
              <w:rPr>
                <w:rFonts w:asciiTheme="minorHAnsi" w:eastAsia="Times New Roman" w:hAnsiTheme="minorHAnsi" w:cstheme="minorHAnsi"/>
                <w:sz w:val="18"/>
                <w:szCs w:val="18"/>
              </w:rPr>
              <w:t>.</w:t>
            </w:r>
            <w:r>
              <w:rPr>
                <w:rFonts w:asciiTheme="minorHAnsi" w:eastAsia="Times New Roman" w:hAnsiTheme="minorHAnsi" w:cstheme="minorHAnsi"/>
                <w:sz w:val="18"/>
                <w:szCs w:val="18"/>
              </w:rPr>
              <w:t>10:</w:t>
            </w:r>
            <w:r w:rsidRPr="005379D3">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 xml:space="preserve">By December 31, 2030, </w:t>
            </w:r>
            <w:r w:rsidRPr="00196C0C">
              <w:rPr>
                <w:rFonts w:asciiTheme="minorHAnsi" w:eastAsia="Times New Roman" w:hAnsiTheme="minorHAnsi" w:cstheme="minorHAnsi"/>
                <w:sz w:val="18"/>
                <w:szCs w:val="18"/>
              </w:rPr>
              <w:t>BT</w:t>
            </w:r>
            <w:r>
              <w:rPr>
                <w:rFonts w:asciiTheme="minorHAnsi" w:eastAsia="Times New Roman" w:hAnsiTheme="minorHAnsi" w:cstheme="minorHAnsi"/>
                <w:sz w:val="18"/>
                <w:szCs w:val="18"/>
              </w:rPr>
              <w:t>, SIB, and STB</w:t>
            </w:r>
            <w:r w:rsidRPr="00196C0C">
              <w:rPr>
                <w:rFonts w:asciiTheme="minorHAnsi" w:eastAsia="Times New Roman" w:hAnsiTheme="minorHAnsi" w:cstheme="minorHAnsi"/>
                <w:sz w:val="18"/>
                <w:szCs w:val="18"/>
              </w:rPr>
              <w:t xml:space="preserve"> publish on </w:t>
            </w:r>
            <w:r>
              <w:rPr>
                <w:rFonts w:asciiTheme="minorHAnsi" w:eastAsia="Times New Roman" w:hAnsiTheme="minorHAnsi" w:cstheme="minorHAnsi"/>
                <w:sz w:val="18"/>
                <w:szCs w:val="18"/>
              </w:rPr>
              <w:t>their</w:t>
            </w:r>
            <w:r w:rsidRPr="00196C0C">
              <w:rPr>
                <w:rFonts w:asciiTheme="minorHAnsi" w:eastAsia="Times New Roman" w:hAnsiTheme="minorHAnsi" w:cstheme="minorHAnsi"/>
                <w:sz w:val="18"/>
                <w:szCs w:val="18"/>
              </w:rPr>
              <w:t xml:space="preserve"> website</w:t>
            </w:r>
            <w:r>
              <w:rPr>
                <w:rFonts w:asciiTheme="minorHAnsi" w:eastAsia="Times New Roman" w:hAnsiTheme="minorHAnsi" w:cstheme="minorHAnsi"/>
                <w:sz w:val="18"/>
                <w:szCs w:val="18"/>
              </w:rPr>
              <w:t>s</w:t>
            </w:r>
            <w:r w:rsidRPr="00196C0C">
              <w:rPr>
                <w:rFonts w:asciiTheme="minorHAnsi" w:eastAsia="Times New Roman" w:hAnsiTheme="minorHAnsi" w:cstheme="minorHAnsi"/>
                <w:sz w:val="18"/>
                <w:szCs w:val="18"/>
              </w:rPr>
              <w:t xml:space="preserve"> the key quarterly operational data and</w:t>
            </w:r>
            <w:r>
              <w:rPr>
                <w:rFonts w:asciiTheme="minorHAnsi" w:eastAsia="Times New Roman" w:hAnsiTheme="minorHAnsi" w:cstheme="minorHAnsi"/>
                <w:sz w:val="18"/>
                <w:szCs w:val="18"/>
              </w:rPr>
              <w:t xml:space="preserve"> quarterly</w:t>
            </w:r>
            <w:r w:rsidRPr="00196C0C">
              <w:rPr>
                <w:rFonts w:asciiTheme="minorHAnsi" w:eastAsia="Times New Roman" w:hAnsiTheme="minorHAnsi" w:cstheme="minorHAnsi"/>
                <w:sz w:val="18"/>
                <w:szCs w:val="18"/>
              </w:rPr>
              <w:t xml:space="preserve"> un-audit</w:t>
            </w:r>
            <w:r>
              <w:rPr>
                <w:rFonts w:asciiTheme="minorHAnsi" w:eastAsia="Times New Roman" w:hAnsiTheme="minorHAnsi" w:cstheme="minorHAnsi"/>
                <w:sz w:val="18"/>
                <w:szCs w:val="18"/>
              </w:rPr>
              <w:t xml:space="preserve">ed financial </w:t>
            </w:r>
            <w:r>
              <w:rPr>
                <w:rFonts w:asciiTheme="minorHAnsi" w:eastAsia="Times New Roman" w:hAnsiTheme="minorHAnsi" w:cstheme="minorHAnsi"/>
                <w:sz w:val="18"/>
                <w:szCs w:val="18"/>
              </w:rPr>
              <w:lastRenderedPageBreak/>
              <w:t>statements for 2029.</w:t>
            </w:r>
          </w:p>
        </w:tc>
        <w:tc>
          <w:tcPr>
            <w:tcW w:w="1350" w:type="dxa"/>
          </w:tcPr>
          <w:p w14:paraId="0F14C413" w14:textId="77D709D9" w:rsidR="00D32E85" w:rsidRPr="00D32E85" w:rsidRDefault="00D32E85" w:rsidP="00D32E85">
            <w:pPr>
              <w:rPr>
                <w:rFonts w:asciiTheme="minorHAnsi" w:hAnsiTheme="minorHAnsi" w:cstheme="minorHAnsi"/>
                <w:sz w:val="18"/>
                <w:szCs w:val="18"/>
              </w:rPr>
            </w:pPr>
            <w:r>
              <w:rPr>
                <w:rFonts w:asciiTheme="minorHAnsi" w:hAnsiTheme="minorHAnsi" w:cstheme="minorHAnsi"/>
                <w:sz w:val="18"/>
                <w:szCs w:val="18"/>
              </w:rPr>
              <w:lastRenderedPageBreak/>
              <w:t>US$</w:t>
            </w:r>
            <w:r w:rsidRPr="00D32E85">
              <w:rPr>
                <w:rFonts w:asciiTheme="minorHAnsi" w:hAnsiTheme="minorHAnsi" w:cstheme="minorHAnsi"/>
                <w:sz w:val="18"/>
                <w:szCs w:val="18"/>
              </w:rPr>
              <w:t>50,000</w:t>
            </w:r>
          </w:p>
        </w:tc>
        <w:tc>
          <w:tcPr>
            <w:tcW w:w="990" w:type="dxa"/>
          </w:tcPr>
          <w:p w14:paraId="2AB2C088" w14:textId="6929E439" w:rsidR="00D32E85" w:rsidRDefault="00D32E85" w:rsidP="00D32E85">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2690DAA7" w14:textId="692D004A" w:rsidR="00D32E85" w:rsidRDefault="00D32E85" w:rsidP="00D32E85">
            <w:pPr>
              <w:rPr>
                <w:rFonts w:asciiTheme="minorHAnsi" w:hAnsiTheme="minorHAnsi" w:cstheme="minorHAnsi"/>
                <w:sz w:val="18"/>
                <w:szCs w:val="18"/>
              </w:rPr>
            </w:pPr>
            <w:r>
              <w:rPr>
                <w:rFonts w:asciiTheme="minorHAnsi" w:hAnsiTheme="minorHAnsi" w:cstheme="minorHAnsi"/>
                <w:sz w:val="18"/>
                <w:szCs w:val="18"/>
              </w:rPr>
              <w:t>Dec. 31, 2030</w:t>
            </w:r>
          </w:p>
        </w:tc>
        <w:tc>
          <w:tcPr>
            <w:tcW w:w="2700" w:type="dxa"/>
          </w:tcPr>
          <w:p w14:paraId="1E2109D1" w14:textId="7C548DCA" w:rsidR="00D32E85" w:rsidRPr="00196C0C" w:rsidRDefault="00D32E85" w:rsidP="00D32E85">
            <w:pPr>
              <w:pStyle w:val="ListParagraph"/>
              <w:ind w:left="0"/>
              <w:contextualSpacing w:val="0"/>
              <w:rPr>
                <w:rFonts w:asciiTheme="minorHAnsi" w:eastAsia="Times New Roman" w:hAnsiTheme="minorHAnsi" w:cstheme="minorHAnsi"/>
                <w:sz w:val="18"/>
                <w:szCs w:val="18"/>
              </w:rPr>
            </w:pPr>
            <w:r w:rsidRPr="00196C0C">
              <w:rPr>
                <w:rFonts w:asciiTheme="minorHAnsi" w:eastAsia="Times New Roman" w:hAnsiTheme="minorHAnsi" w:cstheme="minorHAnsi"/>
                <w:sz w:val="18"/>
                <w:szCs w:val="18"/>
              </w:rPr>
              <w:t>BT</w:t>
            </w:r>
            <w:r>
              <w:rPr>
                <w:rFonts w:asciiTheme="minorHAnsi" w:eastAsia="Times New Roman" w:hAnsiTheme="minorHAnsi" w:cstheme="minorHAnsi"/>
                <w:sz w:val="18"/>
                <w:szCs w:val="18"/>
              </w:rPr>
              <w:t>, SIB, and STB</w:t>
            </w:r>
            <w:r w:rsidRPr="00196C0C">
              <w:rPr>
                <w:rFonts w:asciiTheme="minorHAnsi" w:eastAsia="Times New Roman" w:hAnsiTheme="minorHAnsi" w:cstheme="minorHAnsi"/>
                <w:sz w:val="18"/>
                <w:szCs w:val="18"/>
              </w:rPr>
              <w:t xml:space="preserve"> publish on </w:t>
            </w:r>
            <w:r>
              <w:rPr>
                <w:rFonts w:asciiTheme="minorHAnsi" w:eastAsia="Times New Roman" w:hAnsiTheme="minorHAnsi" w:cstheme="minorHAnsi"/>
                <w:sz w:val="18"/>
                <w:szCs w:val="18"/>
              </w:rPr>
              <w:t>their</w:t>
            </w:r>
            <w:r w:rsidRPr="00196C0C">
              <w:rPr>
                <w:rFonts w:asciiTheme="minorHAnsi" w:eastAsia="Times New Roman" w:hAnsiTheme="minorHAnsi" w:cstheme="minorHAnsi"/>
                <w:sz w:val="18"/>
                <w:szCs w:val="18"/>
              </w:rPr>
              <w:t xml:space="preserve"> website</w:t>
            </w:r>
            <w:r>
              <w:rPr>
                <w:rFonts w:asciiTheme="minorHAnsi" w:eastAsia="Times New Roman" w:hAnsiTheme="minorHAnsi" w:cstheme="minorHAnsi"/>
                <w:sz w:val="18"/>
                <w:szCs w:val="18"/>
              </w:rPr>
              <w:t>s</w:t>
            </w:r>
            <w:r w:rsidRPr="00196C0C">
              <w:rPr>
                <w:rFonts w:asciiTheme="minorHAnsi" w:eastAsia="Times New Roman" w:hAnsiTheme="minorHAnsi" w:cstheme="minorHAnsi"/>
                <w:sz w:val="18"/>
                <w:szCs w:val="18"/>
              </w:rPr>
              <w:t xml:space="preserve"> the key quarterly operational </w:t>
            </w:r>
            <w:r>
              <w:rPr>
                <w:rFonts w:asciiTheme="minorHAnsi" w:eastAsia="Times New Roman" w:hAnsiTheme="minorHAnsi" w:cstheme="minorHAnsi"/>
                <w:sz w:val="18"/>
                <w:szCs w:val="18"/>
              </w:rPr>
              <w:t>and financial data for 2029.</w:t>
            </w:r>
          </w:p>
        </w:tc>
        <w:tc>
          <w:tcPr>
            <w:tcW w:w="2430" w:type="dxa"/>
          </w:tcPr>
          <w:p w14:paraId="748265E6" w14:textId="44614EBD" w:rsidR="00D32E85" w:rsidRPr="005379D3" w:rsidRDefault="00D32E85" w:rsidP="00D32E85">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498C13A1" w14:textId="463D47A4" w:rsidR="00D32E85" w:rsidRPr="005379D3" w:rsidRDefault="00D32E85" w:rsidP="00D32E85">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w:t>
            </w:r>
            <w:r w:rsidRPr="005379D3">
              <w:rPr>
                <w:rFonts w:asciiTheme="minorHAnsi" w:hAnsiTheme="minorHAnsi" w:cstheme="minorHAnsi"/>
                <w:sz w:val="18"/>
                <w:szCs w:val="18"/>
              </w:rPr>
              <w:lastRenderedPageBreak/>
              <w:t>compliance.</w:t>
            </w:r>
          </w:p>
        </w:tc>
      </w:tr>
      <w:tr w:rsidR="00D32E85" w:rsidRPr="005379D3" w14:paraId="05C532B2" w14:textId="77777777" w:rsidTr="001D2776">
        <w:trPr>
          <w:trHeight w:val="530"/>
        </w:trPr>
        <w:tc>
          <w:tcPr>
            <w:tcW w:w="3127" w:type="dxa"/>
          </w:tcPr>
          <w:p w14:paraId="4FFB5AA3" w14:textId="0329DC5F" w:rsidR="00D32E85" w:rsidRPr="00B33FDE" w:rsidRDefault="00D32E85" w:rsidP="00D32E85">
            <w:pPr>
              <w:ind w:left="-40"/>
              <w:rPr>
                <w:rFonts w:asciiTheme="minorHAnsi" w:eastAsia="Times New Roman" w:hAnsiTheme="minorHAnsi" w:cstheme="minorHAnsi"/>
                <w:b/>
                <w:bCs/>
                <w:sz w:val="18"/>
                <w:szCs w:val="18"/>
              </w:rPr>
            </w:pPr>
            <w:r w:rsidRPr="00B33FDE">
              <w:rPr>
                <w:rFonts w:asciiTheme="minorHAnsi" w:eastAsia="Times New Roman" w:hAnsiTheme="minorHAnsi" w:cstheme="minorHAnsi"/>
                <w:b/>
                <w:bCs/>
                <w:sz w:val="18"/>
                <w:szCs w:val="18"/>
              </w:rPr>
              <w:lastRenderedPageBreak/>
              <w:t>DLI 10: Reduction of electricity sector costs</w:t>
            </w:r>
          </w:p>
        </w:tc>
        <w:tc>
          <w:tcPr>
            <w:tcW w:w="1350" w:type="dxa"/>
          </w:tcPr>
          <w:p w14:paraId="78D0F9BA" w14:textId="28C9A1E3" w:rsidR="00D32E85" w:rsidRPr="00460C28" w:rsidRDefault="00D32E85" w:rsidP="00D32E85">
            <w:pPr>
              <w:rPr>
                <w:rFonts w:asciiTheme="minorHAnsi" w:hAnsiTheme="minorHAnsi" w:cstheme="minorHAnsi"/>
                <w:b/>
                <w:bCs/>
                <w:sz w:val="18"/>
                <w:szCs w:val="18"/>
              </w:rPr>
            </w:pPr>
            <w:r w:rsidRPr="00460C28">
              <w:rPr>
                <w:rFonts w:asciiTheme="minorHAnsi" w:hAnsiTheme="minorHAnsi" w:cstheme="minorHAnsi"/>
                <w:b/>
                <w:bCs/>
                <w:sz w:val="18"/>
                <w:szCs w:val="18"/>
              </w:rPr>
              <w:t>US$</w:t>
            </w:r>
            <w:r w:rsidR="00715957">
              <w:rPr>
                <w:rFonts w:asciiTheme="minorHAnsi" w:hAnsiTheme="minorHAnsi" w:cstheme="minorHAnsi"/>
                <w:b/>
                <w:bCs/>
                <w:sz w:val="18"/>
                <w:szCs w:val="18"/>
              </w:rPr>
              <w:t>19</w:t>
            </w:r>
            <w:r w:rsidRPr="00460C28">
              <w:rPr>
                <w:rFonts w:asciiTheme="minorHAnsi" w:hAnsiTheme="minorHAnsi" w:cstheme="minorHAnsi"/>
                <w:b/>
                <w:bCs/>
                <w:sz w:val="18"/>
                <w:szCs w:val="18"/>
              </w:rPr>
              <w:t>,000,000</w:t>
            </w:r>
          </w:p>
        </w:tc>
        <w:tc>
          <w:tcPr>
            <w:tcW w:w="990" w:type="dxa"/>
          </w:tcPr>
          <w:p w14:paraId="04093E99" w14:textId="77777777" w:rsidR="00D32E85" w:rsidRDefault="00D32E85" w:rsidP="00D32E85">
            <w:pPr>
              <w:rPr>
                <w:rFonts w:asciiTheme="minorHAnsi" w:hAnsiTheme="minorHAnsi" w:cstheme="minorHAnsi"/>
                <w:sz w:val="18"/>
                <w:szCs w:val="18"/>
              </w:rPr>
            </w:pPr>
          </w:p>
        </w:tc>
        <w:tc>
          <w:tcPr>
            <w:tcW w:w="1530" w:type="dxa"/>
          </w:tcPr>
          <w:p w14:paraId="71B327F4" w14:textId="77777777" w:rsidR="00D32E85" w:rsidRDefault="00D32E85" w:rsidP="00D32E85">
            <w:pPr>
              <w:rPr>
                <w:rFonts w:asciiTheme="minorHAnsi" w:hAnsiTheme="minorHAnsi" w:cstheme="minorHAnsi"/>
                <w:sz w:val="18"/>
                <w:szCs w:val="18"/>
              </w:rPr>
            </w:pPr>
          </w:p>
        </w:tc>
        <w:tc>
          <w:tcPr>
            <w:tcW w:w="2700" w:type="dxa"/>
          </w:tcPr>
          <w:p w14:paraId="0110BA93" w14:textId="77777777" w:rsidR="00D32E85" w:rsidRPr="00196C0C" w:rsidRDefault="00D32E85" w:rsidP="00D32E85">
            <w:pPr>
              <w:pStyle w:val="ListParagraph"/>
              <w:ind w:left="0"/>
              <w:contextualSpacing w:val="0"/>
              <w:rPr>
                <w:rFonts w:asciiTheme="minorHAnsi" w:eastAsia="Times New Roman" w:hAnsiTheme="minorHAnsi" w:cstheme="minorHAnsi"/>
                <w:sz w:val="18"/>
                <w:szCs w:val="18"/>
              </w:rPr>
            </w:pPr>
          </w:p>
        </w:tc>
        <w:tc>
          <w:tcPr>
            <w:tcW w:w="2430" w:type="dxa"/>
          </w:tcPr>
          <w:p w14:paraId="79D2417C" w14:textId="77777777" w:rsidR="00D32E85" w:rsidRPr="005379D3" w:rsidRDefault="00D32E85" w:rsidP="00D32E85">
            <w:pPr>
              <w:rPr>
                <w:rFonts w:asciiTheme="minorHAnsi" w:hAnsiTheme="minorHAnsi" w:cstheme="minorHAnsi"/>
                <w:sz w:val="18"/>
                <w:szCs w:val="18"/>
              </w:rPr>
            </w:pPr>
          </w:p>
        </w:tc>
        <w:tc>
          <w:tcPr>
            <w:tcW w:w="2340" w:type="dxa"/>
          </w:tcPr>
          <w:p w14:paraId="12273912" w14:textId="77777777" w:rsidR="00D32E85" w:rsidRPr="005379D3" w:rsidRDefault="00D32E85" w:rsidP="00D32E85">
            <w:pPr>
              <w:rPr>
                <w:rFonts w:asciiTheme="minorHAnsi" w:hAnsiTheme="minorHAnsi" w:cstheme="minorHAnsi"/>
                <w:sz w:val="18"/>
                <w:szCs w:val="18"/>
              </w:rPr>
            </w:pPr>
          </w:p>
        </w:tc>
      </w:tr>
      <w:tr w:rsidR="00715957" w:rsidRPr="00F71066" w14:paraId="663168E9" w14:textId="77777777" w:rsidTr="001D2776">
        <w:trPr>
          <w:trHeight w:val="530"/>
        </w:trPr>
        <w:tc>
          <w:tcPr>
            <w:tcW w:w="3127" w:type="dxa"/>
          </w:tcPr>
          <w:p w14:paraId="01790250" w14:textId="41B5C937" w:rsidR="00715957" w:rsidRPr="00F33C53" w:rsidRDefault="00715957" w:rsidP="00715957">
            <w:pPr>
              <w:ind w:left="-40"/>
              <w:rPr>
                <w:rFonts w:asciiTheme="minorHAnsi" w:eastAsia="Times New Roman" w:hAnsiTheme="minorHAnsi" w:cstheme="minorHAnsi"/>
                <w:sz w:val="18"/>
                <w:szCs w:val="18"/>
              </w:rPr>
            </w:pPr>
            <w:r w:rsidRPr="00F33C53">
              <w:rPr>
                <w:rFonts w:asciiTheme="minorHAnsi" w:hAnsiTheme="minorHAnsi" w:cstheme="minorHAnsi"/>
                <w:sz w:val="18"/>
                <w:szCs w:val="18"/>
              </w:rPr>
              <w:t>DLR 10.1: By December 31, 2022, (a) BT purchases fuel oil through international competitive process; and (b) BT’s stock of fuel oil does not exceed the level required for emergency supply of heat</w:t>
            </w:r>
          </w:p>
        </w:tc>
        <w:tc>
          <w:tcPr>
            <w:tcW w:w="1350" w:type="dxa"/>
          </w:tcPr>
          <w:p w14:paraId="1A5A605A" w14:textId="2DD4C0A7" w:rsidR="00715957" w:rsidRPr="00715957" w:rsidRDefault="00715957" w:rsidP="00715957">
            <w:pPr>
              <w:rPr>
                <w:rFonts w:asciiTheme="minorHAnsi" w:hAnsiTheme="minorHAnsi" w:cstheme="minorHAnsi"/>
                <w:sz w:val="18"/>
                <w:szCs w:val="18"/>
              </w:rPr>
            </w:pPr>
            <w:r>
              <w:rPr>
                <w:rFonts w:asciiTheme="minorHAnsi" w:hAnsiTheme="minorHAnsi" w:cstheme="minorHAnsi"/>
                <w:sz w:val="18"/>
                <w:szCs w:val="18"/>
              </w:rPr>
              <w:t>US$</w:t>
            </w:r>
            <w:r w:rsidRPr="00715957">
              <w:rPr>
                <w:rFonts w:asciiTheme="minorHAnsi" w:hAnsiTheme="minorHAnsi" w:cstheme="minorHAnsi"/>
                <w:sz w:val="18"/>
                <w:szCs w:val="18"/>
              </w:rPr>
              <w:t>7,000,000</w:t>
            </w:r>
          </w:p>
        </w:tc>
        <w:tc>
          <w:tcPr>
            <w:tcW w:w="990" w:type="dxa"/>
          </w:tcPr>
          <w:p w14:paraId="182F1366" w14:textId="53A93276" w:rsidR="00715957" w:rsidRPr="00F71066" w:rsidRDefault="00715957" w:rsidP="00715957">
            <w:pPr>
              <w:rPr>
                <w:rFonts w:asciiTheme="minorHAnsi" w:hAnsiTheme="minorHAnsi" w:cstheme="minorHAnsi"/>
                <w:sz w:val="18"/>
                <w:szCs w:val="18"/>
              </w:rPr>
            </w:pPr>
            <w:r w:rsidRPr="00F71066">
              <w:rPr>
                <w:rFonts w:asciiTheme="minorHAnsi" w:hAnsiTheme="minorHAnsi" w:cstheme="minorHAnsi"/>
                <w:sz w:val="18"/>
                <w:szCs w:val="18"/>
              </w:rPr>
              <w:t>-</w:t>
            </w:r>
          </w:p>
        </w:tc>
        <w:tc>
          <w:tcPr>
            <w:tcW w:w="1530" w:type="dxa"/>
          </w:tcPr>
          <w:p w14:paraId="6107DF98" w14:textId="3031842C" w:rsidR="00715957" w:rsidRPr="00F71066" w:rsidRDefault="00715957" w:rsidP="00715957">
            <w:pPr>
              <w:rPr>
                <w:rFonts w:asciiTheme="minorHAnsi" w:hAnsiTheme="minorHAnsi" w:cstheme="minorHAnsi"/>
                <w:sz w:val="18"/>
                <w:szCs w:val="18"/>
              </w:rPr>
            </w:pPr>
            <w:r w:rsidRPr="00F71066">
              <w:rPr>
                <w:rFonts w:asciiTheme="minorHAnsi" w:hAnsiTheme="minorHAnsi" w:cstheme="minorHAnsi"/>
                <w:sz w:val="18"/>
                <w:szCs w:val="18"/>
              </w:rPr>
              <w:t>Dec. 31, 2022</w:t>
            </w:r>
          </w:p>
        </w:tc>
        <w:tc>
          <w:tcPr>
            <w:tcW w:w="2700" w:type="dxa"/>
          </w:tcPr>
          <w:p w14:paraId="0619C0DF" w14:textId="30A500E1" w:rsidR="00715957" w:rsidRPr="00F71066" w:rsidRDefault="00715957" w:rsidP="00715957">
            <w:pPr>
              <w:pStyle w:val="ListParagraph"/>
              <w:ind w:left="0"/>
              <w:contextualSpacing w:val="0"/>
              <w:rPr>
                <w:rFonts w:asciiTheme="minorHAnsi" w:eastAsia="Times New Roman" w:hAnsiTheme="minorHAnsi" w:cstheme="minorHAnsi"/>
                <w:sz w:val="18"/>
                <w:szCs w:val="18"/>
              </w:rPr>
            </w:pPr>
            <w:r>
              <w:rPr>
                <w:rFonts w:asciiTheme="minorHAnsi" w:eastAsia="Times New Roman" w:hAnsiTheme="minorHAnsi" w:cstheme="minorHAnsi"/>
                <w:sz w:val="18"/>
                <w:szCs w:val="18"/>
              </w:rPr>
              <w:t>BT discontinues fuel purchases for thermal generation.</w:t>
            </w:r>
          </w:p>
        </w:tc>
        <w:tc>
          <w:tcPr>
            <w:tcW w:w="2430" w:type="dxa"/>
          </w:tcPr>
          <w:p w14:paraId="2508E35C" w14:textId="1140BA88" w:rsidR="00715957" w:rsidRPr="00F71066" w:rsidRDefault="00715957" w:rsidP="00715957">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61070AAD" w14:textId="168C8A64" w:rsidR="00715957" w:rsidRPr="00F71066" w:rsidRDefault="00715957" w:rsidP="00715957">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715957" w:rsidRPr="00F71066" w14:paraId="09C0AEB9" w14:textId="77777777" w:rsidTr="001D2776">
        <w:trPr>
          <w:trHeight w:val="1061"/>
        </w:trPr>
        <w:tc>
          <w:tcPr>
            <w:tcW w:w="3127" w:type="dxa"/>
          </w:tcPr>
          <w:p w14:paraId="10BCB48F" w14:textId="75F51CD1" w:rsidR="00715957" w:rsidRPr="00F33C53" w:rsidRDefault="00715957" w:rsidP="00715957">
            <w:pPr>
              <w:widowControl/>
              <w:autoSpaceDE/>
              <w:autoSpaceDN/>
              <w:adjustRightInd/>
              <w:ind w:left="-37"/>
              <w:rPr>
                <w:rFonts w:asciiTheme="minorHAnsi" w:hAnsiTheme="minorHAnsi" w:cstheme="minorHAnsi"/>
                <w:sz w:val="18"/>
                <w:szCs w:val="18"/>
              </w:rPr>
            </w:pPr>
            <w:r w:rsidRPr="00F33C53">
              <w:rPr>
                <w:rFonts w:asciiTheme="minorHAnsi" w:hAnsiTheme="minorHAnsi" w:cstheme="minorHAnsi"/>
                <w:sz w:val="18"/>
                <w:szCs w:val="18"/>
              </w:rPr>
              <w:t>DLR 10.2: By December 31, 2023, (a) BT purchases fuel oil through international competitive process; (b) BT’s stock of fuel oil does not exceed the level required for emergency supply of heat; and (</w:t>
            </w:r>
            <w:r w:rsidRPr="00F33C53">
              <w:rPr>
                <w:rFonts w:asciiTheme="minorHAnsi" w:hAnsiTheme="minorHAnsi" w:cstheme="minorHAnsi"/>
                <w:b/>
                <w:bCs/>
                <w:sz w:val="18"/>
                <w:szCs w:val="18"/>
              </w:rPr>
              <w:t>c</w:t>
            </w:r>
            <w:r w:rsidRPr="00F33C53">
              <w:rPr>
                <w:rFonts w:asciiTheme="minorHAnsi" w:hAnsiTheme="minorHAnsi" w:cstheme="minorHAnsi"/>
                <w:sz w:val="18"/>
                <w:szCs w:val="18"/>
              </w:rPr>
              <w:t>) BT, SIB and STB reduce the costs of materials, services, and fixed asset maintenance by at least fifteen (15) percent, five (5) percent, and ten (10) percent each compared to the same costs in 2022</w:t>
            </w:r>
          </w:p>
        </w:tc>
        <w:tc>
          <w:tcPr>
            <w:tcW w:w="1350" w:type="dxa"/>
          </w:tcPr>
          <w:p w14:paraId="32678C9F" w14:textId="07EA63F9" w:rsidR="00715957" w:rsidRPr="00715957" w:rsidRDefault="00715957" w:rsidP="00715957">
            <w:pPr>
              <w:rPr>
                <w:rFonts w:asciiTheme="minorHAnsi" w:hAnsiTheme="minorHAnsi" w:cstheme="minorHAnsi"/>
                <w:sz w:val="18"/>
                <w:szCs w:val="18"/>
              </w:rPr>
            </w:pPr>
            <w:r>
              <w:rPr>
                <w:rFonts w:asciiTheme="minorHAnsi" w:hAnsiTheme="minorHAnsi" w:cstheme="minorHAnsi"/>
                <w:sz w:val="18"/>
                <w:szCs w:val="18"/>
              </w:rPr>
              <w:t>US$</w:t>
            </w:r>
            <w:r w:rsidRPr="00715957">
              <w:rPr>
                <w:rFonts w:asciiTheme="minorHAnsi" w:hAnsiTheme="minorHAnsi" w:cstheme="minorHAnsi"/>
                <w:sz w:val="18"/>
                <w:szCs w:val="18"/>
              </w:rPr>
              <w:t>7,000,000</w:t>
            </w:r>
          </w:p>
        </w:tc>
        <w:tc>
          <w:tcPr>
            <w:tcW w:w="990" w:type="dxa"/>
          </w:tcPr>
          <w:p w14:paraId="498A6BDB" w14:textId="6CFFE44D" w:rsidR="00715957" w:rsidRPr="00F71066" w:rsidRDefault="00715957" w:rsidP="00715957">
            <w:pPr>
              <w:rPr>
                <w:rFonts w:asciiTheme="minorHAnsi" w:hAnsiTheme="minorHAnsi" w:cstheme="minorHAnsi"/>
                <w:sz w:val="18"/>
                <w:szCs w:val="18"/>
              </w:rPr>
            </w:pPr>
            <w:r w:rsidRPr="00F71066">
              <w:rPr>
                <w:rFonts w:asciiTheme="minorHAnsi" w:hAnsiTheme="minorHAnsi" w:cstheme="minorHAnsi"/>
                <w:sz w:val="18"/>
                <w:szCs w:val="18"/>
              </w:rPr>
              <w:t>-</w:t>
            </w:r>
          </w:p>
        </w:tc>
        <w:tc>
          <w:tcPr>
            <w:tcW w:w="1530" w:type="dxa"/>
          </w:tcPr>
          <w:p w14:paraId="5E587DF5" w14:textId="4EA8BA4F" w:rsidR="00715957" w:rsidRPr="00F71066" w:rsidRDefault="00715957" w:rsidP="00715957">
            <w:pPr>
              <w:rPr>
                <w:rFonts w:asciiTheme="minorHAnsi" w:hAnsiTheme="minorHAnsi" w:cstheme="minorHAnsi"/>
                <w:sz w:val="18"/>
                <w:szCs w:val="18"/>
              </w:rPr>
            </w:pPr>
            <w:r w:rsidRPr="00F71066">
              <w:rPr>
                <w:rFonts w:asciiTheme="minorHAnsi" w:hAnsiTheme="minorHAnsi" w:cstheme="minorHAnsi"/>
                <w:sz w:val="18"/>
                <w:szCs w:val="18"/>
              </w:rPr>
              <w:t>Dec. 31, 2023</w:t>
            </w:r>
          </w:p>
        </w:tc>
        <w:tc>
          <w:tcPr>
            <w:tcW w:w="2700" w:type="dxa"/>
          </w:tcPr>
          <w:p w14:paraId="03E51233" w14:textId="222FE701" w:rsidR="00715957" w:rsidRPr="00F71066" w:rsidRDefault="00715957" w:rsidP="00715957">
            <w:pPr>
              <w:pStyle w:val="ListParagraph"/>
              <w:ind w:left="0"/>
              <w:contextualSpacing w:val="0"/>
              <w:rPr>
                <w:rFonts w:asciiTheme="minorHAnsi" w:eastAsia="Times New Roman" w:hAnsiTheme="minorHAnsi" w:cstheme="minorHAnsi"/>
                <w:sz w:val="18"/>
                <w:szCs w:val="18"/>
              </w:rPr>
            </w:pPr>
            <w:r>
              <w:rPr>
                <w:rFonts w:asciiTheme="minorHAnsi" w:eastAsia="Times New Roman" w:hAnsiTheme="minorHAnsi" w:cstheme="minorHAnsi"/>
                <w:sz w:val="18"/>
                <w:szCs w:val="18"/>
              </w:rPr>
              <w:t>5 percent reduction of each of the cost items mentioned.</w:t>
            </w:r>
          </w:p>
        </w:tc>
        <w:tc>
          <w:tcPr>
            <w:tcW w:w="2430" w:type="dxa"/>
          </w:tcPr>
          <w:p w14:paraId="05F7DB1D" w14:textId="3A7F06B4" w:rsidR="00715957" w:rsidRPr="00F71066" w:rsidRDefault="00715957" w:rsidP="00715957">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109D9DF0" w14:textId="37FDD63E" w:rsidR="00715957" w:rsidRPr="00F71066" w:rsidRDefault="00715957" w:rsidP="00715957">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715957" w:rsidRPr="005379D3" w14:paraId="4A7937DD" w14:textId="77777777" w:rsidTr="001D2776">
        <w:trPr>
          <w:trHeight w:val="530"/>
        </w:trPr>
        <w:tc>
          <w:tcPr>
            <w:tcW w:w="3127" w:type="dxa"/>
          </w:tcPr>
          <w:p w14:paraId="11FF78F2" w14:textId="575F75F6" w:rsidR="00715957" w:rsidRPr="00F33C53" w:rsidRDefault="00715957" w:rsidP="00715957">
            <w:pPr>
              <w:pStyle w:val="BodyText"/>
              <w:ind w:left="-40"/>
              <w:rPr>
                <w:rFonts w:asciiTheme="minorHAnsi" w:hAnsiTheme="minorHAnsi" w:cstheme="minorHAnsi"/>
                <w:b w:val="0"/>
                <w:bCs w:val="0"/>
                <w:sz w:val="18"/>
                <w:szCs w:val="18"/>
              </w:rPr>
            </w:pPr>
            <w:r w:rsidRPr="00F33C53">
              <w:rPr>
                <w:rFonts w:asciiTheme="minorHAnsi" w:hAnsiTheme="minorHAnsi" w:cstheme="minorHAnsi"/>
                <w:b w:val="0"/>
                <w:bCs w:val="0"/>
                <w:sz w:val="18"/>
                <w:szCs w:val="18"/>
              </w:rPr>
              <w:t>DLR 10.3: By December 31, 2024, (a) BT purchases fuel oil through international competitive process; (b) BT’s stock of fuel oil does not exceed the level required for emergency supply of heat; and (c) the costs of materials</w:t>
            </w:r>
            <w:r w:rsidRPr="00F33C53">
              <w:rPr>
                <w:rFonts w:asciiTheme="minorHAnsi" w:hAnsiTheme="minorHAnsi" w:cstheme="minorHAnsi"/>
                <w:sz w:val="18"/>
                <w:szCs w:val="18"/>
              </w:rPr>
              <w:t>,</w:t>
            </w:r>
            <w:r w:rsidRPr="00F33C53">
              <w:rPr>
                <w:rFonts w:asciiTheme="minorHAnsi" w:hAnsiTheme="minorHAnsi" w:cstheme="minorHAnsi"/>
                <w:b w:val="0"/>
                <w:bCs w:val="0"/>
                <w:sz w:val="18"/>
                <w:szCs w:val="18"/>
              </w:rPr>
              <w:t xml:space="preserve"> services, and fixed asset maintenance of BT, SIB, and STB do not exceed their respective 2023 levels adjusted by the annual 2024 inflation</w:t>
            </w:r>
          </w:p>
        </w:tc>
        <w:tc>
          <w:tcPr>
            <w:tcW w:w="1350" w:type="dxa"/>
          </w:tcPr>
          <w:p w14:paraId="10CF8700" w14:textId="1701D16C" w:rsidR="00715957" w:rsidRPr="00715957" w:rsidRDefault="00715957" w:rsidP="00715957">
            <w:pPr>
              <w:rPr>
                <w:rFonts w:asciiTheme="minorHAnsi" w:hAnsiTheme="minorHAnsi" w:cstheme="minorHAnsi"/>
                <w:sz w:val="18"/>
                <w:szCs w:val="18"/>
              </w:rPr>
            </w:pPr>
            <w:r>
              <w:rPr>
                <w:rFonts w:asciiTheme="minorHAnsi" w:hAnsiTheme="minorHAnsi" w:cstheme="minorHAnsi"/>
                <w:sz w:val="18"/>
                <w:szCs w:val="18"/>
              </w:rPr>
              <w:t>US$</w:t>
            </w:r>
            <w:r w:rsidRPr="00715957">
              <w:rPr>
                <w:rFonts w:asciiTheme="minorHAnsi" w:hAnsiTheme="minorHAnsi" w:cstheme="minorHAnsi"/>
                <w:sz w:val="18"/>
                <w:szCs w:val="18"/>
              </w:rPr>
              <w:t>1,000,000</w:t>
            </w:r>
          </w:p>
        </w:tc>
        <w:tc>
          <w:tcPr>
            <w:tcW w:w="990" w:type="dxa"/>
          </w:tcPr>
          <w:p w14:paraId="047ACF7D" w14:textId="1D1C83F8" w:rsidR="00715957" w:rsidRDefault="00715957" w:rsidP="00715957">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7676A2A2" w14:textId="6E71D3C1" w:rsidR="00715957" w:rsidRDefault="00715957" w:rsidP="00715957">
            <w:pPr>
              <w:rPr>
                <w:rFonts w:asciiTheme="minorHAnsi" w:hAnsiTheme="minorHAnsi" w:cstheme="minorHAnsi"/>
                <w:sz w:val="18"/>
                <w:szCs w:val="18"/>
              </w:rPr>
            </w:pPr>
            <w:r>
              <w:rPr>
                <w:rFonts w:asciiTheme="minorHAnsi" w:hAnsiTheme="minorHAnsi" w:cstheme="minorHAnsi"/>
                <w:sz w:val="18"/>
                <w:szCs w:val="18"/>
              </w:rPr>
              <w:t>Dec. 31, 2024</w:t>
            </w:r>
          </w:p>
        </w:tc>
        <w:tc>
          <w:tcPr>
            <w:tcW w:w="2700" w:type="dxa"/>
          </w:tcPr>
          <w:p w14:paraId="404A11D8" w14:textId="4C8BB9D2" w:rsidR="00715957" w:rsidRPr="00196C0C" w:rsidRDefault="00715957" w:rsidP="00715957">
            <w:pPr>
              <w:pStyle w:val="ListParagraph"/>
              <w:ind w:left="0"/>
              <w:contextualSpacing w:val="0"/>
              <w:rPr>
                <w:rFonts w:asciiTheme="minorHAnsi" w:eastAsia="Times New Roman" w:hAnsiTheme="minorHAnsi" w:cstheme="minorHAnsi"/>
                <w:sz w:val="18"/>
                <w:szCs w:val="18"/>
              </w:rPr>
            </w:pPr>
            <w:r>
              <w:rPr>
                <w:rFonts w:asciiTheme="minorHAnsi" w:eastAsia="Times New Roman" w:hAnsiTheme="minorHAnsi" w:cstheme="minorHAnsi"/>
                <w:sz w:val="18"/>
                <w:szCs w:val="18"/>
              </w:rPr>
              <w:t>Costs cannot increase the previous year’s level adjusted for inflation</w:t>
            </w:r>
          </w:p>
        </w:tc>
        <w:tc>
          <w:tcPr>
            <w:tcW w:w="2430" w:type="dxa"/>
          </w:tcPr>
          <w:p w14:paraId="749B6202" w14:textId="46E615D4" w:rsidR="00715957" w:rsidRPr="005379D3" w:rsidRDefault="00715957" w:rsidP="00715957">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080BDF11" w14:textId="7F15CF7B" w:rsidR="00715957" w:rsidRPr="005379D3" w:rsidRDefault="00715957" w:rsidP="00715957">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715957" w:rsidRPr="005379D3" w14:paraId="61DE019D" w14:textId="77777777" w:rsidTr="001D2776">
        <w:trPr>
          <w:trHeight w:val="1142"/>
        </w:trPr>
        <w:tc>
          <w:tcPr>
            <w:tcW w:w="3127" w:type="dxa"/>
          </w:tcPr>
          <w:p w14:paraId="51C0A032" w14:textId="043D37E9" w:rsidR="00715957" w:rsidRPr="00F33C53" w:rsidRDefault="00715957" w:rsidP="00715957">
            <w:pPr>
              <w:pStyle w:val="BodyText"/>
              <w:ind w:left="-40"/>
              <w:rPr>
                <w:rFonts w:asciiTheme="minorHAnsi" w:hAnsiTheme="minorHAnsi" w:cstheme="minorHAnsi"/>
                <w:b w:val="0"/>
                <w:bCs w:val="0"/>
                <w:sz w:val="18"/>
                <w:szCs w:val="18"/>
              </w:rPr>
            </w:pPr>
            <w:r w:rsidRPr="00F33C53">
              <w:rPr>
                <w:rFonts w:asciiTheme="minorHAnsi" w:hAnsiTheme="minorHAnsi" w:cstheme="minorHAnsi"/>
                <w:b w:val="0"/>
                <w:bCs w:val="0"/>
                <w:sz w:val="18"/>
                <w:szCs w:val="18"/>
              </w:rPr>
              <w:lastRenderedPageBreak/>
              <w:t>DLR 10.4: By December 31, 2025, (a) BT purchases fuel oil through international competitive process; (b) BT’s stock of fuel oil does not exceed the level required for emergency supply of heat; and (c) the costs materials</w:t>
            </w:r>
            <w:r w:rsidRPr="00F33C53">
              <w:rPr>
                <w:rFonts w:asciiTheme="minorHAnsi" w:hAnsiTheme="minorHAnsi" w:cstheme="minorHAnsi"/>
                <w:sz w:val="18"/>
                <w:szCs w:val="18"/>
              </w:rPr>
              <w:t>,</w:t>
            </w:r>
            <w:r w:rsidRPr="00F33C53">
              <w:rPr>
                <w:rFonts w:asciiTheme="minorHAnsi" w:hAnsiTheme="minorHAnsi" w:cstheme="minorHAnsi"/>
                <w:b w:val="0"/>
                <w:bCs w:val="0"/>
                <w:sz w:val="18"/>
                <w:szCs w:val="18"/>
              </w:rPr>
              <w:t xml:space="preserve"> services, and fixed asset maintenance of BT, SIB, and STB do not exceed the 2024 levels adjusted by the annual 2025 inflation</w:t>
            </w:r>
          </w:p>
        </w:tc>
        <w:tc>
          <w:tcPr>
            <w:tcW w:w="1350" w:type="dxa"/>
          </w:tcPr>
          <w:p w14:paraId="65CE8FE7" w14:textId="59631A97" w:rsidR="00715957" w:rsidRPr="00715957" w:rsidRDefault="00715957" w:rsidP="00715957">
            <w:pPr>
              <w:rPr>
                <w:rFonts w:asciiTheme="minorHAnsi" w:hAnsiTheme="minorHAnsi" w:cstheme="minorHAnsi"/>
                <w:sz w:val="18"/>
                <w:szCs w:val="18"/>
              </w:rPr>
            </w:pPr>
            <w:r>
              <w:rPr>
                <w:rFonts w:asciiTheme="minorHAnsi" w:hAnsiTheme="minorHAnsi" w:cstheme="minorHAnsi"/>
                <w:sz w:val="18"/>
                <w:szCs w:val="18"/>
              </w:rPr>
              <w:t>US$</w:t>
            </w:r>
            <w:r w:rsidRPr="00715957">
              <w:rPr>
                <w:rFonts w:asciiTheme="minorHAnsi" w:hAnsiTheme="minorHAnsi" w:cstheme="minorHAnsi"/>
                <w:sz w:val="18"/>
                <w:szCs w:val="18"/>
              </w:rPr>
              <w:t>1,000,000</w:t>
            </w:r>
          </w:p>
        </w:tc>
        <w:tc>
          <w:tcPr>
            <w:tcW w:w="990" w:type="dxa"/>
          </w:tcPr>
          <w:p w14:paraId="407386C8" w14:textId="34BC2C34" w:rsidR="00715957" w:rsidRDefault="00715957" w:rsidP="00715957">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2B0675C8" w14:textId="6EEB5959" w:rsidR="00715957" w:rsidRDefault="00715957" w:rsidP="00715957">
            <w:pPr>
              <w:rPr>
                <w:rFonts w:asciiTheme="minorHAnsi" w:hAnsiTheme="minorHAnsi" w:cstheme="minorHAnsi"/>
                <w:sz w:val="18"/>
                <w:szCs w:val="18"/>
              </w:rPr>
            </w:pPr>
            <w:r>
              <w:rPr>
                <w:rFonts w:asciiTheme="minorHAnsi" w:hAnsiTheme="minorHAnsi" w:cstheme="minorHAnsi"/>
                <w:sz w:val="18"/>
                <w:szCs w:val="18"/>
              </w:rPr>
              <w:t>Dec. 31, 2025</w:t>
            </w:r>
          </w:p>
        </w:tc>
        <w:tc>
          <w:tcPr>
            <w:tcW w:w="2700" w:type="dxa"/>
          </w:tcPr>
          <w:p w14:paraId="31E14C4E" w14:textId="39E4F1F8" w:rsidR="00715957" w:rsidRPr="00196C0C" w:rsidRDefault="00715957" w:rsidP="00715957">
            <w:pPr>
              <w:pStyle w:val="ListParagraph"/>
              <w:ind w:left="0"/>
              <w:contextualSpacing w:val="0"/>
              <w:rPr>
                <w:rFonts w:asciiTheme="minorHAnsi" w:eastAsia="Times New Roman" w:hAnsiTheme="minorHAnsi" w:cstheme="minorHAnsi"/>
                <w:sz w:val="18"/>
                <w:szCs w:val="18"/>
              </w:rPr>
            </w:pPr>
            <w:r>
              <w:rPr>
                <w:rFonts w:asciiTheme="minorHAnsi" w:eastAsia="Times New Roman" w:hAnsiTheme="minorHAnsi" w:cstheme="minorHAnsi"/>
                <w:sz w:val="18"/>
                <w:szCs w:val="18"/>
              </w:rPr>
              <w:t>Costs cannot increase the previous year’s level adjusted for inflation.</w:t>
            </w:r>
          </w:p>
        </w:tc>
        <w:tc>
          <w:tcPr>
            <w:tcW w:w="2430" w:type="dxa"/>
          </w:tcPr>
          <w:p w14:paraId="2B390D3A" w14:textId="58B6F579" w:rsidR="00715957" w:rsidRPr="005379D3" w:rsidRDefault="00715957" w:rsidP="00715957">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46BD2916" w14:textId="5D37B2D5" w:rsidR="00715957" w:rsidRPr="005379D3" w:rsidRDefault="00715957" w:rsidP="00715957">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715957" w:rsidRPr="005379D3" w14:paraId="26AF16BB" w14:textId="77777777" w:rsidTr="001D2776">
        <w:trPr>
          <w:trHeight w:val="1340"/>
        </w:trPr>
        <w:tc>
          <w:tcPr>
            <w:tcW w:w="3127" w:type="dxa"/>
          </w:tcPr>
          <w:p w14:paraId="02E128D1" w14:textId="3B969B72" w:rsidR="00715957" w:rsidRPr="00F33C53" w:rsidRDefault="00715957" w:rsidP="00715957">
            <w:pPr>
              <w:pStyle w:val="BodyText"/>
              <w:ind w:left="-37"/>
              <w:rPr>
                <w:rFonts w:asciiTheme="minorHAnsi" w:hAnsiTheme="minorHAnsi" w:cstheme="minorHAnsi"/>
                <w:b w:val="0"/>
                <w:bCs w:val="0"/>
                <w:sz w:val="18"/>
                <w:szCs w:val="18"/>
              </w:rPr>
            </w:pPr>
            <w:r w:rsidRPr="00F33C53">
              <w:rPr>
                <w:rFonts w:asciiTheme="minorHAnsi" w:hAnsiTheme="minorHAnsi" w:cstheme="minorHAnsi"/>
                <w:b w:val="0"/>
                <w:bCs w:val="0"/>
                <w:sz w:val="18"/>
                <w:szCs w:val="18"/>
              </w:rPr>
              <w:t>DLR 10.5: By December 31, 2026, (a) BT purchases fuel oil through international competitive process; (b) BT’s stock of fuel oil does not exceed the level required for emergency supply of heat; and (c) the costs of materials</w:t>
            </w:r>
            <w:r w:rsidRPr="00F33C53">
              <w:rPr>
                <w:rFonts w:asciiTheme="minorHAnsi" w:hAnsiTheme="minorHAnsi" w:cstheme="minorHAnsi"/>
                <w:sz w:val="18"/>
                <w:szCs w:val="18"/>
              </w:rPr>
              <w:t>,</w:t>
            </w:r>
            <w:r w:rsidRPr="00F33C53">
              <w:rPr>
                <w:rFonts w:asciiTheme="minorHAnsi" w:hAnsiTheme="minorHAnsi" w:cstheme="minorHAnsi"/>
                <w:b w:val="0"/>
                <w:bCs w:val="0"/>
                <w:sz w:val="18"/>
                <w:szCs w:val="18"/>
              </w:rPr>
              <w:t xml:space="preserve"> services, and fixed asset maintenance of BT, SIB, and STB do not exceed their respective 2025 levels adjusted by the annual 2026 inflation</w:t>
            </w:r>
          </w:p>
        </w:tc>
        <w:tc>
          <w:tcPr>
            <w:tcW w:w="1350" w:type="dxa"/>
          </w:tcPr>
          <w:p w14:paraId="12E78D1B" w14:textId="1739505E" w:rsidR="00715957" w:rsidRPr="00715957" w:rsidRDefault="00715957" w:rsidP="00715957">
            <w:pPr>
              <w:rPr>
                <w:rFonts w:asciiTheme="minorHAnsi" w:hAnsiTheme="minorHAnsi" w:cstheme="minorHAnsi"/>
                <w:sz w:val="18"/>
                <w:szCs w:val="18"/>
              </w:rPr>
            </w:pPr>
            <w:r>
              <w:rPr>
                <w:rFonts w:asciiTheme="minorHAnsi" w:hAnsiTheme="minorHAnsi" w:cstheme="minorHAnsi"/>
                <w:sz w:val="18"/>
                <w:szCs w:val="18"/>
              </w:rPr>
              <w:t>US$</w:t>
            </w:r>
            <w:r w:rsidRPr="00715957">
              <w:rPr>
                <w:rFonts w:asciiTheme="minorHAnsi" w:hAnsiTheme="minorHAnsi" w:cstheme="minorHAnsi"/>
                <w:sz w:val="18"/>
                <w:szCs w:val="18"/>
              </w:rPr>
              <w:t>1,000,000</w:t>
            </w:r>
          </w:p>
        </w:tc>
        <w:tc>
          <w:tcPr>
            <w:tcW w:w="990" w:type="dxa"/>
          </w:tcPr>
          <w:p w14:paraId="581CFA9C" w14:textId="3F2D382D" w:rsidR="00715957" w:rsidRDefault="00715957" w:rsidP="00715957">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6AC70D2F" w14:textId="62A4AE6B" w:rsidR="00715957" w:rsidRDefault="00715957" w:rsidP="00715957">
            <w:pPr>
              <w:rPr>
                <w:rFonts w:asciiTheme="minorHAnsi" w:hAnsiTheme="minorHAnsi" w:cstheme="minorHAnsi"/>
                <w:sz w:val="18"/>
                <w:szCs w:val="18"/>
              </w:rPr>
            </w:pPr>
            <w:r>
              <w:rPr>
                <w:rFonts w:asciiTheme="minorHAnsi" w:hAnsiTheme="minorHAnsi" w:cstheme="minorHAnsi"/>
                <w:sz w:val="18"/>
                <w:szCs w:val="18"/>
              </w:rPr>
              <w:t>Dec. 31, 2026</w:t>
            </w:r>
          </w:p>
        </w:tc>
        <w:tc>
          <w:tcPr>
            <w:tcW w:w="2700" w:type="dxa"/>
          </w:tcPr>
          <w:p w14:paraId="7151AE18" w14:textId="6C4C4D4C" w:rsidR="00715957" w:rsidRPr="00196C0C" w:rsidRDefault="00715957" w:rsidP="00715957">
            <w:pPr>
              <w:pStyle w:val="ListParagraph"/>
              <w:ind w:left="0"/>
              <w:contextualSpacing w:val="0"/>
              <w:rPr>
                <w:rFonts w:asciiTheme="minorHAnsi" w:eastAsia="Times New Roman" w:hAnsiTheme="minorHAnsi" w:cstheme="minorHAnsi"/>
                <w:sz w:val="18"/>
                <w:szCs w:val="18"/>
              </w:rPr>
            </w:pPr>
            <w:r>
              <w:rPr>
                <w:rFonts w:asciiTheme="minorHAnsi" w:eastAsia="Times New Roman" w:hAnsiTheme="minorHAnsi" w:cstheme="minorHAnsi"/>
                <w:sz w:val="18"/>
                <w:szCs w:val="18"/>
              </w:rPr>
              <w:t>Costs cannot increase the previous year’s level adjusted for inflation.</w:t>
            </w:r>
          </w:p>
        </w:tc>
        <w:tc>
          <w:tcPr>
            <w:tcW w:w="2430" w:type="dxa"/>
          </w:tcPr>
          <w:p w14:paraId="6590CFD1" w14:textId="4D816FD6" w:rsidR="00715957" w:rsidRPr="005379D3" w:rsidRDefault="00715957" w:rsidP="00715957">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7F8183ED" w14:textId="19FF38AD" w:rsidR="00715957" w:rsidRPr="005379D3" w:rsidRDefault="00715957" w:rsidP="00715957">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715957" w:rsidRPr="005379D3" w14:paraId="19F58008" w14:textId="77777777" w:rsidTr="001D2776">
        <w:trPr>
          <w:trHeight w:val="530"/>
        </w:trPr>
        <w:tc>
          <w:tcPr>
            <w:tcW w:w="3127" w:type="dxa"/>
          </w:tcPr>
          <w:p w14:paraId="2607D2AF" w14:textId="1BD627ED" w:rsidR="00715957" w:rsidRPr="00F33C53" w:rsidRDefault="00715957" w:rsidP="00715957">
            <w:pPr>
              <w:pStyle w:val="BodyText"/>
              <w:ind w:left="-37"/>
              <w:rPr>
                <w:rFonts w:asciiTheme="minorHAnsi" w:hAnsiTheme="minorHAnsi" w:cstheme="minorHAnsi"/>
                <w:b w:val="0"/>
                <w:bCs w:val="0"/>
                <w:sz w:val="18"/>
                <w:szCs w:val="18"/>
              </w:rPr>
            </w:pPr>
            <w:r w:rsidRPr="00F33C53">
              <w:rPr>
                <w:rFonts w:asciiTheme="minorHAnsi" w:hAnsiTheme="minorHAnsi" w:cstheme="minorHAnsi"/>
                <w:b w:val="0"/>
                <w:bCs w:val="0"/>
                <w:sz w:val="18"/>
                <w:szCs w:val="18"/>
              </w:rPr>
              <w:t>DLR 10.6: By December 31, 2027, (a) BT purchases fuel oil through international competitive process; (b) BT’s stock of fuel oil does not exceed the level required for emergency supply of heat; and (c) the costs of materials</w:t>
            </w:r>
            <w:r w:rsidRPr="00F33C53">
              <w:rPr>
                <w:rFonts w:asciiTheme="minorHAnsi" w:hAnsiTheme="minorHAnsi" w:cstheme="minorHAnsi"/>
                <w:sz w:val="18"/>
                <w:szCs w:val="18"/>
              </w:rPr>
              <w:t xml:space="preserve">, </w:t>
            </w:r>
            <w:r w:rsidRPr="00F33C53">
              <w:rPr>
                <w:rFonts w:asciiTheme="minorHAnsi" w:hAnsiTheme="minorHAnsi" w:cstheme="minorHAnsi"/>
                <w:b w:val="0"/>
                <w:bCs w:val="0"/>
                <w:sz w:val="18"/>
                <w:szCs w:val="18"/>
              </w:rPr>
              <w:t>services, and fixed asset maintenance of BT, SIB, and STB do not exceed their respective 2026 levels adjusted by the annual 2027 inflation</w:t>
            </w:r>
          </w:p>
        </w:tc>
        <w:tc>
          <w:tcPr>
            <w:tcW w:w="1350" w:type="dxa"/>
          </w:tcPr>
          <w:p w14:paraId="152A59BF" w14:textId="7EA86EFB" w:rsidR="00715957" w:rsidRPr="00715957" w:rsidRDefault="00715957" w:rsidP="00715957">
            <w:pPr>
              <w:rPr>
                <w:rFonts w:asciiTheme="minorHAnsi" w:hAnsiTheme="minorHAnsi" w:cstheme="minorHAnsi"/>
                <w:sz w:val="18"/>
                <w:szCs w:val="18"/>
              </w:rPr>
            </w:pPr>
            <w:r>
              <w:rPr>
                <w:rFonts w:asciiTheme="minorHAnsi" w:hAnsiTheme="minorHAnsi" w:cstheme="minorHAnsi"/>
                <w:sz w:val="18"/>
                <w:szCs w:val="18"/>
              </w:rPr>
              <w:t>US$</w:t>
            </w:r>
            <w:r w:rsidRPr="00715957">
              <w:rPr>
                <w:rFonts w:asciiTheme="minorHAnsi" w:hAnsiTheme="minorHAnsi" w:cstheme="minorHAnsi"/>
                <w:sz w:val="18"/>
                <w:szCs w:val="18"/>
              </w:rPr>
              <w:t>500,000</w:t>
            </w:r>
          </w:p>
        </w:tc>
        <w:tc>
          <w:tcPr>
            <w:tcW w:w="990" w:type="dxa"/>
          </w:tcPr>
          <w:p w14:paraId="14C1A385" w14:textId="25CFC574" w:rsidR="00715957" w:rsidRDefault="00715957" w:rsidP="00715957">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63AAE275" w14:textId="5F86C8CE" w:rsidR="00715957" w:rsidRDefault="00715957" w:rsidP="00715957">
            <w:pPr>
              <w:rPr>
                <w:rFonts w:asciiTheme="minorHAnsi" w:hAnsiTheme="minorHAnsi" w:cstheme="minorHAnsi"/>
                <w:sz w:val="18"/>
                <w:szCs w:val="18"/>
              </w:rPr>
            </w:pPr>
            <w:r>
              <w:rPr>
                <w:rFonts w:asciiTheme="minorHAnsi" w:hAnsiTheme="minorHAnsi" w:cstheme="minorHAnsi"/>
                <w:sz w:val="18"/>
                <w:szCs w:val="18"/>
              </w:rPr>
              <w:t>Dec. 31, 2027</w:t>
            </w:r>
          </w:p>
        </w:tc>
        <w:tc>
          <w:tcPr>
            <w:tcW w:w="2700" w:type="dxa"/>
          </w:tcPr>
          <w:p w14:paraId="2DBE84BD" w14:textId="72A10B8D" w:rsidR="00715957" w:rsidRPr="00196C0C" w:rsidRDefault="00715957" w:rsidP="00715957">
            <w:pPr>
              <w:pStyle w:val="ListParagraph"/>
              <w:ind w:left="0"/>
              <w:contextualSpacing w:val="0"/>
              <w:rPr>
                <w:rFonts w:asciiTheme="minorHAnsi" w:eastAsia="Times New Roman" w:hAnsiTheme="minorHAnsi" w:cstheme="minorHAnsi"/>
                <w:sz w:val="18"/>
                <w:szCs w:val="18"/>
              </w:rPr>
            </w:pPr>
            <w:r>
              <w:rPr>
                <w:rFonts w:asciiTheme="minorHAnsi" w:eastAsia="Times New Roman" w:hAnsiTheme="minorHAnsi" w:cstheme="minorHAnsi"/>
                <w:sz w:val="18"/>
                <w:szCs w:val="18"/>
              </w:rPr>
              <w:t>Costs cannot increase the previous year’s level adjusted for inflation.</w:t>
            </w:r>
          </w:p>
        </w:tc>
        <w:tc>
          <w:tcPr>
            <w:tcW w:w="2430" w:type="dxa"/>
          </w:tcPr>
          <w:p w14:paraId="00F6FF29" w14:textId="429ADE16" w:rsidR="00715957" w:rsidRPr="005379D3" w:rsidRDefault="00715957" w:rsidP="00715957">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1EA779B9" w14:textId="01F3F3D9" w:rsidR="00715957" w:rsidRPr="005379D3" w:rsidRDefault="00715957" w:rsidP="00715957">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715957" w:rsidRPr="005379D3" w14:paraId="63B0B8C0" w14:textId="77777777" w:rsidTr="001D2776">
        <w:trPr>
          <w:trHeight w:val="530"/>
        </w:trPr>
        <w:tc>
          <w:tcPr>
            <w:tcW w:w="3127" w:type="dxa"/>
          </w:tcPr>
          <w:p w14:paraId="7A3D7F5E" w14:textId="01C67BD4" w:rsidR="00715957" w:rsidRPr="00F33C53" w:rsidRDefault="00715957" w:rsidP="00715957">
            <w:pPr>
              <w:ind w:left="-40"/>
              <w:rPr>
                <w:rFonts w:asciiTheme="minorHAnsi" w:hAnsiTheme="minorHAnsi" w:cstheme="minorHAnsi"/>
                <w:sz w:val="18"/>
                <w:szCs w:val="18"/>
              </w:rPr>
            </w:pPr>
            <w:r w:rsidRPr="00F33C53">
              <w:rPr>
                <w:rFonts w:asciiTheme="minorHAnsi" w:hAnsiTheme="minorHAnsi" w:cstheme="minorHAnsi"/>
                <w:sz w:val="18"/>
                <w:szCs w:val="18"/>
              </w:rPr>
              <w:t>DLR 10.7: By December 31, 2028, (a) BT purchases fuel oil through international competitive process; (b) BT’s stock of fuel oil does not exceed the level required for emergency supply of heat; and (</w:t>
            </w:r>
            <w:r w:rsidRPr="00F33C53">
              <w:rPr>
                <w:rFonts w:asciiTheme="minorHAnsi" w:hAnsiTheme="minorHAnsi" w:cstheme="minorHAnsi"/>
                <w:b/>
                <w:bCs/>
                <w:sz w:val="18"/>
                <w:szCs w:val="18"/>
              </w:rPr>
              <w:t>c</w:t>
            </w:r>
            <w:r w:rsidRPr="00F33C53">
              <w:rPr>
                <w:rFonts w:asciiTheme="minorHAnsi" w:hAnsiTheme="minorHAnsi" w:cstheme="minorHAnsi"/>
                <w:sz w:val="18"/>
                <w:szCs w:val="18"/>
              </w:rPr>
              <w:t xml:space="preserve">) the costs of materials, services, </w:t>
            </w:r>
            <w:r w:rsidRPr="00F33C53">
              <w:rPr>
                <w:rFonts w:asciiTheme="minorHAnsi" w:hAnsiTheme="minorHAnsi" w:cstheme="minorHAnsi"/>
                <w:sz w:val="18"/>
                <w:szCs w:val="18"/>
              </w:rPr>
              <w:lastRenderedPageBreak/>
              <w:t>and fixed asset maintenance of BT, SIB, and STB do not exceed their respective 2027 levels adjusted by the annual 2028 inflation</w:t>
            </w:r>
          </w:p>
        </w:tc>
        <w:tc>
          <w:tcPr>
            <w:tcW w:w="1350" w:type="dxa"/>
          </w:tcPr>
          <w:p w14:paraId="244C3425" w14:textId="758DB758" w:rsidR="00715957" w:rsidRPr="00715957" w:rsidRDefault="00715957" w:rsidP="00715957">
            <w:pPr>
              <w:rPr>
                <w:rFonts w:asciiTheme="minorHAnsi" w:hAnsiTheme="minorHAnsi" w:cstheme="minorHAnsi"/>
                <w:sz w:val="18"/>
                <w:szCs w:val="18"/>
              </w:rPr>
            </w:pPr>
            <w:r>
              <w:rPr>
                <w:rFonts w:asciiTheme="minorHAnsi" w:hAnsiTheme="minorHAnsi" w:cstheme="minorHAnsi"/>
                <w:sz w:val="18"/>
                <w:szCs w:val="18"/>
              </w:rPr>
              <w:lastRenderedPageBreak/>
              <w:t>US$</w:t>
            </w:r>
            <w:r w:rsidRPr="00715957">
              <w:rPr>
                <w:rFonts w:asciiTheme="minorHAnsi" w:hAnsiTheme="minorHAnsi" w:cstheme="minorHAnsi"/>
                <w:sz w:val="18"/>
                <w:szCs w:val="18"/>
              </w:rPr>
              <w:t>500,000</w:t>
            </w:r>
          </w:p>
        </w:tc>
        <w:tc>
          <w:tcPr>
            <w:tcW w:w="990" w:type="dxa"/>
          </w:tcPr>
          <w:p w14:paraId="1A793C65" w14:textId="1F2EAF47" w:rsidR="00715957" w:rsidRDefault="00715957" w:rsidP="00715957">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380EB713" w14:textId="1DB979D0" w:rsidR="00715957" w:rsidRDefault="00715957" w:rsidP="00715957">
            <w:pPr>
              <w:rPr>
                <w:rFonts w:asciiTheme="minorHAnsi" w:hAnsiTheme="minorHAnsi" w:cstheme="minorHAnsi"/>
                <w:sz w:val="18"/>
                <w:szCs w:val="18"/>
              </w:rPr>
            </w:pPr>
            <w:r>
              <w:rPr>
                <w:rFonts w:asciiTheme="minorHAnsi" w:hAnsiTheme="minorHAnsi" w:cstheme="minorHAnsi"/>
                <w:sz w:val="18"/>
                <w:szCs w:val="18"/>
              </w:rPr>
              <w:t>Dec. 31, 2028</w:t>
            </w:r>
          </w:p>
        </w:tc>
        <w:tc>
          <w:tcPr>
            <w:tcW w:w="2700" w:type="dxa"/>
          </w:tcPr>
          <w:p w14:paraId="27921936" w14:textId="1A8AF011" w:rsidR="00715957" w:rsidRPr="00196C0C" w:rsidRDefault="00715957" w:rsidP="00715957">
            <w:pPr>
              <w:pStyle w:val="ListParagraph"/>
              <w:ind w:left="0"/>
              <w:contextualSpacing w:val="0"/>
              <w:rPr>
                <w:rFonts w:asciiTheme="minorHAnsi" w:eastAsia="Times New Roman" w:hAnsiTheme="minorHAnsi" w:cstheme="minorHAnsi"/>
                <w:sz w:val="18"/>
                <w:szCs w:val="18"/>
              </w:rPr>
            </w:pPr>
            <w:r>
              <w:rPr>
                <w:rFonts w:asciiTheme="minorHAnsi" w:eastAsia="Times New Roman" w:hAnsiTheme="minorHAnsi" w:cstheme="minorHAnsi"/>
                <w:sz w:val="18"/>
                <w:szCs w:val="18"/>
              </w:rPr>
              <w:t>Costs cannot increase the previous year’s level adjusted for inflation.</w:t>
            </w:r>
          </w:p>
        </w:tc>
        <w:tc>
          <w:tcPr>
            <w:tcW w:w="2430" w:type="dxa"/>
          </w:tcPr>
          <w:p w14:paraId="2ADE0722" w14:textId="1C76FC78" w:rsidR="00715957" w:rsidRPr="005379D3" w:rsidRDefault="00715957" w:rsidP="00715957">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22C46704" w14:textId="79852CD8" w:rsidR="00715957" w:rsidRPr="005379D3" w:rsidRDefault="00715957" w:rsidP="00715957">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715957" w:rsidRPr="005379D3" w14:paraId="0B1B20F5" w14:textId="77777777" w:rsidTr="001D2776">
        <w:trPr>
          <w:trHeight w:val="530"/>
        </w:trPr>
        <w:tc>
          <w:tcPr>
            <w:tcW w:w="3127" w:type="dxa"/>
          </w:tcPr>
          <w:p w14:paraId="0DAC95B7" w14:textId="3689277E" w:rsidR="00715957" w:rsidRPr="00F33C53" w:rsidRDefault="00715957" w:rsidP="00715957">
            <w:pPr>
              <w:pStyle w:val="BodyText"/>
              <w:ind w:left="-37"/>
              <w:rPr>
                <w:rFonts w:asciiTheme="minorHAnsi" w:hAnsiTheme="minorHAnsi" w:cstheme="minorHAnsi"/>
                <w:b w:val="0"/>
                <w:bCs w:val="0"/>
                <w:sz w:val="18"/>
                <w:szCs w:val="18"/>
              </w:rPr>
            </w:pPr>
            <w:r w:rsidRPr="00F33C53">
              <w:rPr>
                <w:rFonts w:asciiTheme="minorHAnsi" w:hAnsiTheme="minorHAnsi" w:cstheme="minorHAnsi"/>
                <w:b w:val="0"/>
                <w:bCs w:val="0"/>
                <w:sz w:val="18"/>
                <w:szCs w:val="18"/>
              </w:rPr>
              <w:t>DLR 10.8: By December 31, 2029, (a) BT purchases fuel oil through international competitive process; (b) BT’s stock of fuel oil does not exceed the level required for emergency supply of heat; and (c) the costs of materials, services, and fixed asset maintenance of BT, SIB, and STB do not exceed their respective 2028 levels adjusted by the annual 2029 inflation</w:t>
            </w:r>
          </w:p>
        </w:tc>
        <w:tc>
          <w:tcPr>
            <w:tcW w:w="1350" w:type="dxa"/>
          </w:tcPr>
          <w:p w14:paraId="30F8398A" w14:textId="4DD2B6B5" w:rsidR="00715957" w:rsidRPr="00715957" w:rsidRDefault="00715957" w:rsidP="00715957">
            <w:pPr>
              <w:rPr>
                <w:rFonts w:asciiTheme="minorHAnsi" w:hAnsiTheme="minorHAnsi" w:cstheme="minorHAnsi"/>
                <w:sz w:val="18"/>
                <w:szCs w:val="18"/>
              </w:rPr>
            </w:pPr>
            <w:r>
              <w:rPr>
                <w:rFonts w:asciiTheme="minorHAnsi" w:hAnsiTheme="minorHAnsi" w:cstheme="minorHAnsi"/>
                <w:sz w:val="18"/>
                <w:szCs w:val="18"/>
              </w:rPr>
              <w:t>US$</w:t>
            </w:r>
            <w:r w:rsidRPr="00715957">
              <w:rPr>
                <w:rFonts w:asciiTheme="minorHAnsi" w:hAnsiTheme="minorHAnsi" w:cstheme="minorHAnsi"/>
                <w:sz w:val="18"/>
                <w:szCs w:val="18"/>
              </w:rPr>
              <w:t>500,000</w:t>
            </w:r>
          </w:p>
        </w:tc>
        <w:tc>
          <w:tcPr>
            <w:tcW w:w="990" w:type="dxa"/>
          </w:tcPr>
          <w:p w14:paraId="3DC4357B" w14:textId="3D7348C0" w:rsidR="00715957" w:rsidRDefault="00715957" w:rsidP="00715957">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2B447B10" w14:textId="0CC54FCA" w:rsidR="00715957" w:rsidRDefault="00715957" w:rsidP="00715957">
            <w:pPr>
              <w:rPr>
                <w:rFonts w:asciiTheme="minorHAnsi" w:hAnsiTheme="minorHAnsi" w:cstheme="minorHAnsi"/>
                <w:sz w:val="18"/>
                <w:szCs w:val="18"/>
              </w:rPr>
            </w:pPr>
            <w:r>
              <w:rPr>
                <w:rFonts w:asciiTheme="minorHAnsi" w:hAnsiTheme="minorHAnsi" w:cstheme="minorHAnsi"/>
                <w:sz w:val="18"/>
                <w:szCs w:val="18"/>
              </w:rPr>
              <w:t>Dec. 31, 2029</w:t>
            </w:r>
          </w:p>
        </w:tc>
        <w:tc>
          <w:tcPr>
            <w:tcW w:w="2700" w:type="dxa"/>
          </w:tcPr>
          <w:p w14:paraId="7D31E44F" w14:textId="3C6AFEC9" w:rsidR="00715957" w:rsidRPr="00196C0C" w:rsidRDefault="00715957" w:rsidP="00715957">
            <w:pPr>
              <w:pStyle w:val="ListParagraph"/>
              <w:ind w:left="0"/>
              <w:contextualSpacing w:val="0"/>
              <w:rPr>
                <w:rFonts w:asciiTheme="minorHAnsi" w:eastAsia="Times New Roman" w:hAnsiTheme="minorHAnsi" w:cstheme="minorHAnsi"/>
                <w:sz w:val="18"/>
                <w:szCs w:val="18"/>
              </w:rPr>
            </w:pPr>
            <w:r>
              <w:rPr>
                <w:rFonts w:asciiTheme="minorHAnsi" w:eastAsia="Times New Roman" w:hAnsiTheme="minorHAnsi" w:cstheme="minorHAnsi"/>
                <w:sz w:val="18"/>
                <w:szCs w:val="18"/>
              </w:rPr>
              <w:t>Costs cannot increase the previous year’s level adjusted for inflation.</w:t>
            </w:r>
          </w:p>
        </w:tc>
        <w:tc>
          <w:tcPr>
            <w:tcW w:w="2430" w:type="dxa"/>
          </w:tcPr>
          <w:p w14:paraId="7E10A02F" w14:textId="210B872A" w:rsidR="00715957" w:rsidRPr="005379D3" w:rsidRDefault="00715957" w:rsidP="00715957">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5EDE2415" w14:textId="17D97B59" w:rsidR="00715957" w:rsidRPr="005379D3" w:rsidRDefault="00715957" w:rsidP="00715957">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715957" w:rsidRPr="005379D3" w14:paraId="1ADDD351" w14:textId="77777777" w:rsidTr="001D2776">
        <w:trPr>
          <w:trHeight w:val="530"/>
        </w:trPr>
        <w:tc>
          <w:tcPr>
            <w:tcW w:w="3127" w:type="dxa"/>
          </w:tcPr>
          <w:p w14:paraId="564B69BE" w14:textId="46BCDE73" w:rsidR="00715957" w:rsidRPr="00F33C53" w:rsidRDefault="00715957" w:rsidP="00715957">
            <w:pPr>
              <w:pStyle w:val="BodyText"/>
              <w:ind w:left="-37"/>
              <w:rPr>
                <w:rFonts w:asciiTheme="minorHAnsi" w:hAnsiTheme="minorHAnsi" w:cstheme="minorHAnsi"/>
                <w:b w:val="0"/>
                <w:bCs w:val="0"/>
                <w:sz w:val="18"/>
                <w:szCs w:val="18"/>
              </w:rPr>
            </w:pPr>
            <w:r w:rsidRPr="00F33C53">
              <w:rPr>
                <w:rFonts w:asciiTheme="minorHAnsi" w:hAnsiTheme="minorHAnsi" w:cstheme="minorHAnsi"/>
                <w:b w:val="0"/>
                <w:bCs w:val="0"/>
                <w:sz w:val="18"/>
                <w:szCs w:val="18"/>
              </w:rPr>
              <w:t>DLR 10.9: By December 31, 2030, (a) BT purchases fuel oil through international competitive process; (b) BT’s stock of fuel oil does not exceed the level required for emergency supply of heat; and (c) the costs of materials, services, and fixed asset maintenance of BT, SIB, and STB do not exceed their respective 2029 levels adjusted by the annual 2030 inflation</w:t>
            </w:r>
          </w:p>
        </w:tc>
        <w:tc>
          <w:tcPr>
            <w:tcW w:w="1350" w:type="dxa"/>
          </w:tcPr>
          <w:p w14:paraId="26248A99" w14:textId="48E3031D" w:rsidR="00715957" w:rsidRPr="00715957" w:rsidRDefault="00715957" w:rsidP="00715957">
            <w:pPr>
              <w:rPr>
                <w:rFonts w:asciiTheme="minorHAnsi" w:hAnsiTheme="minorHAnsi" w:cstheme="minorHAnsi"/>
                <w:sz w:val="18"/>
                <w:szCs w:val="18"/>
              </w:rPr>
            </w:pPr>
            <w:r>
              <w:rPr>
                <w:rFonts w:asciiTheme="minorHAnsi" w:hAnsiTheme="minorHAnsi" w:cstheme="minorHAnsi"/>
                <w:sz w:val="18"/>
                <w:szCs w:val="18"/>
              </w:rPr>
              <w:t>US$</w:t>
            </w:r>
            <w:r w:rsidRPr="00715957">
              <w:rPr>
                <w:rFonts w:asciiTheme="minorHAnsi" w:hAnsiTheme="minorHAnsi" w:cstheme="minorHAnsi"/>
                <w:sz w:val="18"/>
                <w:szCs w:val="18"/>
              </w:rPr>
              <w:t>500,000</w:t>
            </w:r>
          </w:p>
        </w:tc>
        <w:tc>
          <w:tcPr>
            <w:tcW w:w="990" w:type="dxa"/>
          </w:tcPr>
          <w:p w14:paraId="62E5CAA0" w14:textId="1E71E66D" w:rsidR="00715957" w:rsidRDefault="00715957" w:rsidP="00715957">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249B3B10" w14:textId="37ED40CB" w:rsidR="00715957" w:rsidRDefault="00715957" w:rsidP="00715957">
            <w:pPr>
              <w:rPr>
                <w:rFonts w:asciiTheme="minorHAnsi" w:hAnsiTheme="minorHAnsi" w:cstheme="minorHAnsi"/>
                <w:sz w:val="18"/>
                <w:szCs w:val="18"/>
              </w:rPr>
            </w:pPr>
            <w:r>
              <w:rPr>
                <w:rFonts w:asciiTheme="minorHAnsi" w:hAnsiTheme="minorHAnsi" w:cstheme="minorHAnsi"/>
                <w:sz w:val="18"/>
                <w:szCs w:val="18"/>
              </w:rPr>
              <w:t>Dec. 31, 2030</w:t>
            </w:r>
          </w:p>
        </w:tc>
        <w:tc>
          <w:tcPr>
            <w:tcW w:w="2700" w:type="dxa"/>
          </w:tcPr>
          <w:p w14:paraId="72358D9B" w14:textId="6B6AEF3A" w:rsidR="00715957" w:rsidRPr="00196C0C" w:rsidRDefault="00715957" w:rsidP="00715957">
            <w:pPr>
              <w:pStyle w:val="ListParagraph"/>
              <w:ind w:left="0"/>
              <w:contextualSpacing w:val="0"/>
              <w:rPr>
                <w:rFonts w:asciiTheme="minorHAnsi" w:eastAsia="Times New Roman" w:hAnsiTheme="minorHAnsi" w:cstheme="minorHAnsi"/>
                <w:sz w:val="18"/>
                <w:szCs w:val="18"/>
              </w:rPr>
            </w:pPr>
            <w:r>
              <w:rPr>
                <w:rFonts w:asciiTheme="minorHAnsi" w:eastAsia="Times New Roman" w:hAnsiTheme="minorHAnsi" w:cstheme="minorHAnsi"/>
                <w:sz w:val="18"/>
                <w:szCs w:val="18"/>
              </w:rPr>
              <w:t>Costs cannot increase the previous year’s level adjusted for inflation.</w:t>
            </w:r>
          </w:p>
        </w:tc>
        <w:tc>
          <w:tcPr>
            <w:tcW w:w="2430" w:type="dxa"/>
          </w:tcPr>
          <w:p w14:paraId="0B866760" w14:textId="4C887324" w:rsidR="00715957" w:rsidRPr="005379D3" w:rsidRDefault="00715957" w:rsidP="00715957">
            <w:pPr>
              <w:rPr>
                <w:rFonts w:asciiTheme="minorHAnsi" w:hAnsiTheme="minorHAnsi" w:cstheme="minorHAnsi"/>
                <w:sz w:val="18"/>
                <w:szCs w:val="18"/>
              </w:rPr>
            </w:pPr>
            <w:r w:rsidRPr="005379D3">
              <w:rPr>
                <w:rFonts w:asciiTheme="minorHAnsi" w:hAnsiTheme="minorHAnsi" w:cstheme="minorHAnsi"/>
                <w:sz w:val="18"/>
                <w:szCs w:val="18"/>
              </w:rPr>
              <w:t>N/A</w:t>
            </w:r>
          </w:p>
        </w:tc>
        <w:tc>
          <w:tcPr>
            <w:tcW w:w="2340" w:type="dxa"/>
          </w:tcPr>
          <w:p w14:paraId="3E388F4A" w14:textId="2F84A65D" w:rsidR="00715957" w:rsidRPr="005379D3" w:rsidRDefault="00715957" w:rsidP="00715957">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715957" w:rsidRPr="005379D3" w14:paraId="6C39CDA5" w14:textId="77777777" w:rsidTr="001D2776">
        <w:trPr>
          <w:trHeight w:val="530"/>
        </w:trPr>
        <w:tc>
          <w:tcPr>
            <w:tcW w:w="3127" w:type="dxa"/>
          </w:tcPr>
          <w:p w14:paraId="1AE9EABE" w14:textId="46227269" w:rsidR="00715957" w:rsidRPr="00DB75C0" w:rsidRDefault="00715957" w:rsidP="00715957">
            <w:pPr>
              <w:pStyle w:val="BodyText"/>
              <w:ind w:left="0"/>
              <w:rPr>
                <w:rFonts w:asciiTheme="minorHAnsi" w:hAnsiTheme="minorHAnsi" w:cstheme="minorHAnsi"/>
                <w:sz w:val="18"/>
                <w:szCs w:val="18"/>
              </w:rPr>
            </w:pPr>
            <w:r w:rsidRPr="00DB75C0">
              <w:rPr>
                <w:rFonts w:asciiTheme="minorHAnsi" w:hAnsiTheme="minorHAnsi" w:cstheme="minorHAnsi"/>
                <w:sz w:val="18"/>
                <w:szCs w:val="18"/>
              </w:rPr>
              <w:t>DLI 11: Improved prioritization, predictability, and transparency of cash flows in the electricity sector</w:t>
            </w:r>
          </w:p>
        </w:tc>
        <w:tc>
          <w:tcPr>
            <w:tcW w:w="1350" w:type="dxa"/>
          </w:tcPr>
          <w:p w14:paraId="1ADF2C07" w14:textId="77E1587B" w:rsidR="00715957" w:rsidRPr="00A52EBE" w:rsidRDefault="00715957" w:rsidP="00715957">
            <w:pPr>
              <w:rPr>
                <w:rFonts w:asciiTheme="minorHAnsi" w:hAnsiTheme="minorHAnsi" w:cstheme="minorHAnsi"/>
                <w:b/>
                <w:bCs/>
                <w:sz w:val="18"/>
                <w:szCs w:val="18"/>
              </w:rPr>
            </w:pPr>
            <w:r w:rsidRPr="00A52EBE">
              <w:rPr>
                <w:rFonts w:asciiTheme="minorHAnsi" w:hAnsiTheme="minorHAnsi" w:cstheme="minorHAnsi"/>
                <w:b/>
                <w:bCs/>
                <w:sz w:val="18"/>
                <w:szCs w:val="18"/>
              </w:rPr>
              <w:t>US$2</w:t>
            </w:r>
            <w:r w:rsidR="00A349B3">
              <w:rPr>
                <w:rFonts w:asciiTheme="minorHAnsi" w:hAnsiTheme="minorHAnsi" w:cstheme="minorHAnsi"/>
                <w:b/>
                <w:bCs/>
                <w:sz w:val="18"/>
                <w:szCs w:val="18"/>
              </w:rPr>
              <w:t>7</w:t>
            </w:r>
            <w:r w:rsidRPr="00A52EBE">
              <w:rPr>
                <w:rFonts w:asciiTheme="minorHAnsi" w:hAnsiTheme="minorHAnsi" w:cstheme="minorHAnsi"/>
                <w:b/>
                <w:bCs/>
                <w:sz w:val="18"/>
                <w:szCs w:val="18"/>
              </w:rPr>
              <w:t>,000,000</w:t>
            </w:r>
          </w:p>
        </w:tc>
        <w:tc>
          <w:tcPr>
            <w:tcW w:w="990" w:type="dxa"/>
          </w:tcPr>
          <w:p w14:paraId="7EA8DA70" w14:textId="77777777" w:rsidR="00715957" w:rsidRDefault="00715957" w:rsidP="00715957">
            <w:pPr>
              <w:rPr>
                <w:rFonts w:asciiTheme="minorHAnsi" w:hAnsiTheme="minorHAnsi" w:cstheme="minorHAnsi"/>
                <w:sz w:val="18"/>
                <w:szCs w:val="18"/>
              </w:rPr>
            </w:pPr>
          </w:p>
        </w:tc>
        <w:tc>
          <w:tcPr>
            <w:tcW w:w="1530" w:type="dxa"/>
          </w:tcPr>
          <w:p w14:paraId="2ED0E8FC" w14:textId="77777777" w:rsidR="00715957" w:rsidRDefault="00715957" w:rsidP="00715957">
            <w:pPr>
              <w:rPr>
                <w:rFonts w:asciiTheme="minorHAnsi" w:hAnsiTheme="minorHAnsi" w:cstheme="minorHAnsi"/>
                <w:sz w:val="18"/>
                <w:szCs w:val="18"/>
              </w:rPr>
            </w:pPr>
          </w:p>
        </w:tc>
        <w:tc>
          <w:tcPr>
            <w:tcW w:w="2700" w:type="dxa"/>
          </w:tcPr>
          <w:p w14:paraId="1F86CD69" w14:textId="77777777" w:rsidR="00715957" w:rsidRDefault="00715957" w:rsidP="00715957">
            <w:pPr>
              <w:pStyle w:val="ListParagraph"/>
              <w:ind w:left="0"/>
              <w:contextualSpacing w:val="0"/>
              <w:rPr>
                <w:rFonts w:asciiTheme="minorHAnsi" w:eastAsia="Times New Roman" w:hAnsiTheme="minorHAnsi" w:cstheme="minorHAnsi"/>
                <w:sz w:val="18"/>
                <w:szCs w:val="18"/>
              </w:rPr>
            </w:pPr>
          </w:p>
        </w:tc>
        <w:tc>
          <w:tcPr>
            <w:tcW w:w="2430" w:type="dxa"/>
          </w:tcPr>
          <w:p w14:paraId="11830206" w14:textId="77777777" w:rsidR="00715957" w:rsidRPr="005379D3" w:rsidRDefault="00715957" w:rsidP="00715957">
            <w:pPr>
              <w:rPr>
                <w:rFonts w:asciiTheme="minorHAnsi" w:hAnsiTheme="minorHAnsi" w:cstheme="minorHAnsi"/>
                <w:sz w:val="18"/>
                <w:szCs w:val="18"/>
              </w:rPr>
            </w:pPr>
          </w:p>
        </w:tc>
        <w:tc>
          <w:tcPr>
            <w:tcW w:w="2340" w:type="dxa"/>
          </w:tcPr>
          <w:p w14:paraId="69F16197" w14:textId="77777777" w:rsidR="00715957" w:rsidRPr="005379D3" w:rsidRDefault="00715957" w:rsidP="00715957">
            <w:pPr>
              <w:rPr>
                <w:rFonts w:asciiTheme="minorHAnsi" w:hAnsiTheme="minorHAnsi" w:cstheme="minorHAnsi"/>
                <w:sz w:val="18"/>
                <w:szCs w:val="18"/>
              </w:rPr>
            </w:pPr>
          </w:p>
        </w:tc>
      </w:tr>
      <w:tr w:rsidR="00BF16EA" w:rsidRPr="005379D3" w14:paraId="1BAC4DD7" w14:textId="77777777" w:rsidTr="001D2776">
        <w:trPr>
          <w:trHeight w:val="530"/>
        </w:trPr>
        <w:tc>
          <w:tcPr>
            <w:tcW w:w="3127" w:type="dxa"/>
          </w:tcPr>
          <w:p w14:paraId="4927187A" w14:textId="5EE3D0EF" w:rsidR="00BF16EA" w:rsidRPr="00BF16EA" w:rsidRDefault="00BF16EA" w:rsidP="00BF16EA">
            <w:pPr>
              <w:pStyle w:val="BodyText"/>
              <w:ind w:left="0"/>
              <w:rPr>
                <w:rFonts w:asciiTheme="minorHAnsi" w:hAnsiTheme="minorHAnsi" w:cstheme="minorHAnsi"/>
                <w:b w:val="0"/>
                <w:bCs w:val="0"/>
                <w:sz w:val="18"/>
                <w:szCs w:val="18"/>
              </w:rPr>
            </w:pPr>
            <w:r w:rsidRPr="00BF16EA">
              <w:rPr>
                <w:rFonts w:asciiTheme="minorHAnsi" w:hAnsiTheme="minorHAnsi" w:cstheme="minorHAnsi"/>
                <w:b w:val="0"/>
                <w:bCs w:val="0"/>
                <w:sz w:val="18"/>
                <w:szCs w:val="18"/>
              </w:rPr>
              <w:t xml:space="preserve">DLR 11.1: By September 30, 2022, (a) collection and distribution of electricity sector revenues from domestic market are systematically carried out according to the Escrow Account Regulations; and (b) expenditures from other account(s) of BT to include US$20 million payment </w:t>
            </w:r>
            <w:r w:rsidRPr="00BF16EA">
              <w:rPr>
                <w:rFonts w:asciiTheme="minorHAnsi" w:hAnsiTheme="minorHAnsi" w:cstheme="minorHAnsi"/>
                <w:b w:val="0"/>
                <w:bCs w:val="0"/>
                <w:sz w:val="18"/>
                <w:szCs w:val="18"/>
              </w:rPr>
              <w:lastRenderedPageBreak/>
              <w:t xml:space="preserve">under </w:t>
            </w:r>
            <w:r w:rsidR="00856128">
              <w:rPr>
                <w:rFonts w:asciiTheme="minorHAnsi" w:hAnsiTheme="minorHAnsi" w:cstheme="minorHAnsi"/>
                <w:b w:val="0"/>
                <w:bCs w:val="0"/>
                <w:sz w:val="18"/>
                <w:szCs w:val="18"/>
              </w:rPr>
              <w:t>s</w:t>
            </w:r>
            <w:r w:rsidRPr="00BF16EA">
              <w:rPr>
                <w:rFonts w:asciiTheme="minorHAnsi" w:hAnsiTheme="minorHAnsi" w:cstheme="minorHAnsi"/>
                <w:b w:val="0"/>
                <w:bCs w:val="0"/>
                <w:sz w:val="18"/>
                <w:szCs w:val="18"/>
              </w:rPr>
              <w:t xml:space="preserve">ubsidiary </w:t>
            </w:r>
            <w:r w:rsidR="00856128">
              <w:rPr>
                <w:rFonts w:asciiTheme="minorHAnsi" w:hAnsiTheme="minorHAnsi" w:cstheme="minorHAnsi"/>
                <w:b w:val="0"/>
                <w:bCs w:val="0"/>
                <w:sz w:val="18"/>
                <w:szCs w:val="18"/>
              </w:rPr>
              <w:t>a</w:t>
            </w:r>
            <w:r w:rsidRPr="00BF16EA">
              <w:rPr>
                <w:rFonts w:asciiTheme="minorHAnsi" w:hAnsiTheme="minorHAnsi" w:cstheme="minorHAnsi"/>
                <w:b w:val="0"/>
                <w:bCs w:val="0"/>
                <w:sz w:val="18"/>
                <w:szCs w:val="18"/>
              </w:rPr>
              <w:t>greements with MOF and settlement of other existing liabilities</w:t>
            </w:r>
          </w:p>
        </w:tc>
        <w:tc>
          <w:tcPr>
            <w:tcW w:w="1350" w:type="dxa"/>
          </w:tcPr>
          <w:p w14:paraId="7BE2E206" w14:textId="04DEF599" w:rsidR="00BF16EA" w:rsidRPr="00A349B3" w:rsidRDefault="00BF16EA" w:rsidP="00BF16EA">
            <w:pPr>
              <w:rPr>
                <w:rFonts w:asciiTheme="minorHAnsi" w:hAnsiTheme="minorHAnsi" w:cstheme="minorHAnsi"/>
                <w:sz w:val="18"/>
                <w:szCs w:val="18"/>
              </w:rPr>
            </w:pPr>
            <w:r w:rsidRPr="00A349B3">
              <w:rPr>
                <w:rFonts w:asciiTheme="minorHAnsi" w:hAnsiTheme="minorHAnsi" w:cstheme="minorHAnsi"/>
                <w:sz w:val="18"/>
                <w:szCs w:val="18"/>
              </w:rPr>
              <w:lastRenderedPageBreak/>
              <w:t>US$9,300,000</w:t>
            </w:r>
          </w:p>
        </w:tc>
        <w:tc>
          <w:tcPr>
            <w:tcW w:w="990" w:type="dxa"/>
          </w:tcPr>
          <w:p w14:paraId="4A05FAFD" w14:textId="4589A29A" w:rsidR="00BF16EA" w:rsidRDefault="00BF16EA" w:rsidP="00BF16EA">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627A8AA8" w14:textId="0E202736" w:rsidR="00BF16EA" w:rsidRDefault="00BF16EA" w:rsidP="00BF16EA">
            <w:pPr>
              <w:rPr>
                <w:rFonts w:asciiTheme="minorHAnsi" w:hAnsiTheme="minorHAnsi" w:cstheme="minorHAnsi"/>
                <w:sz w:val="18"/>
                <w:szCs w:val="18"/>
              </w:rPr>
            </w:pPr>
            <w:r>
              <w:rPr>
                <w:rFonts w:asciiTheme="minorHAnsi" w:hAnsiTheme="minorHAnsi" w:cstheme="minorHAnsi"/>
                <w:sz w:val="18"/>
                <w:szCs w:val="18"/>
              </w:rPr>
              <w:t>Sep. 30, 2022</w:t>
            </w:r>
          </w:p>
        </w:tc>
        <w:tc>
          <w:tcPr>
            <w:tcW w:w="2700" w:type="dxa"/>
          </w:tcPr>
          <w:p w14:paraId="3D9C9538" w14:textId="79CB2C05" w:rsidR="00BF16EA" w:rsidRPr="00280285" w:rsidRDefault="00BF16EA" w:rsidP="00BF16EA">
            <w:pPr>
              <w:pStyle w:val="BodyText"/>
              <w:widowControl/>
              <w:ind w:left="0"/>
              <w:rPr>
                <w:rFonts w:asciiTheme="minorHAnsi" w:hAnsiTheme="minorHAnsi" w:cstheme="minorHAnsi"/>
                <w:b w:val="0"/>
                <w:bCs w:val="0"/>
                <w:sz w:val="18"/>
                <w:szCs w:val="18"/>
              </w:rPr>
            </w:pPr>
            <w:r w:rsidRPr="00280285">
              <w:rPr>
                <w:rFonts w:asciiTheme="minorHAnsi" w:hAnsiTheme="minorHAnsi" w:cstheme="minorHAnsi"/>
                <w:b w:val="0"/>
                <w:bCs w:val="0"/>
                <w:sz w:val="18"/>
                <w:szCs w:val="18"/>
              </w:rPr>
              <w:t xml:space="preserve">Collection and distribution of electricity sector revenues is done in compliance with the Government of Tajikistan Decree No. 500, dated November 25, 2021, and the Government of Tajikistan Decree No. 208, dated </w:t>
            </w:r>
            <w:r w:rsidRPr="00280285">
              <w:rPr>
                <w:rFonts w:asciiTheme="minorHAnsi" w:hAnsiTheme="minorHAnsi" w:cstheme="minorHAnsi"/>
                <w:b w:val="0"/>
                <w:bCs w:val="0"/>
                <w:sz w:val="18"/>
                <w:szCs w:val="18"/>
              </w:rPr>
              <w:lastRenderedPageBreak/>
              <w:t>April 27, 2022</w:t>
            </w:r>
            <w:r>
              <w:rPr>
                <w:rFonts w:asciiTheme="minorHAnsi" w:hAnsiTheme="minorHAnsi" w:cstheme="minorHAnsi"/>
                <w:b w:val="0"/>
                <w:bCs w:val="0"/>
                <w:sz w:val="18"/>
                <w:szCs w:val="18"/>
              </w:rPr>
              <w:t xml:space="preserve"> (Escrow Account Regulations).</w:t>
            </w:r>
          </w:p>
          <w:p w14:paraId="12264B91" w14:textId="77777777" w:rsidR="00BF16EA" w:rsidRDefault="00BF16EA" w:rsidP="00BF16EA">
            <w:pPr>
              <w:pStyle w:val="ListParagraph"/>
              <w:ind w:left="0"/>
              <w:contextualSpacing w:val="0"/>
              <w:rPr>
                <w:rFonts w:asciiTheme="minorHAnsi" w:eastAsia="Times New Roman" w:hAnsiTheme="minorHAnsi" w:cstheme="minorHAnsi"/>
                <w:sz w:val="18"/>
                <w:szCs w:val="18"/>
              </w:rPr>
            </w:pPr>
          </w:p>
        </w:tc>
        <w:tc>
          <w:tcPr>
            <w:tcW w:w="2430" w:type="dxa"/>
          </w:tcPr>
          <w:p w14:paraId="622DA8CE" w14:textId="6B717E3C" w:rsidR="00BF16EA" w:rsidRPr="005379D3" w:rsidRDefault="00BF16EA" w:rsidP="00BF16EA">
            <w:pPr>
              <w:rPr>
                <w:rFonts w:asciiTheme="minorHAnsi" w:hAnsiTheme="minorHAnsi" w:cstheme="minorHAnsi"/>
                <w:sz w:val="18"/>
                <w:szCs w:val="18"/>
              </w:rPr>
            </w:pPr>
            <w:r>
              <w:rPr>
                <w:rFonts w:asciiTheme="minorHAnsi" w:hAnsiTheme="minorHAnsi" w:cstheme="minorHAnsi"/>
                <w:sz w:val="18"/>
                <w:szCs w:val="18"/>
              </w:rPr>
              <w:lastRenderedPageBreak/>
              <w:t>N/A</w:t>
            </w:r>
          </w:p>
        </w:tc>
        <w:tc>
          <w:tcPr>
            <w:tcW w:w="2340" w:type="dxa"/>
          </w:tcPr>
          <w:p w14:paraId="0CB1CA58" w14:textId="601909A5" w:rsidR="00BF16EA" w:rsidRPr="005379D3" w:rsidRDefault="00BF16EA" w:rsidP="00BF16EA">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BF16EA" w:rsidRPr="005379D3" w14:paraId="1791E45C" w14:textId="77777777" w:rsidTr="001D2776">
        <w:trPr>
          <w:trHeight w:val="530"/>
        </w:trPr>
        <w:tc>
          <w:tcPr>
            <w:tcW w:w="3127" w:type="dxa"/>
          </w:tcPr>
          <w:p w14:paraId="6A265C66" w14:textId="1FEA4358" w:rsidR="00BF16EA" w:rsidRPr="00BF16EA" w:rsidRDefault="00BF16EA" w:rsidP="00BF16EA">
            <w:pPr>
              <w:pStyle w:val="BodyText"/>
              <w:ind w:left="0"/>
              <w:rPr>
                <w:rFonts w:asciiTheme="minorHAnsi" w:hAnsiTheme="minorHAnsi" w:cstheme="minorHAnsi"/>
                <w:b w:val="0"/>
                <w:bCs w:val="0"/>
                <w:sz w:val="18"/>
                <w:szCs w:val="18"/>
              </w:rPr>
            </w:pPr>
            <w:r w:rsidRPr="00BF16EA">
              <w:rPr>
                <w:rFonts w:asciiTheme="minorHAnsi" w:hAnsiTheme="minorHAnsi" w:cstheme="minorHAnsi"/>
                <w:b w:val="0"/>
                <w:bCs w:val="0"/>
                <w:sz w:val="18"/>
                <w:szCs w:val="18"/>
              </w:rPr>
              <w:t>DLR 11.2: By December 31, 2022, (a) collection and distribution of electricity sector revenues from domestic market are systematically carried out according to the Escrow Account Regulations; and (b) expenditures from other account(s) of BT were prioritized consistent with the existing liabilities including payments on sovereign-guaranteed debt</w:t>
            </w:r>
          </w:p>
        </w:tc>
        <w:tc>
          <w:tcPr>
            <w:tcW w:w="1350" w:type="dxa"/>
          </w:tcPr>
          <w:p w14:paraId="5CB39D47" w14:textId="7DAA7E91" w:rsidR="00BF16EA" w:rsidRPr="00A349B3" w:rsidRDefault="00BF16EA" w:rsidP="00BF16EA">
            <w:pPr>
              <w:rPr>
                <w:rFonts w:asciiTheme="minorHAnsi" w:hAnsiTheme="minorHAnsi" w:cstheme="minorHAnsi"/>
                <w:sz w:val="18"/>
                <w:szCs w:val="18"/>
              </w:rPr>
            </w:pPr>
            <w:r w:rsidRPr="00A349B3">
              <w:rPr>
                <w:rFonts w:asciiTheme="minorHAnsi" w:hAnsiTheme="minorHAnsi" w:cstheme="minorHAnsi"/>
                <w:sz w:val="18"/>
                <w:szCs w:val="18"/>
              </w:rPr>
              <w:t>US$9,300,000</w:t>
            </w:r>
          </w:p>
        </w:tc>
        <w:tc>
          <w:tcPr>
            <w:tcW w:w="990" w:type="dxa"/>
          </w:tcPr>
          <w:p w14:paraId="71A5A008" w14:textId="53ECFC09" w:rsidR="00BF16EA" w:rsidRDefault="00BF16EA" w:rsidP="00BF16EA">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79F93AAE" w14:textId="621F0F24" w:rsidR="00BF16EA" w:rsidRDefault="00BF16EA" w:rsidP="00BF16EA">
            <w:pPr>
              <w:rPr>
                <w:rFonts w:asciiTheme="minorHAnsi" w:hAnsiTheme="minorHAnsi" w:cstheme="minorHAnsi"/>
                <w:sz w:val="18"/>
                <w:szCs w:val="18"/>
              </w:rPr>
            </w:pPr>
            <w:r>
              <w:rPr>
                <w:rFonts w:asciiTheme="minorHAnsi" w:hAnsiTheme="minorHAnsi" w:cstheme="minorHAnsi"/>
                <w:sz w:val="18"/>
                <w:szCs w:val="18"/>
              </w:rPr>
              <w:t>Dec. 31, 2022</w:t>
            </w:r>
          </w:p>
        </w:tc>
        <w:tc>
          <w:tcPr>
            <w:tcW w:w="2700" w:type="dxa"/>
          </w:tcPr>
          <w:p w14:paraId="2DC6E7B5" w14:textId="0138E433" w:rsidR="00BF16EA" w:rsidRPr="00280285" w:rsidRDefault="00BF16EA" w:rsidP="00BF16EA">
            <w:pPr>
              <w:pStyle w:val="BodyText"/>
              <w:widowControl/>
              <w:ind w:left="0"/>
              <w:rPr>
                <w:rFonts w:asciiTheme="minorHAnsi" w:hAnsiTheme="minorHAnsi" w:cstheme="minorHAnsi"/>
                <w:b w:val="0"/>
                <w:bCs w:val="0"/>
                <w:sz w:val="18"/>
                <w:szCs w:val="18"/>
              </w:rPr>
            </w:pPr>
            <w:r w:rsidRPr="00280285">
              <w:rPr>
                <w:rFonts w:asciiTheme="minorHAnsi" w:hAnsiTheme="minorHAnsi" w:cstheme="minorHAnsi"/>
                <w:b w:val="0"/>
                <w:bCs w:val="0"/>
                <w:sz w:val="18"/>
                <w:szCs w:val="18"/>
              </w:rPr>
              <w:t xml:space="preserve">Collection and distribution of electricity sector revenues is done in compliance with the </w:t>
            </w:r>
            <w:r>
              <w:rPr>
                <w:rFonts w:asciiTheme="minorHAnsi" w:hAnsiTheme="minorHAnsi" w:cstheme="minorHAnsi"/>
                <w:b w:val="0"/>
                <w:bCs w:val="0"/>
                <w:sz w:val="18"/>
                <w:szCs w:val="18"/>
              </w:rPr>
              <w:t>Escrow Account Regulations</w:t>
            </w:r>
            <w:r w:rsidRPr="00280285">
              <w:rPr>
                <w:rFonts w:asciiTheme="minorHAnsi" w:hAnsiTheme="minorHAnsi" w:cstheme="minorHAnsi"/>
                <w:b w:val="0"/>
                <w:bCs w:val="0"/>
                <w:sz w:val="18"/>
                <w:szCs w:val="18"/>
              </w:rPr>
              <w:t>.</w:t>
            </w:r>
          </w:p>
          <w:p w14:paraId="694D1514" w14:textId="77777777" w:rsidR="00BF16EA" w:rsidRDefault="00BF16EA" w:rsidP="00BF16EA">
            <w:pPr>
              <w:pStyle w:val="ListParagraph"/>
              <w:ind w:left="0"/>
              <w:contextualSpacing w:val="0"/>
              <w:rPr>
                <w:rFonts w:asciiTheme="minorHAnsi" w:eastAsia="Times New Roman" w:hAnsiTheme="minorHAnsi" w:cstheme="minorHAnsi"/>
                <w:sz w:val="18"/>
                <w:szCs w:val="18"/>
              </w:rPr>
            </w:pPr>
          </w:p>
        </w:tc>
        <w:tc>
          <w:tcPr>
            <w:tcW w:w="2430" w:type="dxa"/>
          </w:tcPr>
          <w:p w14:paraId="4D2E8172" w14:textId="110EC227" w:rsidR="00BF16EA" w:rsidRPr="005379D3" w:rsidRDefault="00BF16EA" w:rsidP="00BF16EA">
            <w:pPr>
              <w:rPr>
                <w:rFonts w:asciiTheme="minorHAnsi" w:hAnsiTheme="minorHAnsi" w:cstheme="minorHAnsi"/>
                <w:sz w:val="18"/>
                <w:szCs w:val="18"/>
              </w:rPr>
            </w:pPr>
            <w:r>
              <w:rPr>
                <w:rFonts w:asciiTheme="minorHAnsi" w:hAnsiTheme="minorHAnsi" w:cstheme="minorHAnsi"/>
                <w:sz w:val="18"/>
                <w:szCs w:val="18"/>
              </w:rPr>
              <w:t>N/A</w:t>
            </w:r>
          </w:p>
        </w:tc>
        <w:tc>
          <w:tcPr>
            <w:tcW w:w="2340" w:type="dxa"/>
          </w:tcPr>
          <w:p w14:paraId="0C28E2CF" w14:textId="6545417A" w:rsidR="00BF16EA" w:rsidRPr="005379D3" w:rsidRDefault="00BF16EA" w:rsidP="00BF16EA">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BF16EA" w:rsidRPr="005379D3" w14:paraId="7E995F04" w14:textId="77777777" w:rsidTr="001D2776">
        <w:trPr>
          <w:trHeight w:val="530"/>
        </w:trPr>
        <w:tc>
          <w:tcPr>
            <w:tcW w:w="3127" w:type="dxa"/>
          </w:tcPr>
          <w:p w14:paraId="26155D2B" w14:textId="79263B0A" w:rsidR="00BF16EA" w:rsidRPr="00BF16EA" w:rsidRDefault="00BF16EA" w:rsidP="00BF16EA">
            <w:pPr>
              <w:pStyle w:val="BodyText"/>
              <w:ind w:left="0"/>
              <w:rPr>
                <w:rFonts w:asciiTheme="minorHAnsi" w:hAnsiTheme="minorHAnsi" w:cstheme="minorHAnsi"/>
                <w:b w:val="0"/>
                <w:bCs w:val="0"/>
                <w:sz w:val="18"/>
                <w:szCs w:val="18"/>
              </w:rPr>
            </w:pPr>
            <w:r w:rsidRPr="00BF16EA">
              <w:rPr>
                <w:rFonts w:asciiTheme="minorHAnsi" w:hAnsiTheme="minorHAnsi" w:cstheme="minorHAnsi"/>
                <w:b w:val="0"/>
                <w:bCs w:val="0"/>
                <w:sz w:val="18"/>
                <w:szCs w:val="18"/>
              </w:rPr>
              <w:t>DLR 11.3: By June 30, 2023, (a) collection and distribution of electricity sector revenues from domestic market are systematically carried out according to the Escrow Account Regulations; and (b) expenditures from other account(s) of BT were prioritized consistent with the existing liabilities including payments on sovereign-guaranteed debt</w:t>
            </w:r>
          </w:p>
        </w:tc>
        <w:tc>
          <w:tcPr>
            <w:tcW w:w="1350" w:type="dxa"/>
          </w:tcPr>
          <w:p w14:paraId="1CA3F12C" w14:textId="5368796E" w:rsidR="00BF16EA" w:rsidRPr="00A349B3" w:rsidRDefault="00BF16EA" w:rsidP="00BF16EA">
            <w:pPr>
              <w:rPr>
                <w:rFonts w:asciiTheme="minorHAnsi" w:hAnsiTheme="minorHAnsi" w:cstheme="minorHAnsi"/>
                <w:sz w:val="18"/>
                <w:szCs w:val="18"/>
              </w:rPr>
            </w:pPr>
            <w:r w:rsidRPr="00A349B3">
              <w:rPr>
                <w:rFonts w:asciiTheme="minorHAnsi" w:hAnsiTheme="minorHAnsi" w:cstheme="minorHAnsi"/>
                <w:sz w:val="18"/>
                <w:szCs w:val="18"/>
              </w:rPr>
              <w:t>US$2,000,000</w:t>
            </w:r>
          </w:p>
        </w:tc>
        <w:tc>
          <w:tcPr>
            <w:tcW w:w="990" w:type="dxa"/>
          </w:tcPr>
          <w:p w14:paraId="5867E173" w14:textId="7DF9D7A9" w:rsidR="00BF16EA" w:rsidRDefault="00BF16EA" w:rsidP="00BF16EA">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2440E906" w14:textId="394A62B7" w:rsidR="00BF16EA" w:rsidRDefault="00BF16EA" w:rsidP="00BF16EA">
            <w:pPr>
              <w:rPr>
                <w:rFonts w:asciiTheme="minorHAnsi" w:hAnsiTheme="minorHAnsi" w:cstheme="minorHAnsi"/>
                <w:sz w:val="18"/>
                <w:szCs w:val="18"/>
              </w:rPr>
            </w:pPr>
            <w:r>
              <w:rPr>
                <w:rFonts w:asciiTheme="minorHAnsi" w:hAnsiTheme="minorHAnsi" w:cstheme="minorHAnsi"/>
                <w:sz w:val="18"/>
                <w:szCs w:val="18"/>
              </w:rPr>
              <w:t>June 30, 2023</w:t>
            </w:r>
          </w:p>
        </w:tc>
        <w:tc>
          <w:tcPr>
            <w:tcW w:w="2700" w:type="dxa"/>
          </w:tcPr>
          <w:p w14:paraId="69384266" w14:textId="57B98261" w:rsidR="00BF16EA" w:rsidRDefault="00BF16EA" w:rsidP="00BF16EA">
            <w:pPr>
              <w:pStyle w:val="ListParagraph"/>
              <w:ind w:left="0"/>
              <w:contextualSpacing w:val="0"/>
              <w:rPr>
                <w:rFonts w:asciiTheme="minorHAnsi" w:eastAsia="Times New Roman" w:hAnsiTheme="minorHAnsi" w:cstheme="minorHAnsi"/>
                <w:sz w:val="18"/>
                <w:szCs w:val="18"/>
              </w:rPr>
            </w:pPr>
            <w:r w:rsidRPr="00280285">
              <w:rPr>
                <w:rFonts w:asciiTheme="minorHAnsi" w:hAnsiTheme="minorHAnsi" w:cstheme="minorHAnsi"/>
                <w:sz w:val="18"/>
                <w:szCs w:val="18"/>
              </w:rPr>
              <w:t xml:space="preserve">Collection and distribution of electricity sector revenues is done in </w:t>
            </w:r>
            <w:r w:rsidRPr="001D2776">
              <w:rPr>
                <w:rFonts w:asciiTheme="minorHAnsi" w:hAnsiTheme="minorHAnsi" w:cstheme="minorHAnsi"/>
                <w:sz w:val="18"/>
                <w:szCs w:val="18"/>
              </w:rPr>
              <w:t>compliance with the Escrow Account Regulations</w:t>
            </w:r>
            <w:r>
              <w:rPr>
                <w:rFonts w:asciiTheme="minorHAnsi" w:eastAsia="Times New Roman" w:hAnsiTheme="minorHAnsi" w:cstheme="minorHAnsi"/>
                <w:sz w:val="18"/>
                <w:szCs w:val="18"/>
              </w:rPr>
              <w:t xml:space="preserve"> </w:t>
            </w:r>
          </w:p>
        </w:tc>
        <w:tc>
          <w:tcPr>
            <w:tcW w:w="2430" w:type="dxa"/>
          </w:tcPr>
          <w:p w14:paraId="2E583E3D" w14:textId="623794E8" w:rsidR="00BF16EA" w:rsidRPr="005379D3" w:rsidRDefault="00BF16EA" w:rsidP="00BF16EA">
            <w:pPr>
              <w:rPr>
                <w:rFonts w:asciiTheme="minorHAnsi" w:hAnsiTheme="minorHAnsi" w:cstheme="minorHAnsi"/>
                <w:sz w:val="18"/>
                <w:szCs w:val="18"/>
              </w:rPr>
            </w:pPr>
            <w:r>
              <w:rPr>
                <w:rFonts w:asciiTheme="minorHAnsi" w:hAnsiTheme="minorHAnsi" w:cstheme="minorHAnsi"/>
                <w:sz w:val="18"/>
                <w:szCs w:val="18"/>
              </w:rPr>
              <w:t>N/A</w:t>
            </w:r>
          </w:p>
        </w:tc>
        <w:tc>
          <w:tcPr>
            <w:tcW w:w="2340" w:type="dxa"/>
          </w:tcPr>
          <w:p w14:paraId="0A587551" w14:textId="15B70EDB" w:rsidR="00BF16EA" w:rsidRPr="005379D3" w:rsidRDefault="00BF16EA" w:rsidP="00BF16EA">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BF16EA" w:rsidRPr="005379D3" w14:paraId="5BE342E6" w14:textId="77777777" w:rsidTr="001D2776">
        <w:trPr>
          <w:trHeight w:val="530"/>
        </w:trPr>
        <w:tc>
          <w:tcPr>
            <w:tcW w:w="3127" w:type="dxa"/>
          </w:tcPr>
          <w:p w14:paraId="42F34DDD" w14:textId="4AB3F80D" w:rsidR="00BF16EA" w:rsidRPr="00BF16EA" w:rsidRDefault="00BF16EA" w:rsidP="00BF16EA">
            <w:pPr>
              <w:pStyle w:val="BodyText"/>
              <w:ind w:left="0"/>
              <w:rPr>
                <w:rFonts w:asciiTheme="minorHAnsi" w:hAnsiTheme="minorHAnsi" w:cstheme="minorHAnsi"/>
                <w:b w:val="0"/>
                <w:bCs w:val="0"/>
                <w:sz w:val="18"/>
                <w:szCs w:val="18"/>
              </w:rPr>
            </w:pPr>
            <w:r w:rsidRPr="00BF16EA">
              <w:rPr>
                <w:rFonts w:asciiTheme="minorHAnsi" w:hAnsiTheme="minorHAnsi" w:cstheme="minorHAnsi"/>
                <w:b w:val="0"/>
                <w:bCs w:val="0"/>
                <w:sz w:val="18"/>
                <w:szCs w:val="18"/>
              </w:rPr>
              <w:t>DLR 11.4: By December 31, 2022, (a) collection and distribution of electricity sector revenues from domestic market are systematically carried out according to the Escrow Account Regulations; and (b) expenditures from other account(s) of BT were prioritized consistent with the existing liabilities including payments on sovereign-guaranteed debt</w:t>
            </w:r>
          </w:p>
        </w:tc>
        <w:tc>
          <w:tcPr>
            <w:tcW w:w="1350" w:type="dxa"/>
          </w:tcPr>
          <w:p w14:paraId="0AFEE0CB" w14:textId="432E7408" w:rsidR="00BF16EA" w:rsidRPr="00A349B3" w:rsidRDefault="00BF16EA" w:rsidP="00BF16EA">
            <w:pPr>
              <w:rPr>
                <w:rFonts w:asciiTheme="minorHAnsi" w:hAnsiTheme="minorHAnsi" w:cstheme="minorHAnsi"/>
                <w:sz w:val="18"/>
                <w:szCs w:val="18"/>
              </w:rPr>
            </w:pPr>
            <w:r w:rsidRPr="00A349B3">
              <w:rPr>
                <w:rFonts w:asciiTheme="minorHAnsi" w:hAnsiTheme="minorHAnsi" w:cstheme="minorHAnsi"/>
                <w:sz w:val="18"/>
                <w:szCs w:val="18"/>
              </w:rPr>
              <w:t>US$2,000,000</w:t>
            </w:r>
          </w:p>
        </w:tc>
        <w:tc>
          <w:tcPr>
            <w:tcW w:w="990" w:type="dxa"/>
          </w:tcPr>
          <w:p w14:paraId="6F02867D" w14:textId="4FBE3D2F" w:rsidR="00BF16EA" w:rsidRDefault="00BF16EA" w:rsidP="00BF16EA">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4EEE52D5" w14:textId="2BEFF123" w:rsidR="00BF16EA" w:rsidRDefault="00BF16EA" w:rsidP="00BF16EA">
            <w:pPr>
              <w:rPr>
                <w:rFonts w:asciiTheme="minorHAnsi" w:hAnsiTheme="minorHAnsi" w:cstheme="minorHAnsi"/>
                <w:sz w:val="18"/>
                <w:szCs w:val="18"/>
              </w:rPr>
            </w:pPr>
            <w:r>
              <w:rPr>
                <w:rFonts w:asciiTheme="minorHAnsi" w:hAnsiTheme="minorHAnsi" w:cstheme="minorHAnsi"/>
                <w:sz w:val="18"/>
                <w:szCs w:val="18"/>
              </w:rPr>
              <w:t>Dec. 31, 2023</w:t>
            </w:r>
          </w:p>
        </w:tc>
        <w:tc>
          <w:tcPr>
            <w:tcW w:w="2700" w:type="dxa"/>
          </w:tcPr>
          <w:p w14:paraId="27ECA519" w14:textId="666F91E8" w:rsidR="00BF16EA" w:rsidRDefault="00BF16EA" w:rsidP="00BF16EA">
            <w:pPr>
              <w:pStyle w:val="ListParagraph"/>
              <w:ind w:left="0"/>
              <w:contextualSpacing w:val="0"/>
              <w:rPr>
                <w:rFonts w:asciiTheme="minorHAnsi" w:eastAsia="Times New Roman" w:hAnsiTheme="minorHAnsi" w:cstheme="minorHAnsi"/>
                <w:sz w:val="18"/>
                <w:szCs w:val="18"/>
              </w:rPr>
            </w:pPr>
            <w:r w:rsidRPr="00280285">
              <w:rPr>
                <w:rFonts w:asciiTheme="minorHAnsi" w:hAnsiTheme="minorHAnsi" w:cstheme="minorHAnsi"/>
                <w:sz w:val="18"/>
                <w:szCs w:val="18"/>
              </w:rPr>
              <w:t xml:space="preserve">Collection and distribution of electricity sector revenues is done in </w:t>
            </w:r>
            <w:r w:rsidRPr="001D2776">
              <w:rPr>
                <w:rFonts w:asciiTheme="minorHAnsi" w:hAnsiTheme="minorHAnsi" w:cstheme="minorHAnsi"/>
                <w:sz w:val="18"/>
                <w:szCs w:val="18"/>
              </w:rPr>
              <w:t>compliance with the Escrow Account Regulations</w:t>
            </w:r>
            <w:r>
              <w:rPr>
                <w:rFonts w:asciiTheme="minorHAnsi" w:eastAsia="Times New Roman" w:hAnsiTheme="minorHAnsi" w:cstheme="minorHAnsi"/>
                <w:sz w:val="18"/>
                <w:szCs w:val="18"/>
              </w:rPr>
              <w:t>.</w:t>
            </w:r>
          </w:p>
        </w:tc>
        <w:tc>
          <w:tcPr>
            <w:tcW w:w="2430" w:type="dxa"/>
          </w:tcPr>
          <w:p w14:paraId="3C868341" w14:textId="3EBB0C4C" w:rsidR="00BF16EA" w:rsidRPr="005379D3" w:rsidRDefault="00BF16EA" w:rsidP="00BF16EA">
            <w:pPr>
              <w:rPr>
                <w:rFonts w:asciiTheme="minorHAnsi" w:hAnsiTheme="minorHAnsi" w:cstheme="minorHAnsi"/>
                <w:sz w:val="18"/>
                <w:szCs w:val="18"/>
              </w:rPr>
            </w:pPr>
            <w:r>
              <w:rPr>
                <w:rFonts w:asciiTheme="minorHAnsi" w:hAnsiTheme="minorHAnsi" w:cstheme="minorHAnsi"/>
                <w:sz w:val="18"/>
                <w:szCs w:val="18"/>
              </w:rPr>
              <w:t>N/A</w:t>
            </w:r>
          </w:p>
        </w:tc>
        <w:tc>
          <w:tcPr>
            <w:tcW w:w="2340" w:type="dxa"/>
          </w:tcPr>
          <w:p w14:paraId="0F661FEB" w14:textId="2675D459" w:rsidR="00BF16EA" w:rsidRPr="005379D3" w:rsidRDefault="00BF16EA" w:rsidP="00BF16EA">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BF16EA" w:rsidRPr="005379D3" w14:paraId="24B5242E" w14:textId="77777777" w:rsidTr="001D2776">
        <w:trPr>
          <w:trHeight w:val="530"/>
        </w:trPr>
        <w:tc>
          <w:tcPr>
            <w:tcW w:w="3127" w:type="dxa"/>
          </w:tcPr>
          <w:p w14:paraId="1961074F" w14:textId="753FE9A7" w:rsidR="00BF16EA" w:rsidRPr="00BF16EA" w:rsidRDefault="00BF16EA" w:rsidP="00BF16EA">
            <w:pPr>
              <w:pStyle w:val="BodyText"/>
              <w:ind w:left="0"/>
              <w:rPr>
                <w:rFonts w:asciiTheme="minorHAnsi" w:hAnsiTheme="minorHAnsi" w:cstheme="minorHAnsi"/>
                <w:b w:val="0"/>
                <w:bCs w:val="0"/>
                <w:sz w:val="18"/>
                <w:szCs w:val="18"/>
              </w:rPr>
            </w:pPr>
            <w:r w:rsidRPr="00BF16EA">
              <w:rPr>
                <w:rFonts w:asciiTheme="minorHAnsi" w:hAnsiTheme="minorHAnsi" w:cstheme="minorHAnsi"/>
                <w:b w:val="0"/>
                <w:bCs w:val="0"/>
                <w:sz w:val="18"/>
                <w:szCs w:val="18"/>
              </w:rPr>
              <w:lastRenderedPageBreak/>
              <w:t>DLR 11.5: By June 30, 2024, (a) collection and distribution of electricity sector revenues from domestic market are systematically carried out according to the Escrow Account Regulations; and (b) expenditures from other account(s) of BT were prioritized consistent with the existing liabilities including payments on sovereign-guaranteed debt</w:t>
            </w:r>
          </w:p>
        </w:tc>
        <w:tc>
          <w:tcPr>
            <w:tcW w:w="1350" w:type="dxa"/>
          </w:tcPr>
          <w:p w14:paraId="3A623193" w14:textId="058679C0" w:rsidR="00BF16EA" w:rsidRPr="00A349B3" w:rsidRDefault="00BF16EA" w:rsidP="00BF16EA">
            <w:pPr>
              <w:rPr>
                <w:rFonts w:asciiTheme="minorHAnsi" w:hAnsiTheme="minorHAnsi" w:cstheme="minorHAnsi"/>
                <w:sz w:val="18"/>
                <w:szCs w:val="18"/>
              </w:rPr>
            </w:pPr>
            <w:r w:rsidRPr="00A349B3">
              <w:rPr>
                <w:rFonts w:asciiTheme="minorHAnsi" w:hAnsiTheme="minorHAnsi" w:cstheme="minorHAnsi"/>
                <w:sz w:val="18"/>
                <w:szCs w:val="18"/>
              </w:rPr>
              <w:t>US$1,000,000</w:t>
            </w:r>
          </w:p>
        </w:tc>
        <w:tc>
          <w:tcPr>
            <w:tcW w:w="990" w:type="dxa"/>
          </w:tcPr>
          <w:p w14:paraId="6414A001" w14:textId="0B56D039" w:rsidR="00BF16EA" w:rsidRDefault="00BF16EA" w:rsidP="00BF16EA">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064B2AC5" w14:textId="675585A6" w:rsidR="00BF16EA" w:rsidRDefault="00BF16EA" w:rsidP="00BF16EA">
            <w:pPr>
              <w:rPr>
                <w:rFonts w:asciiTheme="minorHAnsi" w:hAnsiTheme="minorHAnsi" w:cstheme="minorHAnsi"/>
                <w:sz w:val="18"/>
                <w:szCs w:val="18"/>
              </w:rPr>
            </w:pPr>
            <w:r>
              <w:rPr>
                <w:rFonts w:asciiTheme="minorHAnsi" w:hAnsiTheme="minorHAnsi" w:cstheme="minorHAnsi"/>
                <w:sz w:val="18"/>
                <w:szCs w:val="18"/>
              </w:rPr>
              <w:t>June 30, 2024</w:t>
            </w:r>
          </w:p>
        </w:tc>
        <w:tc>
          <w:tcPr>
            <w:tcW w:w="2700" w:type="dxa"/>
          </w:tcPr>
          <w:p w14:paraId="0CB48A55" w14:textId="42A78C90" w:rsidR="00BF16EA" w:rsidRDefault="00BF16EA" w:rsidP="00BF16EA">
            <w:pPr>
              <w:pStyle w:val="ListParagraph"/>
              <w:ind w:left="0"/>
              <w:contextualSpacing w:val="0"/>
              <w:rPr>
                <w:rFonts w:asciiTheme="minorHAnsi" w:eastAsia="Times New Roman" w:hAnsiTheme="minorHAnsi" w:cstheme="minorHAnsi"/>
                <w:sz w:val="18"/>
                <w:szCs w:val="18"/>
              </w:rPr>
            </w:pPr>
            <w:r w:rsidRPr="00280285">
              <w:rPr>
                <w:rFonts w:asciiTheme="minorHAnsi" w:hAnsiTheme="minorHAnsi" w:cstheme="minorHAnsi"/>
                <w:sz w:val="18"/>
                <w:szCs w:val="18"/>
              </w:rPr>
              <w:t xml:space="preserve">Collection and distribution of electricity sector revenues is done in </w:t>
            </w:r>
            <w:r w:rsidRPr="001D2776">
              <w:rPr>
                <w:rFonts w:asciiTheme="minorHAnsi" w:hAnsiTheme="minorHAnsi" w:cstheme="minorHAnsi"/>
                <w:sz w:val="18"/>
                <w:szCs w:val="18"/>
              </w:rPr>
              <w:t>compliance with the Escrow Account Regulations</w:t>
            </w:r>
            <w:r>
              <w:rPr>
                <w:rFonts w:asciiTheme="minorHAnsi" w:eastAsia="Times New Roman" w:hAnsiTheme="minorHAnsi" w:cstheme="minorHAnsi"/>
                <w:sz w:val="18"/>
                <w:szCs w:val="18"/>
              </w:rPr>
              <w:t>.</w:t>
            </w:r>
          </w:p>
        </w:tc>
        <w:tc>
          <w:tcPr>
            <w:tcW w:w="2430" w:type="dxa"/>
          </w:tcPr>
          <w:p w14:paraId="052B8C4A" w14:textId="75F94127" w:rsidR="00BF16EA" w:rsidRPr="005379D3" w:rsidRDefault="00BF16EA" w:rsidP="00BF16EA">
            <w:pPr>
              <w:rPr>
                <w:rFonts w:asciiTheme="minorHAnsi" w:hAnsiTheme="minorHAnsi" w:cstheme="minorHAnsi"/>
                <w:sz w:val="18"/>
                <w:szCs w:val="18"/>
              </w:rPr>
            </w:pPr>
            <w:r>
              <w:rPr>
                <w:rFonts w:asciiTheme="minorHAnsi" w:hAnsiTheme="minorHAnsi" w:cstheme="minorHAnsi"/>
                <w:sz w:val="18"/>
                <w:szCs w:val="18"/>
              </w:rPr>
              <w:t>N/A</w:t>
            </w:r>
          </w:p>
        </w:tc>
        <w:tc>
          <w:tcPr>
            <w:tcW w:w="2340" w:type="dxa"/>
          </w:tcPr>
          <w:p w14:paraId="72B1A934" w14:textId="1F91D88E" w:rsidR="00BF16EA" w:rsidRPr="005379D3" w:rsidRDefault="00BF16EA" w:rsidP="00BF16EA">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BF16EA" w:rsidRPr="005379D3" w14:paraId="633789A9" w14:textId="77777777" w:rsidTr="001D2776">
        <w:trPr>
          <w:trHeight w:val="530"/>
        </w:trPr>
        <w:tc>
          <w:tcPr>
            <w:tcW w:w="3127" w:type="dxa"/>
          </w:tcPr>
          <w:p w14:paraId="5439CEF4" w14:textId="2FF3B131" w:rsidR="00BF16EA" w:rsidRPr="00BF16EA" w:rsidRDefault="00BF16EA" w:rsidP="00BF16EA">
            <w:pPr>
              <w:pStyle w:val="BodyText"/>
              <w:ind w:left="0"/>
              <w:rPr>
                <w:rFonts w:asciiTheme="minorHAnsi" w:hAnsiTheme="minorHAnsi" w:cstheme="minorHAnsi"/>
                <w:b w:val="0"/>
                <w:bCs w:val="0"/>
                <w:sz w:val="18"/>
                <w:szCs w:val="18"/>
              </w:rPr>
            </w:pPr>
            <w:r w:rsidRPr="00BF16EA">
              <w:rPr>
                <w:rFonts w:asciiTheme="minorHAnsi" w:hAnsiTheme="minorHAnsi" w:cstheme="minorHAnsi"/>
                <w:b w:val="0"/>
                <w:bCs w:val="0"/>
                <w:sz w:val="18"/>
                <w:szCs w:val="18"/>
              </w:rPr>
              <w:t>DLR 11.6: By December 31, 2024, (a) collection and distribution of electricity sector revenues from domestic market are systematically carried out according to the Escrow Account Regulations; and (b) expenditures from other account(s) of BT were prioritized consistent with the existing liabilities including payments on sovereign-guaranteed debt</w:t>
            </w:r>
          </w:p>
        </w:tc>
        <w:tc>
          <w:tcPr>
            <w:tcW w:w="1350" w:type="dxa"/>
          </w:tcPr>
          <w:p w14:paraId="48C5431A" w14:textId="1959B49D" w:rsidR="00BF16EA" w:rsidRPr="00A349B3" w:rsidRDefault="00BF16EA" w:rsidP="00BF16EA">
            <w:pPr>
              <w:rPr>
                <w:rFonts w:asciiTheme="minorHAnsi" w:hAnsiTheme="minorHAnsi" w:cstheme="minorHAnsi"/>
                <w:sz w:val="18"/>
                <w:szCs w:val="18"/>
              </w:rPr>
            </w:pPr>
            <w:r w:rsidRPr="00A349B3">
              <w:rPr>
                <w:rFonts w:asciiTheme="minorHAnsi" w:hAnsiTheme="minorHAnsi" w:cstheme="minorHAnsi"/>
                <w:sz w:val="18"/>
                <w:szCs w:val="18"/>
              </w:rPr>
              <w:t>US$1,000,000</w:t>
            </w:r>
          </w:p>
        </w:tc>
        <w:tc>
          <w:tcPr>
            <w:tcW w:w="990" w:type="dxa"/>
          </w:tcPr>
          <w:p w14:paraId="52AC1BD4" w14:textId="35C0BC3C" w:rsidR="00BF16EA" w:rsidRDefault="00BF16EA" w:rsidP="00BF16EA">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2FB4769F" w14:textId="280D24AF" w:rsidR="00BF16EA" w:rsidRDefault="00BF16EA" w:rsidP="00BF16EA">
            <w:pPr>
              <w:rPr>
                <w:rFonts w:asciiTheme="minorHAnsi" w:hAnsiTheme="minorHAnsi" w:cstheme="minorHAnsi"/>
                <w:sz w:val="18"/>
                <w:szCs w:val="18"/>
              </w:rPr>
            </w:pPr>
            <w:r>
              <w:rPr>
                <w:rFonts w:asciiTheme="minorHAnsi" w:hAnsiTheme="minorHAnsi" w:cstheme="minorHAnsi"/>
                <w:sz w:val="18"/>
                <w:szCs w:val="18"/>
              </w:rPr>
              <w:t>Dec. 31, 2024</w:t>
            </w:r>
          </w:p>
        </w:tc>
        <w:tc>
          <w:tcPr>
            <w:tcW w:w="2700" w:type="dxa"/>
          </w:tcPr>
          <w:p w14:paraId="39378D1A" w14:textId="09645C5E" w:rsidR="00BF16EA" w:rsidRDefault="00BF16EA" w:rsidP="00BF16EA">
            <w:pPr>
              <w:pStyle w:val="ListParagraph"/>
              <w:ind w:left="0"/>
              <w:contextualSpacing w:val="0"/>
              <w:rPr>
                <w:rFonts w:asciiTheme="minorHAnsi" w:eastAsia="Times New Roman" w:hAnsiTheme="minorHAnsi" w:cstheme="minorHAnsi"/>
                <w:sz w:val="18"/>
                <w:szCs w:val="18"/>
              </w:rPr>
            </w:pPr>
            <w:r w:rsidRPr="00280285">
              <w:rPr>
                <w:rFonts w:asciiTheme="minorHAnsi" w:hAnsiTheme="minorHAnsi" w:cstheme="minorHAnsi"/>
                <w:sz w:val="18"/>
                <w:szCs w:val="18"/>
              </w:rPr>
              <w:t xml:space="preserve">Collection and distribution of electricity sector revenues is done in </w:t>
            </w:r>
            <w:r w:rsidRPr="001D2776">
              <w:rPr>
                <w:rFonts w:asciiTheme="minorHAnsi" w:hAnsiTheme="minorHAnsi" w:cstheme="minorHAnsi"/>
                <w:sz w:val="18"/>
                <w:szCs w:val="18"/>
              </w:rPr>
              <w:t>compliance with the Escrow Account Regulations</w:t>
            </w:r>
            <w:r>
              <w:rPr>
                <w:rFonts w:asciiTheme="minorHAnsi" w:eastAsia="Times New Roman" w:hAnsiTheme="minorHAnsi" w:cstheme="minorHAnsi"/>
                <w:sz w:val="18"/>
                <w:szCs w:val="18"/>
              </w:rPr>
              <w:t>.</w:t>
            </w:r>
          </w:p>
        </w:tc>
        <w:tc>
          <w:tcPr>
            <w:tcW w:w="2430" w:type="dxa"/>
          </w:tcPr>
          <w:p w14:paraId="232CE208" w14:textId="77777777" w:rsidR="00BF16EA" w:rsidRPr="005379D3" w:rsidRDefault="00BF16EA" w:rsidP="00BF16EA">
            <w:pPr>
              <w:rPr>
                <w:rFonts w:asciiTheme="minorHAnsi" w:hAnsiTheme="minorHAnsi" w:cstheme="minorHAnsi"/>
                <w:sz w:val="18"/>
                <w:szCs w:val="18"/>
              </w:rPr>
            </w:pPr>
          </w:p>
        </w:tc>
        <w:tc>
          <w:tcPr>
            <w:tcW w:w="2340" w:type="dxa"/>
          </w:tcPr>
          <w:p w14:paraId="0BE8209B" w14:textId="566706F4" w:rsidR="00BF16EA" w:rsidRPr="005379D3" w:rsidRDefault="00BF16EA" w:rsidP="00BF16EA">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BF16EA" w:rsidRPr="005379D3" w14:paraId="651F8C69" w14:textId="77777777" w:rsidTr="001D2776">
        <w:trPr>
          <w:trHeight w:val="530"/>
        </w:trPr>
        <w:tc>
          <w:tcPr>
            <w:tcW w:w="3127" w:type="dxa"/>
          </w:tcPr>
          <w:p w14:paraId="1168CA36" w14:textId="32E172A7" w:rsidR="00BF16EA" w:rsidRPr="00BF16EA" w:rsidRDefault="00BF16EA" w:rsidP="00BF16EA">
            <w:pPr>
              <w:pStyle w:val="BodyText"/>
              <w:ind w:left="0"/>
              <w:rPr>
                <w:rFonts w:asciiTheme="minorHAnsi" w:hAnsiTheme="minorHAnsi" w:cstheme="minorHAnsi"/>
                <w:b w:val="0"/>
                <w:bCs w:val="0"/>
                <w:sz w:val="18"/>
                <w:szCs w:val="18"/>
              </w:rPr>
            </w:pPr>
            <w:r w:rsidRPr="00BF16EA">
              <w:rPr>
                <w:rFonts w:asciiTheme="minorHAnsi" w:hAnsiTheme="minorHAnsi" w:cstheme="minorHAnsi"/>
                <w:b w:val="0"/>
                <w:bCs w:val="0"/>
                <w:sz w:val="18"/>
                <w:szCs w:val="18"/>
              </w:rPr>
              <w:t>DLR 11.7: By December 31, 2025, (a) collection and distribution of electricity sector revenues from domestic market are systematically carried out according to the Escrow Account Regulations; and (b) expenditures from other account(s) of BT were prioritized consistent with the existing liabilities including payments on sovereign-guaranteed debt</w:t>
            </w:r>
          </w:p>
        </w:tc>
        <w:tc>
          <w:tcPr>
            <w:tcW w:w="1350" w:type="dxa"/>
          </w:tcPr>
          <w:p w14:paraId="7C222466" w14:textId="75C5EE17" w:rsidR="00BF16EA" w:rsidRPr="00A349B3" w:rsidRDefault="00BF16EA" w:rsidP="00BF16EA">
            <w:pPr>
              <w:rPr>
                <w:rFonts w:asciiTheme="minorHAnsi" w:hAnsiTheme="minorHAnsi" w:cstheme="minorHAnsi"/>
                <w:sz w:val="18"/>
                <w:szCs w:val="18"/>
              </w:rPr>
            </w:pPr>
            <w:r w:rsidRPr="00A349B3">
              <w:rPr>
                <w:rFonts w:asciiTheme="minorHAnsi" w:hAnsiTheme="minorHAnsi" w:cstheme="minorHAnsi"/>
                <w:sz w:val="18"/>
                <w:szCs w:val="18"/>
              </w:rPr>
              <w:t>US$400,000</w:t>
            </w:r>
          </w:p>
        </w:tc>
        <w:tc>
          <w:tcPr>
            <w:tcW w:w="990" w:type="dxa"/>
          </w:tcPr>
          <w:p w14:paraId="44DB5264" w14:textId="34DACCD7" w:rsidR="00BF16EA" w:rsidRDefault="00BF16EA" w:rsidP="00BF16EA">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2CF4B18D" w14:textId="6CBE3B7E" w:rsidR="00BF16EA" w:rsidRDefault="00BF16EA" w:rsidP="00BF16EA">
            <w:pPr>
              <w:rPr>
                <w:rFonts w:asciiTheme="minorHAnsi" w:hAnsiTheme="minorHAnsi" w:cstheme="minorHAnsi"/>
                <w:sz w:val="18"/>
                <w:szCs w:val="18"/>
              </w:rPr>
            </w:pPr>
            <w:r>
              <w:rPr>
                <w:rFonts w:asciiTheme="minorHAnsi" w:hAnsiTheme="minorHAnsi" w:cstheme="minorHAnsi"/>
                <w:sz w:val="18"/>
                <w:szCs w:val="18"/>
              </w:rPr>
              <w:t>Dec. 31, 2025</w:t>
            </w:r>
          </w:p>
        </w:tc>
        <w:tc>
          <w:tcPr>
            <w:tcW w:w="2700" w:type="dxa"/>
          </w:tcPr>
          <w:p w14:paraId="424C454A" w14:textId="1ADC9144" w:rsidR="00BF16EA" w:rsidRDefault="00BF16EA" w:rsidP="00BF16EA">
            <w:pPr>
              <w:pStyle w:val="ListParagraph"/>
              <w:ind w:left="0"/>
              <w:contextualSpacing w:val="0"/>
              <w:rPr>
                <w:rFonts w:asciiTheme="minorHAnsi" w:eastAsia="Times New Roman" w:hAnsiTheme="minorHAnsi" w:cstheme="minorHAnsi"/>
                <w:sz w:val="18"/>
                <w:szCs w:val="18"/>
              </w:rPr>
            </w:pPr>
            <w:r w:rsidRPr="00280285">
              <w:rPr>
                <w:rFonts w:asciiTheme="minorHAnsi" w:hAnsiTheme="minorHAnsi" w:cstheme="minorHAnsi"/>
                <w:sz w:val="18"/>
                <w:szCs w:val="18"/>
              </w:rPr>
              <w:t xml:space="preserve">Collection and distribution of electricity sector revenues is done in </w:t>
            </w:r>
            <w:r w:rsidRPr="001D2776">
              <w:rPr>
                <w:rFonts w:asciiTheme="minorHAnsi" w:hAnsiTheme="minorHAnsi" w:cstheme="minorHAnsi"/>
                <w:sz w:val="18"/>
                <w:szCs w:val="18"/>
              </w:rPr>
              <w:t>compliance with the Escrow Account Regulations</w:t>
            </w:r>
            <w:r>
              <w:rPr>
                <w:rFonts w:asciiTheme="minorHAnsi" w:eastAsia="Times New Roman" w:hAnsiTheme="minorHAnsi" w:cstheme="minorHAnsi"/>
                <w:sz w:val="18"/>
                <w:szCs w:val="18"/>
              </w:rPr>
              <w:t>.</w:t>
            </w:r>
          </w:p>
        </w:tc>
        <w:tc>
          <w:tcPr>
            <w:tcW w:w="2430" w:type="dxa"/>
          </w:tcPr>
          <w:p w14:paraId="030B0446" w14:textId="04A456C9" w:rsidR="00BF16EA" w:rsidRPr="005379D3" w:rsidRDefault="00BF16EA" w:rsidP="00BF16EA">
            <w:pPr>
              <w:rPr>
                <w:rFonts w:asciiTheme="minorHAnsi" w:hAnsiTheme="minorHAnsi" w:cstheme="minorHAnsi"/>
                <w:sz w:val="18"/>
                <w:szCs w:val="18"/>
              </w:rPr>
            </w:pPr>
            <w:r>
              <w:rPr>
                <w:rFonts w:asciiTheme="minorHAnsi" w:hAnsiTheme="minorHAnsi" w:cstheme="minorHAnsi"/>
                <w:sz w:val="18"/>
                <w:szCs w:val="18"/>
              </w:rPr>
              <w:t>N/A</w:t>
            </w:r>
          </w:p>
        </w:tc>
        <w:tc>
          <w:tcPr>
            <w:tcW w:w="2340" w:type="dxa"/>
          </w:tcPr>
          <w:p w14:paraId="58AFA37B" w14:textId="27BBB6BF" w:rsidR="00BF16EA" w:rsidRPr="005379D3" w:rsidRDefault="00BF16EA" w:rsidP="00BF16EA">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BF16EA" w:rsidRPr="005379D3" w14:paraId="2ED861A9" w14:textId="77777777" w:rsidTr="001D2776">
        <w:trPr>
          <w:trHeight w:val="530"/>
        </w:trPr>
        <w:tc>
          <w:tcPr>
            <w:tcW w:w="3127" w:type="dxa"/>
          </w:tcPr>
          <w:p w14:paraId="3B7F8CAB" w14:textId="0DF83FF2" w:rsidR="00BF16EA" w:rsidRPr="00BF16EA" w:rsidRDefault="00BF16EA" w:rsidP="00BF16EA">
            <w:pPr>
              <w:pStyle w:val="BodyText"/>
              <w:ind w:left="0"/>
              <w:rPr>
                <w:rFonts w:asciiTheme="minorHAnsi" w:hAnsiTheme="minorHAnsi" w:cstheme="minorHAnsi"/>
                <w:b w:val="0"/>
                <w:bCs w:val="0"/>
                <w:sz w:val="18"/>
                <w:szCs w:val="18"/>
              </w:rPr>
            </w:pPr>
            <w:r w:rsidRPr="00BF16EA">
              <w:rPr>
                <w:rFonts w:asciiTheme="minorHAnsi" w:hAnsiTheme="minorHAnsi" w:cstheme="minorHAnsi"/>
                <w:b w:val="0"/>
                <w:bCs w:val="0"/>
                <w:sz w:val="18"/>
                <w:szCs w:val="18"/>
              </w:rPr>
              <w:t xml:space="preserve">DLR 11.8: By December 31, 2026, (a) collection and distribution of electricity sector revenues from domestic market are systematically carried out according to the Escrow Account Regulations; and </w:t>
            </w:r>
            <w:r w:rsidRPr="00BF16EA">
              <w:rPr>
                <w:rFonts w:asciiTheme="minorHAnsi" w:hAnsiTheme="minorHAnsi" w:cstheme="minorHAnsi"/>
                <w:b w:val="0"/>
                <w:bCs w:val="0"/>
                <w:sz w:val="18"/>
                <w:szCs w:val="18"/>
              </w:rPr>
              <w:lastRenderedPageBreak/>
              <w:t>(b) expenditures from other account(s) of BT were prioritized consistent with the existing liabilities including payments on sovereign-guaranteed debt</w:t>
            </w:r>
          </w:p>
        </w:tc>
        <w:tc>
          <w:tcPr>
            <w:tcW w:w="1350" w:type="dxa"/>
          </w:tcPr>
          <w:p w14:paraId="27445FDA" w14:textId="39F6971E" w:rsidR="00BF16EA" w:rsidRPr="00A349B3" w:rsidRDefault="00BF16EA" w:rsidP="00BF16EA">
            <w:pPr>
              <w:rPr>
                <w:rFonts w:asciiTheme="minorHAnsi" w:hAnsiTheme="minorHAnsi" w:cstheme="minorHAnsi"/>
                <w:sz w:val="18"/>
                <w:szCs w:val="18"/>
              </w:rPr>
            </w:pPr>
            <w:r>
              <w:rPr>
                <w:rFonts w:asciiTheme="minorHAnsi" w:hAnsiTheme="minorHAnsi" w:cstheme="minorHAnsi"/>
                <w:sz w:val="18"/>
                <w:szCs w:val="18"/>
              </w:rPr>
              <w:lastRenderedPageBreak/>
              <w:t>US$</w:t>
            </w:r>
            <w:r w:rsidRPr="00A349B3">
              <w:rPr>
                <w:rFonts w:asciiTheme="minorHAnsi" w:hAnsiTheme="minorHAnsi" w:cstheme="minorHAnsi"/>
                <w:sz w:val="18"/>
                <w:szCs w:val="18"/>
              </w:rPr>
              <w:t>400,000</w:t>
            </w:r>
          </w:p>
        </w:tc>
        <w:tc>
          <w:tcPr>
            <w:tcW w:w="990" w:type="dxa"/>
          </w:tcPr>
          <w:p w14:paraId="051DFEF9" w14:textId="39A169BC" w:rsidR="00BF16EA" w:rsidRDefault="00BF16EA" w:rsidP="00BF16EA">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6ACB4296" w14:textId="4910CE29" w:rsidR="00BF16EA" w:rsidRDefault="00BF16EA" w:rsidP="00BF16EA">
            <w:pPr>
              <w:rPr>
                <w:rFonts w:asciiTheme="minorHAnsi" w:hAnsiTheme="minorHAnsi" w:cstheme="minorHAnsi"/>
                <w:sz w:val="18"/>
                <w:szCs w:val="18"/>
              </w:rPr>
            </w:pPr>
            <w:r>
              <w:rPr>
                <w:rFonts w:asciiTheme="minorHAnsi" w:hAnsiTheme="minorHAnsi" w:cstheme="minorHAnsi"/>
                <w:sz w:val="18"/>
                <w:szCs w:val="18"/>
              </w:rPr>
              <w:t>Dec. 31, 2026</w:t>
            </w:r>
          </w:p>
        </w:tc>
        <w:tc>
          <w:tcPr>
            <w:tcW w:w="2700" w:type="dxa"/>
          </w:tcPr>
          <w:p w14:paraId="12C6742C" w14:textId="374419D9" w:rsidR="00BF16EA" w:rsidRDefault="00BF16EA" w:rsidP="00BF16EA">
            <w:pPr>
              <w:pStyle w:val="ListParagraph"/>
              <w:ind w:left="0"/>
              <w:contextualSpacing w:val="0"/>
              <w:rPr>
                <w:rFonts w:asciiTheme="minorHAnsi" w:eastAsia="Times New Roman" w:hAnsiTheme="minorHAnsi" w:cstheme="minorHAnsi"/>
                <w:sz w:val="18"/>
                <w:szCs w:val="18"/>
              </w:rPr>
            </w:pPr>
            <w:r w:rsidRPr="00280285">
              <w:rPr>
                <w:rFonts w:asciiTheme="minorHAnsi" w:hAnsiTheme="minorHAnsi" w:cstheme="minorHAnsi"/>
                <w:sz w:val="18"/>
                <w:szCs w:val="18"/>
              </w:rPr>
              <w:t xml:space="preserve">Collection and distribution of electricity sector revenues is done in </w:t>
            </w:r>
            <w:r w:rsidRPr="001D2776">
              <w:rPr>
                <w:rFonts w:asciiTheme="minorHAnsi" w:hAnsiTheme="minorHAnsi" w:cstheme="minorHAnsi"/>
                <w:sz w:val="18"/>
                <w:szCs w:val="18"/>
              </w:rPr>
              <w:t>compliance with the Escrow Account Regulations</w:t>
            </w:r>
            <w:r>
              <w:rPr>
                <w:rFonts w:asciiTheme="minorHAnsi" w:eastAsia="Times New Roman" w:hAnsiTheme="minorHAnsi" w:cstheme="minorHAnsi"/>
                <w:sz w:val="18"/>
                <w:szCs w:val="18"/>
              </w:rPr>
              <w:t>.</w:t>
            </w:r>
          </w:p>
        </w:tc>
        <w:tc>
          <w:tcPr>
            <w:tcW w:w="2430" w:type="dxa"/>
          </w:tcPr>
          <w:p w14:paraId="6263833D" w14:textId="38D34814" w:rsidR="00BF16EA" w:rsidRPr="005379D3" w:rsidRDefault="00BF16EA" w:rsidP="00BF16EA">
            <w:pPr>
              <w:rPr>
                <w:rFonts w:asciiTheme="minorHAnsi" w:hAnsiTheme="minorHAnsi" w:cstheme="minorHAnsi"/>
                <w:sz w:val="18"/>
                <w:szCs w:val="18"/>
              </w:rPr>
            </w:pPr>
            <w:r>
              <w:rPr>
                <w:rFonts w:asciiTheme="minorHAnsi" w:hAnsiTheme="minorHAnsi" w:cstheme="minorHAnsi"/>
                <w:sz w:val="18"/>
                <w:szCs w:val="18"/>
              </w:rPr>
              <w:t>N/A</w:t>
            </w:r>
          </w:p>
        </w:tc>
        <w:tc>
          <w:tcPr>
            <w:tcW w:w="2340" w:type="dxa"/>
          </w:tcPr>
          <w:p w14:paraId="1EAEB166" w14:textId="28E6CFBE" w:rsidR="00BF16EA" w:rsidRPr="005379D3" w:rsidRDefault="00BF16EA" w:rsidP="00BF16EA">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BF16EA" w:rsidRPr="005379D3" w14:paraId="7AD386C8" w14:textId="77777777" w:rsidTr="001D2776">
        <w:trPr>
          <w:trHeight w:val="530"/>
        </w:trPr>
        <w:tc>
          <w:tcPr>
            <w:tcW w:w="3127" w:type="dxa"/>
          </w:tcPr>
          <w:p w14:paraId="7FAB7E37" w14:textId="07B9E123" w:rsidR="00BF16EA" w:rsidRPr="00BF16EA" w:rsidRDefault="00BF16EA" w:rsidP="00BF16EA">
            <w:pPr>
              <w:pStyle w:val="BodyText"/>
              <w:ind w:left="0"/>
              <w:rPr>
                <w:rFonts w:asciiTheme="minorHAnsi" w:hAnsiTheme="minorHAnsi" w:cstheme="minorHAnsi"/>
                <w:b w:val="0"/>
                <w:bCs w:val="0"/>
                <w:sz w:val="18"/>
                <w:szCs w:val="18"/>
              </w:rPr>
            </w:pPr>
            <w:r w:rsidRPr="00BF16EA">
              <w:rPr>
                <w:rFonts w:asciiTheme="minorHAnsi" w:hAnsiTheme="minorHAnsi" w:cstheme="minorHAnsi"/>
                <w:b w:val="0"/>
                <w:bCs w:val="0"/>
                <w:sz w:val="18"/>
                <w:szCs w:val="18"/>
              </w:rPr>
              <w:t>DLR 11.9: By December 31, 2027, (a) collection and distribution of electricity sector revenues from domestic market are systematically carried out according to the Escrow Account Regulations; and (b) expenditures from other account(s) of BT were prioritized consistent with the existing liabilities including payments on sovereign-guaranteed debt</w:t>
            </w:r>
          </w:p>
        </w:tc>
        <w:tc>
          <w:tcPr>
            <w:tcW w:w="1350" w:type="dxa"/>
          </w:tcPr>
          <w:p w14:paraId="7116035B" w14:textId="15EBC5AE" w:rsidR="00BF16EA" w:rsidRPr="00A349B3" w:rsidRDefault="00BF16EA" w:rsidP="00BF16EA">
            <w:pPr>
              <w:rPr>
                <w:rFonts w:asciiTheme="minorHAnsi" w:hAnsiTheme="minorHAnsi" w:cstheme="minorHAnsi"/>
                <w:sz w:val="18"/>
                <w:szCs w:val="18"/>
              </w:rPr>
            </w:pPr>
            <w:r w:rsidRPr="00A349B3">
              <w:rPr>
                <w:rFonts w:asciiTheme="minorHAnsi" w:hAnsiTheme="minorHAnsi" w:cstheme="minorHAnsi"/>
                <w:sz w:val="18"/>
                <w:szCs w:val="18"/>
              </w:rPr>
              <w:t>US$400,000</w:t>
            </w:r>
          </w:p>
        </w:tc>
        <w:tc>
          <w:tcPr>
            <w:tcW w:w="990" w:type="dxa"/>
          </w:tcPr>
          <w:p w14:paraId="748BB22A" w14:textId="78A620FA" w:rsidR="00BF16EA" w:rsidRDefault="00BF16EA" w:rsidP="00BF16EA">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2E3EFC0E" w14:textId="38F2A7D5" w:rsidR="00BF16EA" w:rsidRDefault="00BF16EA" w:rsidP="00BF16EA">
            <w:pPr>
              <w:rPr>
                <w:rFonts w:asciiTheme="minorHAnsi" w:hAnsiTheme="minorHAnsi" w:cstheme="minorHAnsi"/>
                <w:sz w:val="18"/>
                <w:szCs w:val="18"/>
              </w:rPr>
            </w:pPr>
            <w:r>
              <w:rPr>
                <w:rFonts w:asciiTheme="minorHAnsi" w:hAnsiTheme="minorHAnsi" w:cstheme="minorHAnsi"/>
                <w:sz w:val="18"/>
                <w:szCs w:val="18"/>
              </w:rPr>
              <w:t>Dec. 31, 2027</w:t>
            </w:r>
          </w:p>
        </w:tc>
        <w:tc>
          <w:tcPr>
            <w:tcW w:w="2700" w:type="dxa"/>
          </w:tcPr>
          <w:p w14:paraId="4158763C" w14:textId="4C83AB98" w:rsidR="00BF16EA" w:rsidRDefault="00BF16EA" w:rsidP="00BF16EA">
            <w:pPr>
              <w:pStyle w:val="ListParagraph"/>
              <w:ind w:left="0"/>
              <w:contextualSpacing w:val="0"/>
              <w:rPr>
                <w:rFonts w:asciiTheme="minorHAnsi" w:eastAsia="Times New Roman" w:hAnsiTheme="minorHAnsi" w:cstheme="minorHAnsi"/>
                <w:sz w:val="18"/>
                <w:szCs w:val="18"/>
              </w:rPr>
            </w:pPr>
            <w:r w:rsidRPr="00280285">
              <w:rPr>
                <w:rFonts w:asciiTheme="minorHAnsi" w:hAnsiTheme="minorHAnsi" w:cstheme="minorHAnsi"/>
                <w:sz w:val="18"/>
                <w:szCs w:val="18"/>
              </w:rPr>
              <w:t xml:space="preserve">Collection and distribution of electricity sector revenues is done in </w:t>
            </w:r>
            <w:r w:rsidRPr="001D2776">
              <w:rPr>
                <w:rFonts w:asciiTheme="minorHAnsi" w:hAnsiTheme="minorHAnsi" w:cstheme="minorHAnsi"/>
                <w:sz w:val="18"/>
                <w:szCs w:val="18"/>
              </w:rPr>
              <w:t>compliance with the Escrow Account Regulations</w:t>
            </w:r>
            <w:r>
              <w:rPr>
                <w:rFonts w:asciiTheme="minorHAnsi" w:eastAsia="Times New Roman" w:hAnsiTheme="minorHAnsi" w:cstheme="minorHAnsi"/>
                <w:sz w:val="18"/>
                <w:szCs w:val="18"/>
              </w:rPr>
              <w:t>.</w:t>
            </w:r>
          </w:p>
        </w:tc>
        <w:tc>
          <w:tcPr>
            <w:tcW w:w="2430" w:type="dxa"/>
          </w:tcPr>
          <w:p w14:paraId="79BCAAC5" w14:textId="047A80ED" w:rsidR="00BF16EA" w:rsidRPr="005379D3" w:rsidRDefault="00BF16EA" w:rsidP="00BF16EA">
            <w:pPr>
              <w:rPr>
                <w:rFonts w:asciiTheme="minorHAnsi" w:hAnsiTheme="minorHAnsi" w:cstheme="minorHAnsi"/>
                <w:sz w:val="18"/>
                <w:szCs w:val="18"/>
              </w:rPr>
            </w:pPr>
            <w:r>
              <w:rPr>
                <w:rFonts w:asciiTheme="minorHAnsi" w:hAnsiTheme="minorHAnsi" w:cstheme="minorHAnsi"/>
                <w:sz w:val="18"/>
                <w:szCs w:val="18"/>
              </w:rPr>
              <w:t>N/A</w:t>
            </w:r>
          </w:p>
        </w:tc>
        <w:tc>
          <w:tcPr>
            <w:tcW w:w="2340" w:type="dxa"/>
          </w:tcPr>
          <w:p w14:paraId="55F032A3" w14:textId="5CBB1083" w:rsidR="00BF16EA" w:rsidRPr="005379D3" w:rsidRDefault="00BF16EA" w:rsidP="00BF16EA">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BF16EA" w:rsidRPr="005379D3" w14:paraId="55E90362" w14:textId="77777777" w:rsidTr="001D2776">
        <w:trPr>
          <w:trHeight w:val="530"/>
        </w:trPr>
        <w:tc>
          <w:tcPr>
            <w:tcW w:w="3127" w:type="dxa"/>
          </w:tcPr>
          <w:p w14:paraId="4E68D982" w14:textId="00FEB45D" w:rsidR="00BF16EA" w:rsidRPr="00BF16EA" w:rsidRDefault="00BF16EA" w:rsidP="00BF16EA">
            <w:pPr>
              <w:pStyle w:val="BodyText"/>
              <w:ind w:left="0"/>
              <w:rPr>
                <w:rFonts w:asciiTheme="minorHAnsi" w:hAnsiTheme="minorHAnsi" w:cstheme="minorHAnsi"/>
                <w:b w:val="0"/>
                <w:bCs w:val="0"/>
                <w:sz w:val="18"/>
                <w:szCs w:val="18"/>
              </w:rPr>
            </w:pPr>
            <w:r w:rsidRPr="00BF16EA">
              <w:rPr>
                <w:rFonts w:asciiTheme="minorHAnsi" w:hAnsiTheme="minorHAnsi" w:cstheme="minorHAnsi"/>
                <w:b w:val="0"/>
                <w:bCs w:val="0"/>
                <w:sz w:val="18"/>
                <w:szCs w:val="18"/>
              </w:rPr>
              <w:t>DLR 11.10: By December 31, 2028, (a) collection and distribution of electricity sector revenues from domestic market are systematically carried out according to the Escrow Account Regulations; and (b) expenditures from other account(s) of BT were prioritized consistent with the existing liabilities including payments on sovereign-guaranteed debt</w:t>
            </w:r>
          </w:p>
        </w:tc>
        <w:tc>
          <w:tcPr>
            <w:tcW w:w="1350" w:type="dxa"/>
          </w:tcPr>
          <w:p w14:paraId="276D1D41" w14:textId="569927F2" w:rsidR="00BF16EA" w:rsidRPr="00A349B3" w:rsidRDefault="00BF16EA" w:rsidP="00BF16EA">
            <w:pPr>
              <w:rPr>
                <w:rFonts w:asciiTheme="minorHAnsi" w:hAnsiTheme="minorHAnsi" w:cstheme="minorHAnsi"/>
                <w:sz w:val="18"/>
                <w:szCs w:val="18"/>
              </w:rPr>
            </w:pPr>
            <w:r w:rsidRPr="00A349B3">
              <w:rPr>
                <w:rFonts w:asciiTheme="minorHAnsi" w:hAnsiTheme="minorHAnsi" w:cstheme="minorHAnsi"/>
                <w:sz w:val="18"/>
                <w:szCs w:val="18"/>
              </w:rPr>
              <w:t>US$400,000</w:t>
            </w:r>
          </w:p>
        </w:tc>
        <w:tc>
          <w:tcPr>
            <w:tcW w:w="990" w:type="dxa"/>
          </w:tcPr>
          <w:p w14:paraId="200815F7" w14:textId="01BF8FB8" w:rsidR="00BF16EA" w:rsidRDefault="00BF16EA" w:rsidP="00BF16EA">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713F65EA" w14:textId="56593811" w:rsidR="00BF16EA" w:rsidRDefault="00BF16EA" w:rsidP="00BF16EA">
            <w:pPr>
              <w:rPr>
                <w:rFonts w:asciiTheme="minorHAnsi" w:hAnsiTheme="minorHAnsi" w:cstheme="minorHAnsi"/>
                <w:sz w:val="18"/>
                <w:szCs w:val="18"/>
              </w:rPr>
            </w:pPr>
            <w:r>
              <w:rPr>
                <w:rFonts w:asciiTheme="minorHAnsi" w:hAnsiTheme="minorHAnsi" w:cstheme="minorHAnsi"/>
                <w:sz w:val="18"/>
                <w:szCs w:val="18"/>
              </w:rPr>
              <w:t>Dec. 31, 2028</w:t>
            </w:r>
          </w:p>
        </w:tc>
        <w:tc>
          <w:tcPr>
            <w:tcW w:w="2700" w:type="dxa"/>
          </w:tcPr>
          <w:p w14:paraId="2835C343" w14:textId="3F665AD4" w:rsidR="00BF16EA" w:rsidRDefault="00BF16EA" w:rsidP="00BF16EA">
            <w:pPr>
              <w:pStyle w:val="ListParagraph"/>
              <w:ind w:left="0"/>
              <w:contextualSpacing w:val="0"/>
              <w:rPr>
                <w:rFonts w:asciiTheme="minorHAnsi" w:eastAsia="Times New Roman" w:hAnsiTheme="minorHAnsi" w:cstheme="minorHAnsi"/>
                <w:sz w:val="18"/>
                <w:szCs w:val="18"/>
              </w:rPr>
            </w:pPr>
            <w:r w:rsidRPr="00280285">
              <w:rPr>
                <w:rFonts w:asciiTheme="minorHAnsi" w:hAnsiTheme="minorHAnsi" w:cstheme="minorHAnsi"/>
                <w:sz w:val="18"/>
                <w:szCs w:val="18"/>
              </w:rPr>
              <w:t xml:space="preserve">Collection and distribution of electricity sector revenues is done in </w:t>
            </w:r>
            <w:r w:rsidRPr="001D2776">
              <w:rPr>
                <w:rFonts w:asciiTheme="minorHAnsi" w:hAnsiTheme="minorHAnsi" w:cstheme="minorHAnsi"/>
                <w:sz w:val="18"/>
                <w:szCs w:val="18"/>
              </w:rPr>
              <w:t>compliance with the Escrow Account Regulations</w:t>
            </w:r>
            <w:r>
              <w:rPr>
                <w:rFonts w:asciiTheme="minorHAnsi" w:eastAsia="Times New Roman" w:hAnsiTheme="minorHAnsi" w:cstheme="minorHAnsi"/>
                <w:sz w:val="18"/>
                <w:szCs w:val="18"/>
              </w:rPr>
              <w:t>.</w:t>
            </w:r>
          </w:p>
        </w:tc>
        <w:tc>
          <w:tcPr>
            <w:tcW w:w="2430" w:type="dxa"/>
          </w:tcPr>
          <w:p w14:paraId="3190A18E" w14:textId="3FB22488" w:rsidR="00BF16EA" w:rsidRPr="005379D3" w:rsidRDefault="00BF16EA" w:rsidP="00BF16EA">
            <w:pPr>
              <w:rPr>
                <w:rFonts w:asciiTheme="minorHAnsi" w:hAnsiTheme="minorHAnsi" w:cstheme="minorHAnsi"/>
                <w:sz w:val="18"/>
                <w:szCs w:val="18"/>
              </w:rPr>
            </w:pPr>
            <w:r>
              <w:rPr>
                <w:rFonts w:asciiTheme="minorHAnsi" w:hAnsiTheme="minorHAnsi" w:cstheme="minorHAnsi"/>
                <w:sz w:val="18"/>
                <w:szCs w:val="18"/>
              </w:rPr>
              <w:t>N/A</w:t>
            </w:r>
          </w:p>
        </w:tc>
        <w:tc>
          <w:tcPr>
            <w:tcW w:w="2340" w:type="dxa"/>
          </w:tcPr>
          <w:p w14:paraId="1492919D" w14:textId="22C3E583" w:rsidR="00BF16EA" w:rsidRPr="005379D3" w:rsidRDefault="00BF16EA" w:rsidP="00BF16EA">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BF16EA" w:rsidRPr="005379D3" w14:paraId="05A2A4AB" w14:textId="77777777" w:rsidTr="001D2776">
        <w:trPr>
          <w:trHeight w:val="530"/>
        </w:trPr>
        <w:tc>
          <w:tcPr>
            <w:tcW w:w="3127" w:type="dxa"/>
          </w:tcPr>
          <w:p w14:paraId="24B25415" w14:textId="465A138D" w:rsidR="00BF16EA" w:rsidRPr="00BF16EA" w:rsidRDefault="00BF16EA" w:rsidP="00BF16EA">
            <w:pPr>
              <w:pStyle w:val="BodyText"/>
              <w:ind w:left="0"/>
              <w:rPr>
                <w:rFonts w:asciiTheme="minorHAnsi" w:hAnsiTheme="minorHAnsi" w:cstheme="minorHAnsi"/>
                <w:b w:val="0"/>
                <w:bCs w:val="0"/>
                <w:sz w:val="18"/>
                <w:szCs w:val="18"/>
              </w:rPr>
            </w:pPr>
            <w:r w:rsidRPr="00BF16EA">
              <w:rPr>
                <w:rFonts w:asciiTheme="minorHAnsi" w:hAnsiTheme="minorHAnsi" w:cstheme="minorHAnsi"/>
                <w:b w:val="0"/>
                <w:bCs w:val="0"/>
                <w:sz w:val="18"/>
                <w:szCs w:val="18"/>
              </w:rPr>
              <w:t>DLR 11.11: By December 31, 2029, (a) collection and distribution of electricity sector revenues from domestic market are systematically carried out according to the Escrow Account Regulations; and (b) expenditures from other account(s) of BT were prioritized consistent with the existing liabilities including payments on sovereign-guaranteed debt</w:t>
            </w:r>
          </w:p>
        </w:tc>
        <w:tc>
          <w:tcPr>
            <w:tcW w:w="1350" w:type="dxa"/>
          </w:tcPr>
          <w:p w14:paraId="68507E5F" w14:textId="4CAB0AEA" w:rsidR="00BF16EA" w:rsidRPr="00A349B3" w:rsidRDefault="00BF16EA" w:rsidP="00BF16EA">
            <w:pPr>
              <w:rPr>
                <w:rFonts w:asciiTheme="minorHAnsi" w:hAnsiTheme="minorHAnsi" w:cstheme="minorHAnsi"/>
                <w:sz w:val="18"/>
                <w:szCs w:val="18"/>
              </w:rPr>
            </w:pPr>
            <w:r w:rsidRPr="00A349B3">
              <w:rPr>
                <w:rFonts w:asciiTheme="minorHAnsi" w:hAnsiTheme="minorHAnsi" w:cstheme="minorHAnsi"/>
                <w:sz w:val="18"/>
                <w:szCs w:val="18"/>
              </w:rPr>
              <w:t>US$400,000</w:t>
            </w:r>
          </w:p>
        </w:tc>
        <w:tc>
          <w:tcPr>
            <w:tcW w:w="990" w:type="dxa"/>
          </w:tcPr>
          <w:p w14:paraId="730CED0F" w14:textId="1BE99B6E" w:rsidR="00BF16EA" w:rsidRDefault="00BF16EA" w:rsidP="00BF16EA">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51EF3D87" w14:textId="14B6AB47" w:rsidR="00BF16EA" w:rsidRDefault="00BF16EA" w:rsidP="00BF16EA">
            <w:pPr>
              <w:rPr>
                <w:rFonts w:asciiTheme="minorHAnsi" w:hAnsiTheme="minorHAnsi" w:cstheme="minorHAnsi"/>
                <w:sz w:val="18"/>
                <w:szCs w:val="18"/>
              </w:rPr>
            </w:pPr>
            <w:r>
              <w:rPr>
                <w:rFonts w:asciiTheme="minorHAnsi" w:hAnsiTheme="minorHAnsi" w:cstheme="minorHAnsi"/>
                <w:sz w:val="18"/>
                <w:szCs w:val="18"/>
              </w:rPr>
              <w:t>Dec. 31, 2029</w:t>
            </w:r>
          </w:p>
        </w:tc>
        <w:tc>
          <w:tcPr>
            <w:tcW w:w="2700" w:type="dxa"/>
          </w:tcPr>
          <w:p w14:paraId="62183F3B" w14:textId="5485D48C" w:rsidR="00BF16EA" w:rsidRDefault="00BF16EA" w:rsidP="00BF16EA">
            <w:pPr>
              <w:pStyle w:val="ListParagraph"/>
              <w:ind w:left="0"/>
              <w:contextualSpacing w:val="0"/>
              <w:rPr>
                <w:rFonts w:asciiTheme="minorHAnsi" w:eastAsia="Times New Roman" w:hAnsiTheme="minorHAnsi" w:cstheme="minorHAnsi"/>
                <w:sz w:val="18"/>
                <w:szCs w:val="18"/>
              </w:rPr>
            </w:pPr>
            <w:r w:rsidRPr="00280285">
              <w:rPr>
                <w:rFonts w:asciiTheme="minorHAnsi" w:hAnsiTheme="minorHAnsi" w:cstheme="minorHAnsi"/>
                <w:sz w:val="18"/>
                <w:szCs w:val="18"/>
              </w:rPr>
              <w:t xml:space="preserve">Collection and distribution of electricity sector revenues is done in </w:t>
            </w:r>
            <w:r w:rsidRPr="001D2776">
              <w:rPr>
                <w:rFonts w:asciiTheme="minorHAnsi" w:hAnsiTheme="minorHAnsi" w:cstheme="minorHAnsi"/>
                <w:sz w:val="18"/>
                <w:szCs w:val="18"/>
              </w:rPr>
              <w:t>compliance with the Escrow Account Regulations</w:t>
            </w:r>
            <w:r>
              <w:rPr>
                <w:rFonts w:asciiTheme="minorHAnsi" w:eastAsia="Times New Roman" w:hAnsiTheme="minorHAnsi" w:cstheme="minorHAnsi"/>
                <w:sz w:val="18"/>
                <w:szCs w:val="18"/>
              </w:rPr>
              <w:t>.</w:t>
            </w:r>
          </w:p>
        </w:tc>
        <w:tc>
          <w:tcPr>
            <w:tcW w:w="2430" w:type="dxa"/>
          </w:tcPr>
          <w:p w14:paraId="573E9672" w14:textId="005DFAE8" w:rsidR="00BF16EA" w:rsidRPr="005379D3" w:rsidRDefault="00BF16EA" w:rsidP="00BF16EA">
            <w:pPr>
              <w:rPr>
                <w:rFonts w:asciiTheme="minorHAnsi" w:hAnsiTheme="minorHAnsi" w:cstheme="minorHAnsi"/>
                <w:sz w:val="18"/>
                <w:szCs w:val="18"/>
              </w:rPr>
            </w:pPr>
            <w:r>
              <w:rPr>
                <w:rFonts w:asciiTheme="minorHAnsi" w:hAnsiTheme="minorHAnsi" w:cstheme="minorHAnsi"/>
                <w:sz w:val="18"/>
                <w:szCs w:val="18"/>
              </w:rPr>
              <w:t>N/A</w:t>
            </w:r>
          </w:p>
        </w:tc>
        <w:tc>
          <w:tcPr>
            <w:tcW w:w="2340" w:type="dxa"/>
          </w:tcPr>
          <w:p w14:paraId="171E6F5B" w14:textId="5D6D7E35" w:rsidR="00BF16EA" w:rsidRPr="005379D3" w:rsidRDefault="00BF16EA" w:rsidP="00BF16EA">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r w:rsidR="00BF16EA" w:rsidRPr="005379D3" w14:paraId="23F09149" w14:textId="77777777" w:rsidTr="001D2776">
        <w:trPr>
          <w:trHeight w:val="530"/>
        </w:trPr>
        <w:tc>
          <w:tcPr>
            <w:tcW w:w="3127" w:type="dxa"/>
          </w:tcPr>
          <w:p w14:paraId="5F968873" w14:textId="08ACD1CF" w:rsidR="00BF16EA" w:rsidRPr="00BF16EA" w:rsidRDefault="00BF16EA" w:rsidP="00BF16EA">
            <w:pPr>
              <w:pStyle w:val="BodyText"/>
              <w:ind w:left="0"/>
              <w:rPr>
                <w:rFonts w:asciiTheme="minorHAnsi" w:hAnsiTheme="minorHAnsi" w:cstheme="minorHAnsi"/>
                <w:b w:val="0"/>
                <w:bCs w:val="0"/>
                <w:sz w:val="18"/>
                <w:szCs w:val="18"/>
              </w:rPr>
            </w:pPr>
            <w:r w:rsidRPr="00BF16EA">
              <w:rPr>
                <w:rFonts w:asciiTheme="minorHAnsi" w:hAnsiTheme="minorHAnsi" w:cstheme="minorHAnsi"/>
                <w:b w:val="0"/>
                <w:bCs w:val="0"/>
                <w:sz w:val="18"/>
                <w:szCs w:val="18"/>
              </w:rPr>
              <w:lastRenderedPageBreak/>
              <w:t>DLR 11.12: By December 31, 2030, (a) collection and distribution of electricity sector revenues from domestic market are systematically carried out according to the Escrow Account Regulations; and (b) expenditures from other account(s) of BT were prioritized consistent with the existing liabilities including payments on sovereign-guaranteed debt</w:t>
            </w:r>
          </w:p>
        </w:tc>
        <w:tc>
          <w:tcPr>
            <w:tcW w:w="1350" w:type="dxa"/>
          </w:tcPr>
          <w:p w14:paraId="2CFD8F60" w14:textId="5D00F77C" w:rsidR="00BF16EA" w:rsidRPr="00A349B3" w:rsidRDefault="00BF16EA" w:rsidP="00BF16EA">
            <w:pPr>
              <w:rPr>
                <w:rFonts w:asciiTheme="minorHAnsi" w:hAnsiTheme="minorHAnsi" w:cstheme="minorHAnsi"/>
                <w:sz w:val="18"/>
                <w:szCs w:val="18"/>
              </w:rPr>
            </w:pPr>
            <w:r w:rsidRPr="00A349B3">
              <w:rPr>
                <w:rFonts w:asciiTheme="minorHAnsi" w:hAnsiTheme="minorHAnsi" w:cstheme="minorHAnsi"/>
                <w:sz w:val="18"/>
                <w:szCs w:val="18"/>
              </w:rPr>
              <w:t>US$400,000</w:t>
            </w:r>
          </w:p>
        </w:tc>
        <w:tc>
          <w:tcPr>
            <w:tcW w:w="990" w:type="dxa"/>
          </w:tcPr>
          <w:p w14:paraId="1672296C" w14:textId="69B04B91" w:rsidR="00BF16EA" w:rsidRDefault="00BF16EA" w:rsidP="00BF16EA">
            <w:pPr>
              <w:rPr>
                <w:rFonts w:asciiTheme="minorHAnsi" w:hAnsiTheme="minorHAnsi" w:cstheme="minorHAnsi"/>
                <w:sz w:val="18"/>
                <w:szCs w:val="18"/>
              </w:rPr>
            </w:pPr>
            <w:r>
              <w:rPr>
                <w:rFonts w:asciiTheme="minorHAnsi" w:hAnsiTheme="minorHAnsi" w:cstheme="minorHAnsi"/>
                <w:sz w:val="18"/>
                <w:szCs w:val="18"/>
              </w:rPr>
              <w:t>-</w:t>
            </w:r>
          </w:p>
        </w:tc>
        <w:tc>
          <w:tcPr>
            <w:tcW w:w="1530" w:type="dxa"/>
          </w:tcPr>
          <w:p w14:paraId="34ABDC04" w14:textId="0B387F4C" w:rsidR="00BF16EA" w:rsidRDefault="00BF16EA" w:rsidP="00BF16EA">
            <w:pPr>
              <w:rPr>
                <w:rFonts w:asciiTheme="minorHAnsi" w:hAnsiTheme="minorHAnsi" w:cstheme="minorHAnsi"/>
                <w:sz w:val="18"/>
                <w:szCs w:val="18"/>
              </w:rPr>
            </w:pPr>
            <w:r>
              <w:rPr>
                <w:rFonts w:asciiTheme="minorHAnsi" w:hAnsiTheme="minorHAnsi" w:cstheme="minorHAnsi"/>
                <w:sz w:val="18"/>
                <w:szCs w:val="18"/>
              </w:rPr>
              <w:t>Dec. 31, 2030</w:t>
            </w:r>
          </w:p>
        </w:tc>
        <w:tc>
          <w:tcPr>
            <w:tcW w:w="2700" w:type="dxa"/>
          </w:tcPr>
          <w:p w14:paraId="40245FBE" w14:textId="7684A838" w:rsidR="00BF16EA" w:rsidRDefault="00BF16EA" w:rsidP="00BF16EA">
            <w:pPr>
              <w:pStyle w:val="ListParagraph"/>
              <w:ind w:left="0"/>
              <w:contextualSpacing w:val="0"/>
              <w:rPr>
                <w:rFonts w:asciiTheme="minorHAnsi" w:eastAsia="Times New Roman" w:hAnsiTheme="minorHAnsi" w:cstheme="minorHAnsi"/>
                <w:sz w:val="18"/>
                <w:szCs w:val="18"/>
              </w:rPr>
            </w:pPr>
            <w:r w:rsidRPr="00280285">
              <w:rPr>
                <w:rFonts w:asciiTheme="minorHAnsi" w:hAnsiTheme="minorHAnsi" w:cstheme="minorHAnsi"/>
                <w:sz w:val="18"/>
                <w:szCs w:val="18"/>
              </w:rPr>
              <w:t xml:space="preserve">Collection and distribution of electricity sector revenues is done in </w:t>
            </w:r>
            <w:r w:rsidRPr="001D2776">
              <w:rPr>
                <w:rFonts w:asciiTheme="minorHAnsi" w:hAnsiTheme="minorHAnsi" w:cstheme="minorHAnsi"/>
                <w:sz w:val="18"/>
                <w:szCs w:val="18"/>
              </w:rPr>
              <w:t>compliance with the Escrow Account Regulations</w:t>
            </w:r>
            <w:r>
              <w:rPr>
                <w:rFonts w:asciiTheme="minorHAnsi" w:eastAsia="Times New Roman" w:hAnsiTheme="minorHAnsi" w:cstheme="minorHAnsi"/>
                <w:sz w:val="18"/>
                <w:szCs w:val="18"/>
              </w:rPr>
              <w:t>.</w:t>
            </w:r>
          </w:p>
        </w:tc>
        <w:tc>
          <w:tcPr>
            <w:tcW w:w="2430" w:type="dxa"/>
          </w:tcPr>
          <w:p w14:paraId="4E79D124" w14:textId="61B0000C" w:rsidR="00BF16EA" w:rsidRPr="005379D3" w:rsidRDefault="00BF16EA" w:rsidP="00BF16EA">
            <w:pPr>
              <w:rPr>
                <w:rFonts w:asciiTheme="minorHAnsi" w:hAnsiTheme="minorHAnsi" w:cstheme="minorHAnsi"/>
                <w:sz w:val="18"/>
                <w:szCs w:val="18"/>
              </w:rPr>
            </w:pPr>
            <w:r>
              <w:rPr>
                <w:rFonts w:asciiTheme="minorHAnsi" w:hAnsiTheme="minorHAnsi" w:cstheme="minorHAnsi"/>
                <w:sz w:val="18"/>
                <w:szCs w:val="18"/>
              </w:rPr>
              <w:t>N/A</w:t>
            </w:r>
          </w:p>
        </w:tc>
        <w:tc>
          <w:tcPr>
            <w:tcW w:w="2340" w:type="dxa"/>
          </w:tcPr>
          <w:p w14:paraId="3259391B" w14:textId="2D60BCBD" w:rsidR="00BF16EA" w:rsidRPr="005379D3" w:rsidRDefault="00BF16EA" w:rsidP="00BF16EA">
            <w:pPr>
              <w:rPr>
                <w:rFonts w:asciiTheme="minorHAnsi" w:hAnsiTheme="minorHAnsi" w:cstheme="minorHAnsi"/>
                <w:sz w:val="18"/>
                <w:szCs w:val="18"/>
              </w:rPr>
            </w:pPr>
            <w:r w:rsidRPr="005379D3">
              <w:rPr>
                <w:rFonts w:asciiTheme="minorHAnsi" w:hAnsiTheme="minorHAnsi" w:cstheme="minorHAnsi"/>
                <w:sz w:val="18"/>
                <w:szCs w:val="18"/>
              </w:rPr>
              <w:t>100</w:t>
            </w:r>
            <w:r>
              <w:rPr>
                <w:rFonts w:asciiTheme="minorHAnsi" w:hAnsiTheme="minorHAnsi" w:cstheme="minorHAnsi"/>
                <w:sz w:val="18"/>
                <w:szCs w:val="18"/>
              </w:rPr>
              <w:t xml:space="preserve"> percent</w:t>
            </w:r>
            <w:r w:rsidRPr="005379D3">
              <w:rPr>
                <w:rFonts w:asciiTheme="minorHAnsi" w:hAnsiTheme="minorHAnsi" w:cstheme="minorHAnsi"/>
                <w:sz w:val="18"/>
                <w:szCs w:val="18"/>
              </w:rPr>
              <w:t xml:space="preserve"> disbursement for full compliance. No disbursement in case of partial or complete non-compliance.</w:t>
            </w:r>
          </w:p>
        </w:tc>
      </w:tr>
    </w:tbl>
    <w:p w14:paraId="72E23A11" w14:textId="77777777" w:rsidR="008219C1" w:rsidRDefault="008219C1" w:rsidP="008219C1">
      <w:pPr>
        <w:jc w:val="center"/>
        <w:rPr>
          <w:rFonts w:asciiTheme="minorHAnsi" w:hAnsiTheme="minorHAnsi" w:cstheme="minorHAnsi"/>
          <w:b/>
          <w:sz w:val="22"/>
          <w:szCs w:val="28"/>
        </w:rPr>
      </w:pPr>
    </w:p>
    <w:p w14:paraId="6BDA98FB" w14:textId="023049FE" w:rsidR="008219C1" w:rsidRDefault="008219C1" w:rsidP="008219C1">
      <w:pPr>
        <w:jc w:val="center"/>
        <w:rPr>
          <w:rFonts w:asciiTheme="minorHAnsi" w:hAnsiTheme="minorHAnsi" w:cstheme="minorHAnsi"/>
          <w:b/>
          <w:sz w:val="22"/>
          <w:szCs w:val="28"/>
        </w:rPr>
      </w:pPr>
    </w:p>
    <w:p w14:paraId="11935557" w14:textId="5B14A24A" w:rsidR="005E549E" w:rsidRDefault="005E549E" w:rsidP="008219C1">
      <w:pPr>
        <w:jc w:val="center"/>
        <w:rPr>
          <w:rFonts w:asciiTheme="minorHAnsi" w:hAnsiTheme="minorHAnsi" w:cstheme="minorHAnsi"/>
          <w:b/>
          <w:sz w:val="22"/>
          <w:szCs w:val="28"/>
        </w:rPr>
      </w:pPr>
    </w:p>
    <w:p w14:paraId="41A2D4EA" w14:textId="22C25259" w:rsidR="005E549E" w:rsidRDefault="005E549E" w:rsidP="008219C1">
      <w:pPr>
        <w:jc w:val="center"/>
        <w:rPr>
          <w:rFonts w:asciiTheme="minorHAnsi" w:hAnsiTheme="minorHAnsi" w:cstheme="minorHAnsi"/>
          <w:b/>
          <w:sz w:val="22"/>
          <w:szCs w:val="28"/>
        </w:rPr>
      </w:pPr>
    </w:p>
    <w:p w14:paraId="13DDD5E9" w14:textId="2DD3F550" w:rsidR="001D2776" w:rsidRDefault="001D2776" w:rsidP="008219C1">
      <w:pPr>
        <w:jc w:val="center"/>
        <w:rPr>
          <w:rFonts w:asciiTheme="minorHAnsi" w:hAnsiTheme="minorHAnsi" w:cstheme="minorHAnsi"/>
          <w:b/>
          <w:sz w:val="22"/>
          <w:szCs w:val="28"/>
        </w:rPr>
      </w:pPr>
    </w:p>
    <w:p w14:paraId="3776C58C" w14:textId="1468D57A" w:rsidR="001D2776" w:rsidRDefault="001D2776" w:rsidP="008219C1">
      <w:pPr>
        <w:jc w:val="center"/>
        <w:rPr>
          <w:rFonts w:asciiTheme="minorHAnsi" w:hAnsiTheme="minorHAnsi" w:cstheme="minorHAnsi"/>
          <w:b/>
          <w:sz w:val="22"/>
          <w:szCs w:val="28"/>
        </w:rPr>
      </w:pPr>
    </w:p>
    <w:p w14:paraId="14D262CB" w14:textId="3BE2E7CC" w:rsidR="001D2776" w:rsidRDefault="001D2776" w:rsidP="008219C1">
      <w:pPr>
        <w:jc w:val="center"/>
        <w:rPr>
          <w:rFonts w:asciiTheme="minorHAnsi" w:hAnsiTheme="minorHAnsi" w:cstheme="minorHAnsi"/>
          <w:b/>
          <w:sz w:val="22"/>
          <w:szCs w:val="28"/>
        </w:rPr>
      </w:pPr>
    </w:p>
    <w:p w14:paraId="0AE36351" w14:textId="42E73601" w:rsidR="001D2776" w:rsidRDefault="001D2776" w:rsidP="008219C1">
      <w:pPr>
        <w:jc w:val="center"/>
        <w:rPr>
          <w:rFonts w:asciiTheme="minorHAnsi" w:hAnsiTheme="minorHAnsi" w:cstheme="minorHAnsi"/>
          <w:b/>
          <w:sz w:val="22"/>
          <w:szCs w:val="28"/>
        </w:rPr>
      </w:pPr>
    </w:p>
    <w:p w14:paraId="3B0F942A" w14:textId="6F55A506" w:rsidR="001D2776" w:rsidRDefault="001D2776" w:rsidP="008219C1">
      <w:pPr>
        <w:jc w:val="center"/>
        <w:rPr>
          <w:rFonts w:asciiTheme="minorHAnsi" w:hAnsiTheme="minorHAnsi" w:cstheme="minorHAnsi"/>
          <w:b/>
          <w:sz w:val="22"/>
          <w:szCs w:val="28"/>
        </w:rPr>
      </w:pPr>
    </w:p>
    <w:p w14:paraId="43A8B9DD" w14:textId="68F586A7" w:rsidR="001D2776" w:rsidRDefault="001D2776" w:rsidP="008219C1">
      <w:pPr>
        <w:jc w:val="center"/>
        <w:rPr>
          <w:rFonts w:asciiTheme="minorHAnsi" w:hAnsiTheme="minorHAnsi" w:cstheme="minorHAnsi"/>
          <w:b/>
          <w:sz w:val="22"/>
          <w:szCs w:val="28"/>
        </w:rPr>
      </w:pPr>
    </w:p>
    <w:p w14:paraId="2E3BA2E4" w14:textId="427986A8" w:rsidR="00133DF2" w:rsidRDefault="00133DF2" w:rsidP="008219C1">
      <w:pPr>
        <w:jc w:val="center"/>
        <w:rPr>
          <w:rFonts w:asciiTheme="minorHAnsi" w:hAnsiTheme="minorHAnsi" w:cstheme="minorHAnsi"/>
          <w:b/>
          <w:sz w:val="22"/>
          <w:szCs w:val="28"/>
        </w:rPr>
      </w:pPr>
    </w:p>
    <w:p w14:paraId="4B2FB120" w14:textId="77777777" w:rsidR="00133DF2" w:rsidRDefault="00133DF2" w:rsidP="008219C1">
      <w:pPr>
        <w:jc w:val="center"/>
        <w:rPr>
          <w:rFonts w:asciiTheme="minorHAnsi" w:hAnsiTheme="minorHAnsi" w:cstheme="minorHAnsi"/>
          <w:b/>
          <w:sz w:val="22"/>
          <w:szCs w:val="28"/>
        </w:rPr>
      </w:pPr>
    </w:p>
    <w:p w14:paraId="266EDEC5" w14:textId="77777777" w:rsidR="001D2776" w:rsidRDefault="001D2776" w:rsidP="008219C1">
      <w:pPr>
        <w:jc w:val="center"/>
        <w:rPr>
          <w:rFonts w:asciiTheme="minorHAnsi" w:hAnsiTheme="minorHAnsi" w:cstheme="minorHAnsi"/>
          <w:b/>
          <w:sz w:val="22"/>
          <w:szCs w:val="28"/>
        </w:rPr>
      </w:pPr>
    </w:p>
    <w:p w14:paraId="14B6546C" w14:textId="19A9AE4D" w:rsidR="005E549E" w:rsidRDefault="005E549E" w:rsidP="008219C1">
      <w:pPr>
        <w:jc w:val="center"/>
        <w:rPr>
          <w:rFonts w:asciiTheme="minorHAnsi" w:hAnsiTheme="minorHAnsi" w:cstheme="minorHAnsi"/>
          <w:b/>
          <w:sz w:val="22"/>
          <w:szCs w:val="28"/>
        </w:rPr>
      </w:pPr>
    </w:p>
    <w:p w14:paraId="1D90703B" w14:textId="00DC00F7" w:rsidR="007C4C70" w:rsidRDefault="007C4C70" w:rsidP="008219C1">
      <w:pPr>
        <w:jc w:val="center"/>
        <w:rPr>
          <w:rFonts w:asciiTheme="minorHAnsi" w:hAnsiTheme="minorHAnsi" w:cstheme="minorHAnsi"/>
          <w:b/>
          <w:sz w:val="22"/>
          <w:szCs w:val="28"/>
        </w:rPr>
      </w:pPr>
    </w:p>
    <w:p w14:paraId="131DA84C" w14:textId="06C114DC" w:rsidR="007C4C70" w:rsidRDefault="007C4C70" w:rsidP="008219C1">
      <w:pPr>
        <w:jc w:val="center"/>
        <w:rPr>
          <w:rFonts w:asciiTheme="minorHAnsi" w:hAnsiTheme="minorHAnsi" w:cstheme="minorHAnsi"/>
          <w:b/>
          <w:sz w:val="22"/>
          <w:szCs w:val="28"/>
        </w:rPr>
      </w:pPr>
    </w:p>
    <w:p w14:paraId="3849E908" w14:textId="53EA6DB9" w:rsidR="007C4C70" w:rsidRDefault="007C4C70" w:rsidP="008219C1">
      <w:pPr>
        <w:jc w:val="center"/>
        <w:rPr>
          <w:rFonts w:asciiTheme="minorHAnsi" w:hAnsiTheme="minorHAnsi" w:cstheme="minorHAnsi"/>
          <w:b/>
          <w:sz w:val="22"/>
          <w:szCs w:val="28"/>
        </w:rPr>
      </w:pPr>
    </w:p>
    <w:p w14:paraId="638025E6" w14:textId="146E57BA" w:rsidR="007C4C70" w:rsidRDefault="007C4C70" w:rsidP="008219C1">
      <w:pPr>
        <w:jc w:val="center"/>
        <w:rPr>
          <w:rFonts w:asciiTheme="minorHAnsi" w:hAnsiTheme="minorHAnsi" w:cstheme="minorHAnsi"/>
          <w:b/>
          <w:sz w:val="22"/>
          <w:szCs w:val="28"/>
        </w:rPr>
      </w:pPr>
    </w:p>
    <w:p w14:paraId="68282893" w14:textId="77777777" w:rsidR="007C4C70" w:rsidRDefault="007C4C70" w:rsidP="008219C1">
      <w:pPr>
        <w:jc w:val="center"/>
        <w:rPr>
          <w:rFonts w:asciiTheme="minorHAnsi" w:hAnsiTheme="minorHAnsi" w:cstheme="minorHAnsi"/>
          <w:b/>
          <w:sz w:val="22"/>
          <w:szCs w:val="28"/>
        </w:rPr>
      </w:pPr>
    </w:p>
    <w:p w14:paraId="03D6F3BF" w14:textId="77777777" w:rsidR="005E549E" w:rsidRDefault="005E549E" w:rsidP="008219C1">
      <w:pPr>
        <w:jc w:val="center"/>
        <w:rPr>
          <w:rFonts w:asciiTheme="minorHAnsi" w:hAnsiTheme="minorHAnsi" w:cstheme="minorHAnsi"/>
          <w:b/>
          <w:sz w:val="22"/>
          <w:szCs w:val="28"/>
        </w:rPr>
      </w:pPr>
    </w:p>
    <w:p w14:paraId="38C4FA19" w14:textId="77777777" w:rsidR="005E549E" w:rsidRPr="005F7205" w:rsidRDefault="005E549E" w:rsidP="005E549E">
      <w:pPr>
        <w:jc w:val="center"/>
        <w:rPr>
          <w:rFonts w:asciiTheme="minorHAnsi" w:hAnsiTheme="minorHAnsi" w:cstheme="minorHAnsi"/>
          <w:b/>
          <w:sz w:val="22"/>
          <w:szCs w:val="28"/>
        </w:rPr>
      </w:pPr>
      <w:r>
        <w:rPr>
          <w:rFonts w:asciiTheme="minorHAnsi" w:hAnsiTheme="minorHAnsi" w:cstheme="minorHAnsi"/>
          <w:b/>
          <w:sz w:val="22"/>
          <w:szCs w:val="28"/>
        </w:rPr>
        <w:lastRenderedPageBreak/>
        <w:t>Verification Protocol</w:t>
      </w:r>
    </w:p>
    <w:p w14:paraId="77BB5BA2" w14:textId="77777777" w:rsidR="005E549E" w:rsidRDefault="005E549E" w:rsidP="005E549E">
      <w:pPr>
        <w:pStyle w:val="Normal4"/>
        <w:spacing w:after="0" w:line="240" w:lineRule="auto"/>
        <w:ind w:left="-907"/>
        <w:jc w:val="center"/>
        <w:rPr>
          <w:b/>
          <w:color w:val="000000" w:themeColor="text1"/>
        </w:rPr>
      </w:pPr>
    </w:p>
    <w:tbl>
      <w:tblPr>
        <w:tblStyle w:val="TableGrid"/>
        <w:tblW w:w="5571" w:type="pct"/>
        <w:jc w:val="center"/>
        <w:tblLayout w:type="fixed"/>
        <w:tblLook w:val="04A0" w:firstRow="1" w:lastRow="0" w:firstColumn="1" w:lastColumn="0" w:noHBand="0" w:noVBand="1"/>
      </w:tblPr>
      <w:tblGrid>
        <w:gridCol w:w="3146"/>
        <w:gridCol w:w="3148"/>
        <w:gridCol w:w="1532"/>
        <w:gridCol w:w="2069"/>
        <w:gridCol w:w="1801"/>
        <w:gridCol w:w="2733"/>
      </w:tblGrid>
      <w:tr w:rsidR="005E549E" w:rsidRPr="001B1012" w14:paraId="049D8045" w14:textId="77777777" w:rsidTr="00866A63">
        <w:trPr>
          <w:tblHeader/>
          <w:jc w:val="center"/>
        </w:trPr>
        <w:tc>
          <w:tcPr>
            <w:tcW w:w="1090" w:type="pct"/>
            <w:vMerge w:val="restart"/>
          </w:tcPr>
          <w:p w14:paraId="69B74BC9" w14:textId="77777777" w:rsidR="005E549E" w:rsidRPr="001B1012" w:rsidRDefault="005E549E" w:rsidP="00866A63">
            <w:pPr>
              <w:rPr>
                <w:rFonts w:asciiTheme="minorHAnsi" w:hAnsiTheme="minorHAnsi" w:cstheme="minorHAnsi"/>
                <w:b/>
                <w:sz w:val="18"/>
                <w:szCs w:val="18"/>
              </w:rPr>
            </w:pPr>
            <w:r w:rsidRPr="001B1012">
              <w:rPr>
                <w:rFonts w:asciiTheme="minorHAnsi" w:hAnsiTheme="minorHAnsi" w:cstheme="minorHAnsi"/>
                <w:b/>
                <w:sz w:val="18"/>
                <w:szCs w:val="18"/>
              </w:rPr>
              <w:t>DLI</w:t>
            </w:r>
          </w:p>
        </w:tc>
        <w:tc>
          <w:tcPr>
            <w:tcW w:w="1091" w:type="pct"/>
            <w:vMerge w:val="restart"/>
          </w:tcPr>
          <w:p w14:paraId="37E35AA0" w14:textId="77777777" w:rsidR="005E549E" w:rsidRPr="005E549E" w:rsidRDefault="005E549E" w:rsidP="00866A63">
            <w:pPr>
              <w:pStyle w:val="NoSpacing"/>
              <w:rPr>
                <w:rFonts w:asciiTheme="minorHAnsi" w:hAnsiTheme="minorHAnsi" w:cstheme="minorHAnsi"/>
                <w:b/>
                <w:sz w:val="18"/>
                <w:szCs w:val="18"/>
              </w:rPr>
            </w:pPr>
            <w:r w:rsidRPr="005E549E">
              <w:rPr>
                <w:rFonts w:asciiTheme="minorHAnsi" w:hAnsiTheme="minorHAnsi" w:cstheme="minorHAnsi"/>
                <w:b/>
                <w:sz w:val="18"/>
                <w:szCs w:val="18"/>
              </w:rPr>
              <w:t>Definition/</w:t>
            </w:r>
          </w:p>
          <w:p w14:paraId="28188897" w14:textId="77777777" w:rsidR="005E549E" w:rsidRPr="001B1012" w:rsidRDefault="005E549E" w:rsidP="00866A63">
            <w:pPr>
              <w:pStyle w:val="NoSpacing"/>
              <w:rPr>
                <w:rFonts w:cstheme="minorHAnsi"/>
                <w:b/>
                <w:sz w:val="18"/>
                <w:szCs w:val="18"/>
              </w:rPr>
            </w:pPr>
            <w:r w:rsidRPr="005E549E">
              <w:rPr>
                <w:rFonts w:asciiTheme="minorHAnsi" w:hAnsiTheme="minorHAnsi" w:cstheme="minorHAnsi"/>
                <w:b/>
                <w:sz w:val="18"/>
                <w:szCs w:val="18"/>
              </w:rPr>
              <w:t>Description of achievement</w:t>
            </w:r>
          </w:p>
        </w:tc>
        <w:tc>
          <w:tcPr>
            <w:tcW w:w="531" w:type="pct"/>
            <w:vMerge w:val="restart"/>
          </w:tcPr>
          <w:p w14:paraId="503CC1E0" w14:textId="77777777" w:rsidR="005E549E" w:rsidRPr="001B1012" w:rsidRDefault="005E549E" w:rsidP="00866A63">
            <w:pPr>
              <w:rPr>
                <w:rFonts w:asciiTheme="minorHAnsi" w:hAnsiTheme="minorHAnsi" w:cstheme="minorHAnsi"/>
                <w:b/>
                <w:sz w:val="18"/>
                <w:szCs w:val="18"/>
              </w:rPr>
            </w:pPr>
            <w:r w:rsidRPr="001B1012">
              <w:rPr>
                <w:rFonts w:asciiTheme="minorHAnsi" w:hAnsiTheme="minorHAnsi" w:cstheme="minorHAnsi"/>
                <w:b/>
                <w:sz w:val="18"/>
                <w:szCs w:val="18"/>
              </w:rPr>
              <w:t>Scalability of Disbursements</w:t>
            </w:r>
          </w:p>
          <w:p w14:paraId="45E690FB" w14:textId="77777777" w:rsidR="005E549E" w:rsidRPr="001B1012" w:rsidRDefault="005E549E" w:rsidP="00866A63">
            <w:pPr>
              <w:rPr>
                <w:rFonts w:asciiTheme="minorHAnsi" w:hAnsiTheme="minorHAnsi" w:cstheme="minorHAnsi"/>
                <w:b/>
                <w:sz w:val="18"/>
                <w:szCs w:val="18"/>
              </w:rPr>
            </w:pPr>
            <w:r w:rsidRPr="001B1012">
              <w:rPr>
                <w:rFonts w:asciiTheme="minorHAnsi" w:hAnsiTheme="minorHAnsi" w:cstheme="minorHAnsi"/>
                <w:b/>
                <w:sz w:val="18"/>
                <w:szCs w:val="18"/>
              </w:rPr>
              <w:t>(Yes/No)</w:t>
            </w:r>
          </w:p>
        </w:tc>
        <w:tc>
          <w:tcPr>
            <w:tcW w:w="2288" w:type="pct"/>
            <w:gridSpan w:val="3"/>
          </w:tcPr>
          <w:p w14:paraId="3954C886" w14:textId="77777777" w:rsidR="005E549E" w:rsidRPr="001B1012" w:rsidRDefault="005E549E" w:rsidP="00866A63">
            <w:pPr>
              <w:jc w:val="center"/>
              <w:rPr>
                <w:rFonts w:asciiTheme="minorHAnsi" w:hAnsiTheme="minorHAnsi" w:cstheme="minorHAnsi"/>
                <w:b/>
                <w:sz w:val="18"/>
                <w:szCs w:val="18"/>
              </w:rPr>
            </w:pPr>
            <w:r w:rsidRPr="001B1012">
              <w:rPr>
                <w:rFonts w:asciiTheme="minorHAnsi" w:hAnsiTheme="minorHAnsi" w:cstheme="minorHAnsi"/>
                <w:b/>
                <w:sz w:val="18"/>
                <w:szCs w:val="18"/>
              </w:rPr>
              <w:t>Protocol to evaluate achievement of the DLI and data/result verification</w:t>
            </w:r>
          </w:p>
        </w:tc>
      </w:tr>
      <w:tr w:rsidR="005E549E" w:rsidRPr="001B1012" w14:paraId="5A136B86" w14:textId="77777777" w:rsidTr="00866A63">
        <w:trPr>
          <w:tblHeader/>
          <w:jc w:val="center"/>
        </w:trPr>
        <w:tc>
          <w:tcPr>
            <w:tcW w:w="1090" w:type="pct"/>
            <w:vMerge/>
          </w:tcPr>
          <w:p w14:paraId="294E8466" w14:textId="77777777" w:rsidR="005E549E" w:rsidRPr="001B1012" w:rsidRDefault="005E549E" w:rsidP="00866A63">
            <w:pPr>
              <w:rPr>
                <w:rFonts w:asciiTheme="minorHAnsi" w:hAnsiTheme="minorHAnsi" w:cstheme="minorHAnsi"/>
                <w:b/>
                <w:sz w:val="18"/>
                <w:szCs w:val="18"/>
              </w:rPr>
            </w:pPr>
          </w:p>
        </w:tc>
        <w:tc>
          <w:tcPr>
            <w:tcW w:w="1091" w:type="pct"/>
            <w:vMerge/>
          </w:tcPr>
          <w:p w14:paraId="443A12C6" w14:textId="77777777" w:rsidR="005E549E" w:rsidRPr="001B1012" w:rsidRDefault="005E549E" w:rsidP="00866A63">
            <w:pPr>
              <w:rPr>
                <w:rFonts w:asciiTheme="minorHAnsi" w:hAnsiTheme="minorHAnsi" w:cstheme="minorHAnsi"/>
                <w:b/>
                <w:sz w:val="18"/>
                <w:szCs w:val="18"/>
              </w:rPr>
            </w:pPr>
          </w:p>
        </w:tc>
        <w:tc>
          <w:tcPr>
            <w:tcW w:w="531" w:type="pct"/>
            <w:vMerge/>
          </w:tcPr>
          <w:p w14:paraId="02EF07FB" w14:textId="77777777" w:rsidR="005E549E" w:rsidRPr="001B1012" w:rsidRDefault="005E549E" w:rsidP="00866A63">
            <w:pPr>
              <w:rPr>
                <w:rFonts w:asciiTheme="minorHAnsi" w:hAnsiTheme="minorHAnsi" w:cstheme="minorHAnsi"/>
                <w:b/>
                <w:sz w:val="18"/>
                <w:szCs w:val="18"/>
              </w:rPr>
            </w:pPr>
          </w:p>
        </w:tc>
        <w:tc>
          <w:tcPr>
            <w:tcW w:w="717" w:type="pct"/>
          </w:tcPr>
          <w:p w14:paraId="2711D7B1" w14:textId="77777777" w:rsidR="005E549E" w:rsidRPr="001B1012" w:rsidRDefault="005E549E" w:rsidP="00866A63">
            <w:pPr>
              <w:jc w:val="center"/>
              <w:rPr>
                <w:rFonts w:asciiTheme="minorHAnsi" w:hAnsiTheme="minorHAnsi" w:cstheme="minorHAnsi"/>
                <w:b/>
                <w:sz w:val="18"/>
                <w:szCs w:val="18"/>
              </w:rPr>
            </w:pPr>
            <w:r w:rsidRPr="001B1012">
              <w:rPr>
                <w:rFonts w:asciiTheme="minorHAnsi" w:hAnsiTheme="minorHAnsi" w:cstheme="minorHAnsi"/>
                <w:b/>
                <w:sz w:val="18"/>
                <w:szCs w:val="18"/>
              </w:rPr>
              <w:t>Data source/agency</w:t>
            </w:r>
          </w:p>
        </w:tc>
        <w:tc>
          <w:tcPr>
            <w:tcW w:w="624" w:type="pct"/>
          </w:tcPr>
          <w:p w14:paraId="728C5AEC" w14:textId="77777777" w:rsidR="005E549E" w:rsidRPr="001B1012" w:rsidRDefault="005E549E" w:rsidP="00866A63">
            <w:pPr>
              <w:jc w:val="center"/>
              <w:rPr>
                <w:rFonts w:asciiTheme="minorHAnsi" w:hAnsiTheme="minorHAnsi" w:cstheme="minorHAnsi"/>
                <w:b/>
                <w:sz w:val="18"/>
                <w:szCs w:val="18"/>
              </w:rPr>
            </w:pPr>
            <w:r w:rsidRPr="001B1012">
              <w:rPr>
                <w:rFonts w:asciiTheme="minorHAnsi" w:hAnsiTheme="minorHAnsi" w:cstheme="minorHAnsi"/>
                <w:b/>
                <w:sz w:val="18"/>
                <w:szCs w:val="18"/>
              </w:rPr>
              <w:t>Verification Entity</w:t>
            </w:r>
          </w:p>
        </w:tc>
        <w:tc>
          <w:tcPr>
            <w:tcW w:w="947" w:type="pct"/>
          </w:tcPr>
          <w:p w14:paraId="0D88F45E" w14:textId="77777777" w:rsidR="005E549E" w:rsidRPr="001B1012" w:rsidRDefault="005E549E" w:rsidP="00866A63">
            <w:pPr>
              <w:jc w:val="center"/>
              <w:rPr>
                <w:rFonts w:asciiTheme="minorHAnsi" w:hAnsiTheme="minorHAnsi" w:cstheme="minorHAnsi"/>
                <w:b/>
                <w:sz w:val="18"/>
                <w:szCs w:val="18"/>
              </w:rPr>
            </w:pPr>
            <w:r w:rsidRPr="001B1012">
              <w:rPr>
                <w:rFonts w:asciiTheme="minorHAnsi" w:hAnsiTheme="minorHAnsi" w:cstheme="minorHAnsi"/>
                <w:b/>
                <w:sz w:val="18"/>
                <w:szCs w:val="18"/>
              </w:rPr>
              <w:t>Procedure</w:t>
            </w:r>
          </w:p>
        </w:tc>
      </w:tr>
      <w:tr w:rsidR="005E549E" w:rsidRPr="001B1012" w14:paraId="76A5A1AE" w14:textId="77777777" w:rsidTr="00866A63">
        <w:trPr>
          <w:jc w:val="center"/>
        </w:trPr>
        <w:tc>
          <w:tcPr>
            <w:tcW w:w="1090" w:type="pct"/>
          </w:tcPr>
          <w:p w14:paraId="3610E86B" w14:textId="77777777" w:rsidR="005E549E" w:rsidRPr="00132421" w:rsidRDefault="005E549E" w:rsidP="00866A63">
            <w:pPr>
              <w:rPr>
                <w:rFonts w:asciiTheme="minorHAnsi" w:hAnsiTheme="minorHAnsi" w:cstheme="minorHAnsi"/>
                <w:b/>
                <w:sz w:val="18"/>
                <w:szCs w:val="18"/>
              </w:rPr>
            </w:pPr>
            <w:r w:rsidRPr="00132421">
              <w:rPr>
                <w:rFonts w:asciiTheme="minorHAnsi" w:eastAsia="Times New Roman" w:hAnsiTheme="minorHAnsi" w:cstheme="minorHAnsi"/>
                <w:b/>
                <w:sz w:val="18"/>
                <w:szCs w:val="18"/>
              </w:rPr>
              <w:t xml:space="preserve">DLI 1: </w:t>
            </w:r>
            <w:r>
              <w:rPr>
                <w:rFonts w:asciiTheme="minorHAnsi" w:eastAsia="Times New Roman" w:hAnsiTheme="minorHAnsi" w:cstheme="minorHAnsi"/>
                <w:b/>
                <w:sz w:val="18"/>
                <w:szCs w:val="18"/>
              </w:rPr>
              <w:t>Achievement of cost-recovery end-user tariffs.</w:t>
            </w:r>
          </w:p>
        </w:tc>
        <w:tc>
          <w:tcPr>
            <w:tcW w:w="1091" w:type="pct"/>
          </w:tcPr>
          <w:p w14:paraId="41B12A8F" w14:textId="77777777" w:rsidR="005E549E" w:rsidRPr="001B1012" w:rsidRDefault="005E549E" w:rsidP="00866A63">
            <w:pPr>
              <w:rPr>
                <w:rFonts w:asciiTheme="minorHAnsi" w:hAnsiTheme="minorHAnsi" w:cstheme="minorHAnsi"/>
                <w:sz w:val="18"/>
                <w:szCs w:val="18"/>
              </w:rPr>
            </w:pPr>
          </w:p>
        </w:tc>
        <w:tc>
          <w:tcPr>
            <w:tcW w:w="531" w:type="pct"/>
          </w:tcPr>
          <w:p w14:paraId="44BA9A0C" w14:textId="77777777" w:rsidR="005E549E" w:rsidRPr="001B1012" w:rsidRDefault="005E549E" w:rsidP="00866A63">
            <w:pPr>
              <w:rPr>
                <w:rFonts w:asciiTheme="minorHAnsi" w:hAnsiTheme="minorHAnsi" w:cstheme="minorHAnsi"/>
                <w:sz w:val="18"/>
                <w:szCs w:val="18"/>
              </w:rPr>
            </w:pPr>
          </w:p>
        </w:tc>
        <w:tc>
          <w:tcPr>
            <w:tcW w:w="717" w:type="pct"/>
          </w:tcPr>
          <w:p w14:paraId="45B49FFE" w14:textId="77777777" w:rsidR="005E549E" w:rsidRPr="001B1012" w:rsidRDefault="005E549E" w:rsidP="00866A63">
            <w:pPr>
              <w:rPr>
                <w:rFonts w:asciiTheme="minorHAnsi" w:hAnsiTheme="minorHAnsi" w:cstheme="minorHAnsi"/>
                <w:sz w:val="18"/>
                <w:szCs w:val="18"/>
              </w:rPr>
            </w:pPr>
          </w:p>
        </w:tc>
        <w:tc>
          <w:tcPr>
            <w:tcW w:w="624" w:type="pct"/>
          </w:tcPr>
          <w:p w14:paraId="3D6AA0C0" w14:textId="77777777" w:rsidR="005E549E" w:rsidRPr="001B1012" w:rsidRDefault="005E549E" w:rsidP="00866A63">
            <w:pPr>
              <w:rPr>
                <w:rFonts w:asciiTheme="minorHAnsi" w:hAnsiTheme="minorHAnsi" w:cstheme="minorHAnsi"/>
                <w:sz w:val="18"/>
                <w:szCs w:val="18"/>
              </w:rPr>
            </w:pPr>
          </w:p>
        </w:tc>
        <w:tc>
          <w:tcPr>
            <w:tcW w:w="947" w:type="pct"/>
          </w:tcPr>
          <w:p w14:paraId="3EA5B88C" w14:textId="77777777" w:rsidR="005E549E" w:rsidRPr="001B1012" w:rsidRDefault="005E549E" w:rsidP="00866A63">
            <w:pPr>
              <w:rPr>
                <w:rFonts w:asciiTheme="minorHAnsi" w:hAnsiTheme="minorHAnsi" w:cstheme="minorHAnsi"/>
                <w:sz w:val="18"/>
                <w:szCs w:val="18"/>
              </w:rPr>
            </w:pPr>
          </w:p>
        </w:tc>
      </w:tr>
      <w:tr w:rsidR="00133DF2" w:rsidRPr="001B1012" w14:paraId="110AFFDD" w14:textId="77777777" w:rsidTr="00866A63">
        <w:trPr>
          <w:jc w:val="center"/>
        </w:trPr>
        <w:tc>
          <w:tcPr>
            <w:tcW w:w="1090" w:type="pct"/>
          </w:tcPr>
          <w:p w14:paraId="4B3893B6" w14:textId="120BBEEF" w:rsidR="00133DF2" w:rsidRPr="00133DF2" w:rsidRDefault="00133DF2" w:rsidP="00133DF2">
            <w:pPr>
              <w:widowControl/>
              <w:autoSpaceDE/>
              <w:autoSpaceDN/>
              <w:adjustRightInd/>
              <w:rPr>
                <w:rFonts w:asciiTheme="minorHAnsi" w:eastAsia="Times New Roman" w:hAnsiTheme="minorHAnsi" w:cstheme="minorHAnsi"/>
                <w:sz w:val="18"/>
                <w:szCs w:val="18"/>
              </w:rPr>
            </w:pPr>
            <w:r w:rsidRPr="00133DF2">
              <w:rPr>
                <w:rFonts w:asciiTheme="minorHAnsi" w:hAnsiTheme="minorHAnsi" w:cstheme="minorHAnsi"/>
                <w:sz w:val="18"/>
                <w:szCs w:val="18"/>
              </w:rPr>
              <w:t xml:space="preserve">DLR 1.1: By November 30, 2022, at least twelve (12) percent increase of average end-user electricity tariff has been adopted by the Recipient </w:t>
            </w:r>
          </w:p>
        </w:tc>
        <w:tc>
          <w:tcPr>
            <w:tcW w:w="1091" w:type="pct"/>
          </w:tcPr>
          <w:p w14:paraId="54877E90" w14:textId="77777777" w:rsidR="00133DF2" w:rsidRDefault="00133DF2" w:rsidP="00133DF2">
            <w:pPr>
              <w:rPr>
                <w:rFonts w:asciiTheme="minorHAnsi" w:hAnsiTheme="minorHAnsi" w:cstheme="minorHAnsi"/>
                <w:sz w:val="18"/>
                <w:szCs w:val="18"/>
              </w:rPr>
            </w:pPr>
            <w:r w:rsidRPr="001B1012">
              <w:rPr>
                <w:rFonts w:asciiTheme="minorHAnsi" w:hAnsiTheme="minorHAnsi" w:cstheme="minorHAnsi"/>
                <w:sz w:val="18"/>
                <w:szCs w:val="18"/>
              </w:rPr>
              <w:t>The target will be considered achieved if</w:t>
            </w:r>
            <w:r>
              <w:rPr>
                <w:rFonts w:asciiTheme="minorHAnsi" w:hAnsiTheme="minorHAnsi" w:cstheme="minorHAnsi"/>
                <w:sz w:val="18"/>
                <w:szCs w:val="18"/>
              </w:rPr>
              <w:t xml:space="preserve"> the increase of approved weighted average </w:t>
            </w:r>
            <w:r w:rsidRPr="001B1012">
              <w:rPr>
                <w:rFonts w:asciiTheme="minorHAnsi" w:hAnsiTheme="minorHAnsi" w:cstheme="minorHAnsi"/>
                <w:sz w:val="18"/>
                <w:szCs w:val="18"/>
              </w:rPr>
              <w:t>end-user tariff</w:t>
            </w:r>
            <w:r>
              <w:rPr>
                <w:rFonts w:asciiTheme="minorHAnsi" w:hAnsiTheme="minorHAnsi" w:cstheme="minorHAnsi"/>
                <w:sz w:val="18"/>
                <w:szCs w:val="18"/>
              </w:rPr>
              <w:t xml:space="preserve"> for 2022 is 12 percent considering the electricity consumption weights by various categories of consumers from previous year’s actual data.</w:t>
            </w:r>
          </w:p>
          <w:p w14:paraId="6D0F4528" w14:textId="77777777" w:rsidR="00133DF2" w:rsidRDefault="00133DF2" w:rsidP="00133DF2">
            <w:pPr>
              <w:rPr>
                <w:rFonts w:asciiTheme="minorHAnsi" w:hAnsiTheme="minorHAnsi" w:cstheme="minorHAnsi"/>
                <w:sz w:val="18"/>
                <w:szCs w:val="18"/>
              </w:rPr>
            </w:pPr>
          </w:p>
          <w:p w14:paraId="7DDD107B" w14:textId="77777777" w:rsidR="00133DF2" w:rsidRPr="001B1012" w:rsidRDefault="00133DF2" w:rsidP="00133DF2">
            <w:pPr>
              <w:rPr>
                <w:rFonts w:asciiTheme="minorHAnsi" w:hAnsiTheme="minorHAnsi" w:cstheme="minorHAnsi"/>
                <w:sz w:val="18"/>
                <w:szCs w:val="18"/>
              </w:rPr>
            </w:pPr>
          </w:p>
        </w:tc>
        <w:tc>
          <w:tcPr>
            <w:tcW w:w="531" w:type="pct"/>
          </w:tcPr>
          <w:p w14:paraId="24CE2FC1" w14:textId="77777777" w:rsidR="00133DF2" w:rsidRPr="001B1012" w:rsidRDefault="00133DF2" w:rsidP="00133DF2">
            <w:pPr>
              <w:rPr>
                <w:rFonts w:asciiTheme="minorHAnsi" w:hAnsiTheme="minorHAnsi" w:cstheme="minorHAnsi"/>
                <w:sz w:val="18"/>
                <w:szCs w:val="18"/>
              </w:rPr>
            </w:pPr>
            <w:r w:rsidRPr="001B1012">
              <w:rPr>
                <w:rFonts w:asciiTheme="minorHAnsi" w:hAnsiTheme="minorHAnsi" w:cstheme="minorHAnsi"/>
                <w:sz w:val="18"/>
                <w:szCs w:val="18"/>
              </w:rPr>
              <w:t>No</w:t>
            </w:r>
          </w:p>
        </w:tc>
        <w:tc>
          <w:tcPr>
            <w:tcW w:w="717" w:type="pct"/>
          </w:tcPr>
          <w:p w14:paraId="150AB657" w14:textId="77777777" w:rsidR="00133DF2" w:rsidRDefault="00133DF2" w:rsidP="00133DF2">
            <w:pPr>
              <w:rPr>
                <w:rFonts w:asciiTheme="minorHAnsi" w:hAnsiTheme="minorHAnsi" w:cstheme="minorHAnsi"/>
                <w:sz w:val="18"/>
                <w:szCs w:val="18"/>
              </w:rPr>
            </w:pPr>
            <w:r w:rsidRPr="001B1012">
              <w:rPr>
                <w:rFonts w:asciiTheme="minorHAnsi" w:hAnsiTheme="minorHAnsi" w:cstheme="minorHAnsi"/>
                <w:sz w:val="18"/>
                <w:szCs w:val="18"/>
              </w:rPr>
              <w:t>Data sources: copy of the Government Decree with approved electricity tariff</w:t>
            </w:r>
            <w:r>
              <w:rPr>
                <w:rFonts w:asciiTheme="minorHAnsi" w:hAnsiTheme="minorHAnsi" w:cstheme="minorHAnsi"/>
                <w:sz w:val="18"/>
                <w:szCs w:val="18"/>
              </w:rPr>
              <w:t xml:space="preserve"> increase and effectiveness date of the new tariffs.</w:t>
            </w:r>
          </w:p>
          <w:p w14:paraId="5701D60F" w14:textId="77777777" w:rsidR="00133DF2" w:rsidRPr="001B1012" w:rsidRDefault="00133DF2" w:rsidP="00133DF2">
            <w:pPr>
              <w:rPr>
                <w:rFonts w:asciiTheme="minorHAnsi" w:hAnsiTheme="minorHAnsi" w:cstheme="minorHAnsi"/>
                <w:sz w:val="18"/>
                <w:szCs w:val="18"/>
              </w:rPr>
            </w:pPr>
            <w:r w:rsidRPr="001B1012">
              <w:rPr>
                <w:rFonts w:asciiTheme="minorHAnsi" w:hAnsiTheme="minorHAnsi" w:cstheme="minorHAnsi"/>
                <w:sz w:val="18"/>
                <w:szCs w:val="18"/>
              </w:rPr>
              <w:t>Agency: MEWR</w:t>
            </w:r>
            <w:r>
              <w:rPr>
                <w:rFonts w:asciiTheme="minorHAnsi" w:hAnsiTheme="minorHAnsi" w:cstheme="minorHAnsi"/>
                <w:sz w:val="18"/>
                <w:szCs w:val="18"/>
              </w:rPr>
              <w:t>.</w:t>
            </w:r>
          </w:p>
        </w:tc>
        <w:tc>
          <w:tcPr>
            <w:tcW w:w="624" w:type="pct"/>
          </w:tcPr>
          <w:p w14:paraId="7C7DEEF6" w14:textId="77777777" w:rsidR="00133DF2" w:rsidRPr="001B1012" w:rsidRDefault="00133DF2" w:rsidP="00133DF2">
            <w:pPr>
              <w:rPr>
                <w:rFonts w:asciiTheme="minorHAnsi" w:hAnsiTheme="minorHAnsi" w:cstheme="minorHAnsi"/>
                <w:sz w:val="18"/>
                <w:szCs w:val="18"/>
              </w:rPr>
            </w:pPr>
            <w:r>
              <w:rPr>
                <w:rFonts w:asciiTheme="minorHAnsi" w:hAnsiTheme="minorHAnsi" w:cstheme="minorHAnsi"/>
                <w:sz w:val="18"/>
                <w:szCs w:val="18"/>
              </w:rPr>
              <w:t>The Bank</w:t>
            </w:r>
          </w:p>
        </w:tc>
        <w:tc>
          <w:tcPr>
            <w:tcW w:w="947" w:type="pct"/>
          </w:tcPr>
          <w:p w14:paraId="06455AB1" w14:textId="77777777" w:rsidR="00133DF2" w:rsidRPr="004378A4" w:rsidRDefault="00133DF2" w:rsidP="00133DF2">
            <w:pPr>
              <w:widowControl/>
              <w:autoSpaceDE/>
              <w:autoSpaceDN/>
              <w:adjustRightInd/>
              <w:rPr>
                <w:rFonts w:asciiTheme="minorHAnsi" w:hAnsiTheme="minorHAnsi" w:cstheme="minorHAnsi"/>
                <w:sz w:val="18"/>
                <w:szCs w:val="18"/>
              </w:rPr>
            </w:pPr>
            <w:r w:rsidRPr="004378A4">
              <w:rPr>
                <w:rFonts w:asciiTheme="minorHAnsi" w:hAnsiTheme="minorHAnsi" w:cstheme="minorHAnsi"/>
                <w:sz w:val="18"/>
                <w:szCs w:val="18"/>
              </w:rPr>
              <w:t>Confirmation by IVA whether the approved tariff increases for all categories of consumers would translate into 12 percent increase of weighted average tarif</w:t>
            </w:r>
            <w:r>
              <w:rPr>
                <w:rFonts w:asciiTheme="minorHAnsi" w:hAnsiTheme="minorHAnsi" w:cstheme="minorHAnsi"/>
                <w:sz w:val="18"/>
                <w:szCs w:val="18"/>
              </w:rPr>
              <w:t>f</w:t>
            </w:r>
            <w:r w:rsidRPr="004378A4">
              <w:rPr>
                <w:rFonts w:asciiTheme="minorHAnsi" w:hAnsiTheme="minorHAnsi" w:cstheme="minorHAnsi"/>
                <w:sz w:val="18"/>
                <w:szCs w:val="18"/>
              </w:rPr>
              <w:t>.</w:t>
            </w:r>
          </w:p>
          <w:p w14:paraId="2DB4ED94" w14:textId="77777777" w:rsidR="00133DF2" w:rsidRPr="00D03AA0" w:rsidRDefault="00133DF2" w:rsidP="00133DF2">
            <w:pPr>
              <w:widowControl/>
              <w:autoSpaceDE/>
              <w:autoSpaceDN/>
              <w:adjustRightInd/>
              <w:ind w:left="-9"/>
              <w:rPr>
                <w:rFonts w:asciiTheme="minorHAnsi" w:hAnsiTheme="minorHAnsi" w:cstheme="minorHAnsi"/>
                <w:sz w:val="18"/>
                <w:szCs w:val="18"/>
              </w:rPr>
            </w:pPr>
          </w:p>
        </w:tc>
      </w:tr>
      <w:tr w:rsidR="00133DF2" w:rsidRPr="001B1012" w14:paraId="0DDBC842" w14:textId="77777777" w:rsidTr="00866A63">
        <w:trPr>
          <w:jc w:val="center"/>
        </w:trPr>
        <w:tc>
          <w:tcPr>
            <w:tcW w:w="1090" w:type="pct"/>
          </w:tcPr>
          <w:p w14:paraId="6E06847E" w14:textId="172C0504" w:rsidR="00133DF2" w:rsidRPr="00133DF2" w:rsidRDefault="00133DF2" w:rsidP="00133DF2">
            <w:pPr>
              <w:widowControl/>
              <w:autoSpaceDE/>
              <w:autoSpaceDN/>
              <w:adjustRightInd/>
              <w:rPr>
                <w:rFonts w:asciiTheme="minorHAnsi" w:eastAsia="Times New Roman" w:hAnsiTheme="minorHAnsi" w:cstheme="minorHAnsi"/>
                <w:sz w:val="18"/>
                <w:szCs w:val="18"/>
              </w:rPr>
            </w:pPr>
            <w:r w:rsidRPr="00133DF2">
              <w:rPr>
                <w:rFonts w:asciiTheme="minorHAnsi" w:hAnsiTheme="minorHAnsi" w:cstheme="minorHAnsi"/>
                <w:sz w:val="18"/>
                <w:szCs w:val="18"/>
              </w:rPr>
              <w:t>DLR 1.2: By December 31, 2023, at least annual adjustment of generation, transmission, distribution, and end-user tariffs as per the new tariff methodology and consistent with the targets approved under the Electricity Tariff Paper</w:t>
            </w:r>
          </w:p>
        </w:tc>
        <w:tc>
          <w:tcPr>
            <w:tcW w:w="1091" w:type="pct"/>
          </w:tcPr>
          <w:p w14:paraId="0B15D35B" w14:textId="77777777" w:rsidR="00133DF2" w:rsidRPr="001B1012" w:rsidRDefault="00133DF2" w:rsidP="00133DF2">
            <w:pPr>
              <w:rPr>
                <w:rFonts w:asciiTheme="minorHAnsi" w:hAnsiTheme="minorHAnsi" w:cstheme="minorHAnsi"/>
                <w:sz w:val="18"/>
                <w:szCs w:val="18"/>
              </w:rPr>
            </w:pPr>
            <w:r w:rsidRPr="001B1012">
              <w:rPr>
                <w:rFonts w:asciiTheme="minorHAnsi" w:hAnsiTheme="minorHAnsi" w:cstheme="minorHAnsi"/>
                <w:sz w:val="18"/>
                <w:szCs w:val="18"/>
              </w:rPr>
              <w:t>The target will be considered achieved if: (a)</w:t>
            </w:r>
            <w:r>
              <w:rPr>
                <w:rFonts w:asciiTheme="minorHAnsi" w:hAnsiTheme="minorHAnsi" w:cstheme="minorHAnsi"/>
                <w:sz w:val="18"/>
                <w:szCs w:val="18"/>
              </w:rPr>
              <w:t xml:space="preserve"> </w:t>
            </w:r>
            <w:r w:rsidRPr="001B1012">
              <w:rPr>
                <w:rFonts w:asciiTheme="minorHAnsi" w:hAnsiTheme="minorHAnsi" w:cstheme="minorHAnsi"/>
                <w:sz w:val="18"/>
                <w:szCs w:val="18"/>
              </w:rPr>
              <w:t>tariff increase</w:t>
            </w:r>
            <w:r>
              <w:rPr>
                <w:rFonts w:asciiTheme="minorHAnsi" w:hAnsiTheme="minorHAnsi" w:cstheme="minorHAnsi"/>
                <w:sz w:val="18"/>
                <w:szCs w:val="18"/>
              </w:rPr>
              <w:t>s, over the previous year,</w:t>
            </w:r>
            <w:r w:rsidRPr="001B1012">
              <w:rPr>
                <w:rFonts w:asciiTheme="minorHAnsi" w:hAnsiTheme="minorHAnsi" w:cstheme="minorHAnsi"/>
                <w:sz w:val="18"/>
                <w:szCs w:val="18"/>
              </w:rPr>
              <w:t xml:space="preserve"> for all categories of consumers </w:t>
            </w:r>
            <w:r>
              <w:rPr>
                <w:rFonts w:asciiTheme="minorHAnsi" w:hAnsiTheme="minorHAnsi" w:cstheme="minorHAnsi"/>
                <w:sz w:val="18"/>
                <w:szCs w:val="18"/>
              </w:rPr>
              <w:t>are</w:t>
            </w:r>
            <w:r w:rsidRPr="001B1012">
              <w:rPr>
                <w:rFonts w:asciiTheme="minorHAnsi" w:hAnsiTheme="minorHAnsi" w:cstheme="minorHAnsi"/>
                <w:sz w:val="18"/>
                <w:szCs w:val="18"/>
              </w:rPr>
              <w:t xml:space="preserve"> not less than the target for 202</w:t>
            </w:r>
            <w:r>
              <w:rPr>
                <w:rFonts w:asciiTheme="minorHAnsi" w:hAnsiTheme="minorHAnsi" w:cstheme="minorHAnsi"/>
                <w:sz w:val="18"/>
                <w:szCs w:val="18"/>
              </w:rPr>
              <w:t>3</w:t>
            </w:r>
            <w:r w:rsidRPr="001B1012">
              <w:rPr>
                <w:rFonts w:asciiTheme="minorHAnsi" w:hAnsiTheme="minorHAnsi" w:cstheme="minorHAnsi"/>
                <w:sz w:val="18"/>
                <w:szCs w:val="18"/>
              </w:rPr>
              <w:t xml:space="preserve"> in the</w:t>
            </w:r>
            <w:r>
              <w:rPr>
                <w:rFonts w:asciiTheme="minorHAnsi" w:hAnsiTheme="minorHAnsi" w:cstheme="minorHAnsi"/>
                <w:sz w:val="18"/>
                <w:szCs w:val="18"/>
              </w:rPr>
              <w:t xml:space="preserve"> Electricity</w:t>
            </w:r>
            <w:r w:rsidRPr="001B1012">
              <w:rPr>
                <w:rFonts w:asciiTheme="minorHAnsi" w:hAnsiTheme="minorHAnsi" w:cstheme="minorHAnsi"/>
                <w:sz w:val="18"/>
                <w:szCs w:val="18"/>
              </w:rPr>
              <w:t xml:space="preserve"> Tariff Paper; </w:t>
            </w:r>
            <w:r>
              <w:rPr>
                <w:rFonts w:asciiTheme="minorHAnsi" w:hAnsiTheme="minorHAnsi" w:cstheme="minorHAnsi"/>
                <w:sz w:val="18"/>
                <w:szCs w:val="18"/>
              </w:rPr>
              <w:t xml:space="preserve">and </w:t>
            </w:r>
            <w:r w:rsidRPr="001B1012">
              <w:rPr>
                <w:rFonts w:asciiTheme="minorHAnsi" w:hAnsiTheme="minorHAnsi" w:cstheme="minorHAnsi"/>
                <w:sz w:val="18"/>
                <w:szCs w:val="18"/>
              </w:rPr>
              <w:t>(b) tariffs for electricity generation, transmission, distribution, other services (</w:t>
            </w:r>
            <w:proofErr w:type="gramStart"/>
            <w:r w:rsidRPr="001B1012">
              <w:rPr>
                <w:rFonts w:asciiTheme="minorHAnsi" w:hAnsiTheme="minorHAnsi" w:cstheme="minorHAnsi"/>
                <w:sz w:val="18"/>
                <w:szCs w:val="18"/>
              </w:rPr>
              <w:t>e.g.</w:t>
            </w:r>
            <w:proofErr w:type="gramEnd"/>
            <w:r w:rsidRPr="001B1012">
              <w:rPr>
                <w:rFonts w:asciiTheme="minorHAnsi" w:hAnsiTheme="minorHAnsi" w:cstheme="minorHAnsi"/>
                <w:sz w:val="18"/>
                <w:szCs w:val="18"/>
              </w:rPr>
              <w:t xml:space="preserve"> market operator, settlement center), and end-user</w:t>
            </w:r>
            <w:r>
              <w:rPr>
                <w:rFonts w:asciiTheme="minorHAnsi" w:hAnsiTheme="minorHAnsi" w:cstheme="minorHAnsi"/>
                <w:sz w:val="18"/>
                <w:szCs w:val="18"/>
              </w:rPr>
              <w:t>s</w:t>
            </w:r>
            <w:r w:rsidRPr="001B1012">
              <w:rPr>
                <w:rFonts w:asciiTheme="minorHAnsi" w:hAnsiTheme="minorHAnsi" w:cstheme="minorHAnsi"/>
                <w:sz w:val="18"/>
                <w:szCs w:val="18"/>
              </w:rPr>
              <w:t xml:space="preserve"> are computed as per requirements of </w:t>
            </w:r>
            <w:r>
              <w:rPr>
                <w:rFonts w:asciiTheme="minorHAnsi" w:hAnsiTheme="minorHAnsi" w:cstheme="minorHAnsi"/>
                <w:sz w:val="18"/>
                <w:szCs w:val="18"/>
              </w:rPr>
              <w:t>the tariff</w:t>
            </w:r>
            <w:r w:rsidRPr="001B1012">
              <w:rPr>
                <w:rFonts w:asciiTheme="minorHAnsi" w:hAnsiTheme="minorHAnsi" w:cstheme="minorHAnsi"/>
                <w:sz w:val="18"/>
                <w:szCs w:val="18"/>
              </w:rPr>
              <w:t xml:space="preserve"> methodology</w:t>
            </w:r>
            <w:r>
              <w:rPr>
                <w:rFonts w:asciiTheme="minorHAnsi" w:hAnsiTheme="minorHAnsi" w:cstheme="minorHAnsi"/>
                <w:sz w:val="18"/>
                <w:szCs w:val="18"/>
              </w:rPr>
              <w:t xml:space="preserve">. </w:t>
            </w:r>
          </w:p>
        </w:tc>
        <w:tc>
          <w:tcPr>
            <w:tcW w:w="531" w:type="pct"/>
          </w:tcPr>
          <w:p w14:paraId="5F5A0E04" w14:textId="77777777" w:rsidR="00133DF2" w:rsidRPr="001B1012" w:rsidRDefault="00133DF2" w:rsidP="00133DF2">
            <w:pPr>
              <w:rPr>
                <w:rFonts w:asciiTheme="minorHAnsi" w:hAnsiTheme="minorHAnsi" w:cstheme="minorHAnsi"/>
                <w:sz w:val="18"/>
                <w:szCs w:val="18"/>
              </w:rPr>
            </w:pPr>
            <w:r w:rsidRPr="001B1012">
              <w:rPr>
                <w:rFonts w:asciiTheme="minorHAnsi" w:hAnsiTheme="minorHAnsi" w:cstheme="minorHAnsi"/>
                <w:sz w:val="18"/>
                <w:szCs w:val="18"/>
              </w:rPr>
              <w:t>No</w:t>
            </w:r>
          </w:p>
        </w:tc>
        <w:tc>
          <w:tcPr>
            <w:tcW w:w="717" w:type="pct"/>
          </w:tcPr>
          <w:p w14:paraId="1CD8A5FE" w14:textId="77777777" w:rsidR="00133DF2" w:rsidRPr="001B1012" w:rsidRDefault="00133DF2" w:rsidP="00133DF2">
            <w:pPr>
              <w:rPr>
                <w:rFonts w:asciiTheme="minorHAnsi" w:hAnsiTheme="minorHAnsi" w:cstheme="minorHAnsi"/>
                <w:sz w:val="18"/>
                <w:szCs w:val="18"/>
              </w:rPr>
            </w:pPr>
            <w:r w:rsidRPr="001B1012">
              <w:rPr>
                <w:rFonts w:asciiTheme="minorHAnsi" w:hAnsiTheme="minorHAnsi" w:cstheme="minorHAnsi"/>
                <w:sz w:val="18"/>
                <w:szCs w:val="18"/>
              </w:rPr>
              <w:t xml:space="preserve">Data sources: (a) copy of the Government Decree with approved electricity tariffs; (b) copy of </w:t>
            </w:r>
            <w:r>
              <w:rPr>
                <w:rFonts w:asciiTheme="minorHAnsi" w:hAnsiTheme="minorHAnsi" w:cstheme="minorHAnsi"/>
                <w:sz w:val="18"/>
                <w:szCs w:val="18"/>
              </w:rPr>
              <w:t>the updated and approved</w:t>
            </w:r>
            <w:r w:rsidRPr="001B1012">
              <w:rPr>
                <w:rFonts w:asciiTheme="minorHAnsi" w:hAnsiTheme="minorHAnsi" w:cstheme="minorHAnsi"/>
                <w:sz w:val="18"/>
                <w:szCs w:val="18"/>
              </w:rPr>
              <w:t xml:space="preserve"> Electricity Tariff Paper</w:t>
            </w:r>
            <w:r>
              <w:rPr>
                <w:rFonts w:asciiTheme="minorHAnsi" w:hAnsiTheme="minorHAnsi" w:cstheme="minorHAnsi"/>
                <w:sz w:val="18"/>
                <w:szCs w:val="18"/>
              </w:rPr>
              <w:t xml:space="preserve"> (if applicable)</w:t>
            </w:r>
            <w:r w:rsidRPr="001B1012">
              <w:rPr>
                <w:rFonts w:asciiTheme="minorHAnsi" w:hAnsiTheme="minorHAnsi" w:cstheme="minorHAnsi"/>
                <w:sz w:val="18"/>
                <w:szCs w:val="18"/>
              </w:rPr>
              <w:t>.</w:t>
            </w:r>
          </w:p>
          <w:p w14:paraId="3E64C263" w14:textId="77777777" w:rsidR="00133DF2" w:rsidRPr="001B1012" w:rsidRDefault="00133DF2" w:rsidP="00133DF2">
            <w:pPr>
              <w:rPr>
                <w:rFonts w:asciiTheme="minorHAnsi" w:hAnsiTheme="minorHAnsi" w:cstheme="minorHAnsi"/>
                <w:sz w:val="18"/>
                <w:szCs w:val="18"/>
              </w:rPr>
            </w:pPr>
            <w:r w:rsidRPr="001B1012">
              <w:rPr>
                <w:rFonts w:asciiTheme="minorHAnsi" w:hAnsiTheme="minorHAnsi" w:cstheme="minorHAnsi"/>
                <w:sz w:val="18"/>
                <w:szCs w:val="18"/>
              </w:rPr>
              <w:t>Agency: MEWR</w:t>
            </w:r>
            <w:r>
              <w:rPr>
                <w:rFonts w:asciiTheme="minorHAnsi" w:hAnsiTheme="minorHAnsi" w:cstheme="minorHAnsi"/>
                <w:sz w:val="18"/>
                <w:szCs w:val="18"/>
              </w:rPr>
              <w:t>.</w:t>
            </w:r>
          </w:p>
        </w:tc>
        <w:tc>
          <w:tcPr>
            <w:tcW w:w="624" w:type="pct"/>
          </w:tcPr>
          <w:p w14:paraId="3A8223E3" w14:textId="77777777" w:rsidR="00133DF2" w:rsidRPr="001B1012" w:rsidRDefault="00133DF2" w:rsidP="00133DF2">
            <w:pPr>
              <w:rPr>
                <w:rFonts w:asciiTheme="minorHAnsi" w:hAnsiTheme="minorHAnsi" w:cstheme="minorHAnsi"/>
                <w:sz w:val="18"/>
                <w:szCs w:val="18"/>
              </w:rPr>
            </w:pPr>
            <w:r w:rsidRPr="001B1012">
              <w:rPr>
                <w:rFonts w:asciiTheme="minorHAnsi" w:hAnsiTheme="minorHAnsi" w:cstheme="minorHAnsi"/>
                <w:sz w:val="18"/>
                <w:szCs w:val="18"/>
              </w:rPr>
              <w:t>Tariff consultant under TOR acceptable to the Bank.</w:t>
            </w:r>
          </w:p>
        </w:tc>
        <w:tc>
          <w:tcPr>
            <w:tcW w:w="947" w:type="pct"/>
          </w:tcPr>
          <w:p w14:paraId="2DA77FBA" w14:textId="77777777" w:rsidR="00133DF2" w:rsidRPr="00834BCE" w:rsidRDefault="00133DF2" w:rsidP="00133DF2">
            <w:pPr>
              <w:widowControl/>
              <w:autoSpaceDE/>
              <w:autoSpaceDN/>
              <w:adjustRightInd/>
              <w:rPr>
                <w:rFonts w:asciiTheme="minorHAnsi" w:hAnsiTheme="minorHAnsi" w:cstheme="minorHAnsi"/>
                <w:sz w:val="18"/>
                <w:szCs w:val="18"/>
              </w:rPr>
            </w:pPr>
            <w:r w:rsidRPr="00834BCE">
              <w:rPr>
                <w:rFonts w:asciiTheme="minorHAnsi" w:hAnsiTheme="minorHAnsi" w:cstheme="minorHAnsi"/>
                <w:sz w:val="18"/>
                <w:szCs w:val="18"/>
              </w:rPr>
              <w:t>Verification by IVA of adjustment of electricity tariffs for generation, transmission, distribution, other services, and end-users to confirm whether: (a) tariffs are computed consistent with the requirements of the tariff methodology</w:t>
            </w:r>
            <w:r>
              <w:rPr>
                <w:rFonts w:asciiTheme="minorHAnsi" w:hAnsiTheme="minorHAnsi" w:cstheme="minorHAnsi"/>
                <w:sz w:val="18"/>
                <w:szCs w:val="18"/>
              </w:rPr>
              <w:t>,</w:t>
            </w:r>
            <w:r w:rsidRPr="00834BCE">
              <w:rPr>
                <w:rFonts w:asciiTheme="minorHAnsi" w:hAnsiTheme="minorHAnsi" w:cstheme="minorHAnsi"/>
                <w:sz w:val="18"/>
                <w:szCs w:val="18"/>
              </w:rPr>
              <w:t xml:space="preserve"> and</w:t>
            </w:r>
            <w:r>
              <w:rPr>
                <w:rFonts w:asciiTheme="minorHAnsi" w:hAnsiTheme="minorHAnsi" w:cstheme="minorHAnsi"/>
                <w:sz w:val="18"/>
                <w:szCs w:val="18"/>
              </w:rPr>
              <w:t xml:space="preserve"> (b)</w:t>
            </w:r>
            <w:r w:rsidRPr="00834BCE">
              <w:rPr>
                <w:rFonts w:asciiTheme="minorHAnsi" w:hAnsiTheme="minorHAnsi" w:cstheme="minorHAnsi"/>
                <w:sz w:val="18"/>
                <w:szCs w:val="18"/>
              </w:rPr>
              <w:t xml:space="preserve"> the approved increases are consistent with the increase trajectory in the Electricity Tariff Paper.</w:t>
            </w:r>
          </w:p>
        </w:tc>
      </w:tr>
      <w:tr w:rsidR="00133DF2" w:rsidRPr="001B1012" w14:paraId="6BC52340" w14:textId="77777777" w:rsidTr="00866A63">
        <w:trPr>
          <w:jc w:val="center"/>
        </w:trPr>
        <w:tc>
          <w:tcPr>
            <w:tcW w:w="1090" w:type="pct"/>
          </w:tcPr>
          <w:p w14:paraId="439E3C9B" w14:textId="41960A78" w:rsidR="00133DF2" w:rsidRPr="00133DF2" w:rsidRDefault="00133DF2" w:rsidP="00133DF2">
            <w:pPr>
              <w:widowControl/>
              <w:autoSpaceDE/>
              <w:autoSpaceDN/>
              <w:adjustRightInd/>
              <w:rPr>
                <w:rFonts w:asciiTheme="minorHAnsi" w:eastAsia="Times New Roman" w:hAnsiTheme="minorHAnsi" w:cstheme="minorHAnsi"/>
                <w:sz w:val="18"/>
                <w:szCs w:val="18"/>
              </w:rPr>
            </w:pPr>
            <w:r w:rsidRPr="00133DF2">
              <w:rPr>
                <w:rFonts w:asciiTheme="minorHAnsi" w:hAnsiTheme="minorHAnsi" w:cstheme="minorHAnsi"/>
                <w:sz w:val="18"/>
                <w:szCs w:val="18"/>
              </w:rPr>
              <w:t xml:space="preserve">DLR 1.3: By December 31, 2024, at least annual adjustment of generation, transmission, distribution, and end-user tariffs as per the new tariff methodology and consistent with the targets approved under the Electricity Tariff Paper </w:t>
            </w:r>
          </w:p>
        </w:tc>
        <w:tc>
          <w:tcPr>
            <w:tcW w:w="1091" w:type="pct"/>
          </w:tcPr>
          <w:p w14:paraId="2887DBBB" w14:textId="77777777" w:rsidR="00133DF2" w:rsidRPr="001B1012" w:rsidRDefault="00133DF2" w:rsidP="00133DF2">
            <w:pPr>
              <w:rPr>
                <w:rFonts w:asciiTheme="minorHAnsi" w:hAnsiTheme="minorHAnsi" w:cstheme="minorHAnsi"/>
                <w:sz w:val="18"/>
                <w:szCs w:val="18"/>
              </w:rPr>
            </w:pPr>
            <w:r w:rsidRPr="001B1012">
              <w:rPr>
                <w:rFonts w:asciiTheme="minorHAnsi" w:hAnsiTheme="minorHAnsi" w:cstheme="minorHAnsi"/>
                <w:sz w:val="18"/>
                <w:szCs w:val="18"/>
              </w:rPr>
              <w:t>The target will be considered achieved if: (a) tariff increase</w:t>
            </w:r>
            <w:r>
              <w:rPr>
                <w:rFonts w:asciiTheme="minorHAnsi" w:hAnsiTheme="minorHAnsi" w:cstheme="minorHAnsi"/>
                <w:sz w:val="18"/>
                <w:szCs w:val="18"/>
              </w:rPr>
              <w:t>s, over the previous year,</w:t>
            </w:r>
            <w:r w:rsidRPr="001B1012">
              <w:rPr>
                <w:rFonts w:asciiTheme="minorHAnsi" w:hAnsiTheme="minorHAnsi" w:cstheme="minorHAnsi"/>
                <w:sz w:val="18"/>
                <w:szCs w:val="18"/>
              </w:rPr>
              <w:t xml:space="preserve"> for all categories of consumers </w:t>
            </w:r>
            <w:r>
              <w:rPr>
                <w:rFonts w:asciiTheme="minorHAnsi" w:hAnsiTheme="minorHAnsi" w:cstheme="minorHAnsi"/>
                <w:sz w:val="18"/>
                <w:szCs w:val="18"/>
              </w:rPr>
              <w:t>are</w:t>
            </w:r>
            <w:r w:rsidRPr="001B1012">
              <w:rPr>
                <w:rFonts w:asciiTheme="minorHAnsi" w:hAnsiTheme="minorHAnsi" w:cstheme="minorHAnsi"/>
                <w:sz w:val="18"/>
                <w:szCs w:val="18"/>
              </w:rPr>
              <w:t xml:space="preserve"> not less than the target for 202</w:t>
            </w:r>
            <w:r>
              <w:rPr>
                <w:rFonts w:asciiTheme="minorHAnsi" w:hAnsiTheme="minorHAnsi" w:cstheme="minorHAnsi"/>
                <w:sz w:val="18"/>
                <w:szCs w:val="18"/>
              </w:rPr>
              <w:t>4</w:t>
            </w:r>
            <w:r w:rsidRPr="001B1012">
              <w:rPr>
                <w:rFonts w:asciiTheme="minorHAnsi" w:hAnsiTheme="minorHAnsi" w:cstheme="minorHAnsi"/>
                <w:sz w:val="18"/>
                <w:szCs w:val="18"/>
              </w:rPr>
              <w:t xml:space="preserve"> in the </w:t>
            </w:r>
            <w:r>
              <w:rPr>
                <w:rFonts w:asciiTheme="minorHAnsi" w:hAnsiTheme="minorHAnsi" w:cstheme="minorHAnsi"/>
                <w:sz w:val="18"/>
                <w:szCs w:val="18"/>
              </w:rPr>
              <w:t xml:space="preserve">Electricity </w:t>
            </w:r>
            <w:r w:rsidRPr="001B1012">
              <w:rPr>
                <w:rFonts w:asciiTheme="minorHAnsi" w:hAnsiTheme="minorHAnsi" w:cstheme="minorHAnsi"/>
                <w:sz w:val="18"/>
                <w:szCs w:val="18"/>
              </w:rPr>
              <w:t xml:space="preserve">Tariff Paper; </w:t>
            </w:r>
            <w:r>
              <w:rPr>
                <w:rFonts w:asciiTheme="minorHAnsi" w:hAnsiTheme="minorHAnsi" w:cstheme="minorHAnsi"/>
                <w:sz w:val="18"/>
                <w:szCs w:val="18"/>
              </w:rPr>
              <w:t xml:space="preserve">and </w:t>
            </w:r>
            <w:r w:rsidRPr="001B1012">
              <w:rPr>
                <w:rFonts w:asciiTheme="minorHAnsi" w:hAnsiTheme="minorHAnsi" w:cstheme="minorHAnsi"/>
                <w:sz w:val="18"/>
                <w:szCs w:val="18"/>
              </w:rPr>
              <w:t>(b) tariffs for electricity generation, transmission, distribution, other services (</w:t>
            </w:r>
            <w:proofErr w:type="gramStart"/>
            <w:r w:rsidRPr="001B1012">
              <w:rPr>
                <w:rFonts w:asciiTheme="minorHAnsi" w:hAnsiTheme="minorHAnsi" w:cstheme="minorHAnsi"/>
                <w:sz w:val="18"/>
                <w:szCs w:val="18"/>
              </w:rPr>
              <w:t>e.g.</w:t>
            </w:r>
            <w:proofErr w:type="gramEnd"/>
            <w:r w:rsidRPr="001B1012">
              <w:rPr>
                <w:rFonts w:asciiTheme="minorHAnsi" w:hAnsiTheme="minorHAnsi" w:cstheme="minorHAnsi"/>
                <w:sz w:val="18"/>
                <w:szCs w:val="18"/>
              </w:rPr>
              <w:t xml:space="preserve"> market operator, settlement center), and end-user</w:t>
            </w:r>
            <w:r>
              <w:rPr>
                <w:rFonts w:asciiTheme="minorHAnsi" w:hAnsiTheme="minorHAnsi" w:cstheme="minorHAnsi"/>
                <w:sz w:val="18"/>
                <w:szCs w:val="18"/>
              </w:rPr>
              <w:t>s</w:t>
            </w:r>
            <w:r w:rsidRPr="001B1012">
              <w:rPr>
                <w:rFonts w:asciiTheme="minorHAnsi" w:hAnsiTheme="minorHAnsi" w:cstheme="minorHAnsi"/>
                <w:sz w:val="18"/>
                <w:szCs w:val="18"/>
              </w:rPr>
              <w:t xml:space="preserve"> are computed as per requirements of </w:t>
            </w:r>
            <w:r>
              <w:rPr>
                <w:rFonts w:asciiTheme="minorHAnsi" w:hAnsiTheme="minorHAnsi" w:cstheme="minorHAnsi"/>
                <w:sz w:val="18"/>
                <w:szCs w:val="18"/>
              </w:rPr>
              <w:t>the tariff</w:t>
            </w:r>
            <w:r w:rsidRPr="001B1012">
              <w:rPr>
                <w:rFonts w:asciiTheme="minorHAnsi" w:hAnsiTheme="minorHAnsi" w:cstheme="minorHAnsi"/>
                <w:sz w:val="18"/>
                <w:szCs w:val="18"/>
              </w:rPr>
              <w:t xml:space="preserve"> methodology</w:t>
            </w:r>
            <w:r>
              <w:rPr>
                <w:rFonts w:asciiTheme="minorHAnsi" w:hAnsiTheme="minorHAnsi" w:cstheme="minorHAnsi"/>
                <w:sz w:val="18"/>
                <w:szCs w:val="18"/>
              </w:rPr>
              <w:t>.</w:t>
            </w:r>
            <w:r w:rsidRPr="001B1012">
              <w:rPr>
                <w:rFonts w:asciiTheme="minorHAnsi" w:hAnsiTheme="minorHAnsi" w:cstheme="minorHAnsi"/>
                <w:sz w:val="18"/>
                <w:szCs w:val="18"/>
              </w:rPr>
              <w:t xml:space="preserve"> </w:t>
            </w:r>
          </w:p>
        </w:tc>
        <w:tc>
          <w:tcPr>
            <w:tcW w:w="531" w:type="pct"/>
          </w:tcPr>
          <w:p w14:paraId="7F054B1A" w14:textId="77777777" w:rsidR="00133DF2" w:rsidRPr="001B1012" w:rsidRDefault="00133DF2" w:rsidP="00133DF2">
            <w:pPr>
              <w:rPr>
                <w:rFonts w:asciiTheme="minorHAnsi" w:hAnsiTheme="minorHAnsi" w:cstheme="minorHAnsi"/>
                <w:sz w:val="18"/>
                <w:szCs w:val="18"/>
              </w:rPr>
            </w:pPr>
            <w:r w:rsidRPr="001B1012">
              <w:rPr>
                <w:rFonts w:asciiTheme="minorHAnsi" w:hAnsiTheme="minorHAnsi" w:cstheme="minorHAnsi"/>
                <w:sz w:val="18"/>
                <w:szCs w:val="18"/>
              </w:rPr>
              <w:t>No</w:t>
            </w:r>
          </w:p>
        </w:tc>
        <w:tc>
          <w:tcPr>
            <w:tcW w:w="717" w:type="pct"/>
          </w:tcPr>
          <w:p w14:paraId="091F312A" w14:textId="77777777" w:rsidR="00133DF2" w:rsidRPr="001B1012" w:rsidRDefault="00133DF2" w:rsidP="00133DF2">
            <w:pPr>
              <w:rPr>
                <w:rFonts w:asciiTheme="minorHAnsi" w:hAnsiTheme="minorHAnsi" w:cstheme="minorHAnsi"/>
                <w:sz w:val="18"/>
                <w:szCs w:val="18"/>
              </w:rPr>
            </w:pPr>
            <w:r w:rsidRPr="001B1012">
              <w:rPr>
                <w:rFonts w:asciiTheme="minorHAnsi" w:hAnsiTheme="minorHAnsi" w:cstheme="minorHAnsi"/>
                <w:sz w:val="18"/>
                <w:szCs w:val="18"/>
              </w:rPr>
              <w:t xml:space="preserve">Data sources: (a) copy of the Government Decree with approved electricity tariffs; (b) copy of </w:t>
            </w:r>
            <w:r>
              <w:rPr>
                <w:rFonts w:asciiTheme="minorHAnsi" w:hAnsiTheme="minorHAnsi" w:cstheme="minorHAnsi"/>
                <w:sz w:val="18"/>
                <w:szCs w:val="18"/>
              </w:rPr>
              <w:t>the updated and approved</w:t>
            </w:r>
            <w:r w:rsidRPr="001B1012">
              <w:rPr>
                <w:rFonts w:asciiTheme="minorHAnsi" w:hAnsiTheme="minorHAnsi" w:cstheme="minorHAnsi"/>
                <w:sz w:val="18"/>
                <w:szCs w:val="18"/>
              </w:rPr>
              <w:t xml:space="preserve"> Electricity Tariff Paper</w:t>
            </w:r>
            <w:r>
              <w:rPr>
                <w:rFonts w:asciiTheme="minorHAnsi" w:hAnsiTheme="minorHAnsi" w:cstheme="minorHAnsi"/>
                <w:sz w:val="18"/>
                <w:szCs w:val="18"/>
              </w:rPr>
              <w:t xml:space="preserve"> (if applicable)</w:t>
            </w:r>
            <w:r w:rsidRPr="001B1012">
              <w:rPr>
                <w:rFonts w:asciiTheme="minorHAnsi" w:hAnsiTheme="minorHAnsi" w:cstheme="minorHAnsi"/>
                <w:sz w:val="18"/>
                <w:szCs w:val="18"/>
              </w:rPr>
              <w:t>.</w:t>
            </w:r>
          </w:p>
          <w:p w14:paraId="0CADD088" w14:textId="77777777" w:rsidR="00133DF2" w:rsidRPr="001B1012" w:rsidRDefault="00133DF2" w:rsidP="00133DF2">
            <w:pPr>
              <w:rPr>
                <w:rFonts w:asciiTheme="minorHAnsi" w:hAnsiTheme="minorHAnsi" w:cstheme="minorHAnsi"/>
                <w:sz w:val="18"/>
                <w:szCs w:val="18"/>
              </w:rPr>
            </w:pPr>
            <w:r w:rsidRPr="001B1012">
              <w:rPr>
                <w:rFonts w:asciiTheme="minorHAnsi" w:hAnsiTheme="minorHAnsi" w:cstheme="minorHAnsi"/>
                <w:sz w:val="18"/>
                <w:szCs w:val="18"/>
              </w:rPr>
              <w:t>Agency: MEWR</w:t>
            </w:r>
          </w:p>
        </w:tc>
        <w:tc>
          <w:tcPr>
            <w:tcW w:w="624" w:type="pct"/>
          </w:tcPr>
          <w:p w14:paraId="0325B4B2" w14:textId="77777777" w:rsidR="00133DF2" w:rsidRPr="001B1012" w:rsidRDefault="00133DF2" w:rsidP="00133DF2">
            <w:pPr>
              <w:rPr>
                <w:rFonts w:asciiTheme="minorHAnsi" w:hAnsiTheme="minorHAnsi" w:cstheme="minorHAnsi"/>
                <w:sz w:val="18"/>
                <w:szCs w:val="18"/>
              </w:rPr>
            </w:pPr>
            <w:r>
              <w:rPr>
                <w:rFonts w:asciiTheme="minorHAnsi" w:hAnsiTheme="minorHAnsi" w:cstheme="minorHAnsi"/>
                <w:sz w:val="18"/>
                <w:szCs w:val="18"/>
              </w:rPr>
              <w:t>Regulatory</w:t>
            </w:r>
            <w:r w:rsidRPr="001B1012">
              <w:rPr>
                <w:rFonts w:asciiTheme="minorHAnsi" w:hAnsiTheme="minorHAnsi" w:cstheme="minorHAnsi"/>
                <w:sz w:val="18"/>
                <w:szCs w:val="18"/>
              </w:rPr>
              <w:t xml:space="preserve"> consultant under TOR acceptable to the Bank.</w:t>
            </w:r>
          </w:p>
        </w:tc>
        <w:tc>
          <w:tcPr>
            <w:tcW w:w="947" w:type="pct"/>
          </w:tcPr>
          <w:p w14:paraId="5891C87C" w14:textId="77777777" w:rsidR="00133DF2" w:rsidRPr="00F3669D" w:rsidRDefault="00133DF2" w:rsidP="00133DF2">
            <w:pPr>
              <w:widowControl/>
              <w:autoSpaceDE/>
              <w:autoSpaceDN/>
              <w:adjustRightInd/>
              <w:rPr>
                <w:rFonts w:asciiTheme="minorHAnsi" w:hAnsiTheme="minorHAnsi" w:cstheme="minorHAnsi"/>
                <w:sz w:val="18"/>
                <w:szCs w:val="18"/>
              </w:rPr>
            </w:pPr>
            <w:r w:rsidRPr="00834BCE">
              <w:rPr>
                <w:rFonts w:asciiTheme="minorHAnsi" w:hAnsiTheme="minorHAnsi" w:cstheme="minorHAnsi"/>
                <w:sz w:val="18"/>
                <w:szCs w:val="18"/>
              </w:rPr>
              <w:t>Verification by IVA of adjustment of electricity tariffs for generation, transmission, distribution, other services, and end-users to confirm whether: (a) tariffs are computed consistent with the requirements of the tariff methodology</w:t>
            </w:r>
            <w:r>
              <w:rPr>
                <w:rFonts w:asciiTheme="minorHAnsi" w:hAnsiTheme="minorHAnsi" w:cstheme="minorHAnsi"/>
                <w:sz w:val="18"/>
                <w:szCs w:val="18"/>
              </w:rPr>
              <w:t>,</w:t>
            </w:r>
            <w:r w:rsidRPr="00834BCE">
              <w:rPr>
                <w:rFonts w:asciiTheme="minorHAnsi" w:hAnsiTheme="minorHAnsi" w:cstheme="minorHAnsi"/>
                <w:sz w:val="18"/>
                <w:szCs w:val="18"/>
              </w:rPr>
              <w:t xml:space="preserve"> and</w:t>
            </w:r>
            <w:r>
              <w:rPr>
                <w:rFonts w:asciiTheme="minorHAnsi" w:hAnsiTheme="minorHAnsi" w:cstheme="minorHAnsi"/>
                <w:sz w:val="18"/>
                <w:szCs w:val="18"/>
              </w:rPr>
              <w:t xml:space="preserve"> (b)</w:t>
            </w:r>
            <w:r w:rsidRPr="00834BCE">
              <w:rPr>
                <w:rFonts w:asciiTheme="minorHAnsi" w:hAnsiTheme="minorHAnsi" w:cstheme="minorHAnsi"/>
                <w:sz w:val="18"/>
                <w:szCs w:val="18"/>
              </w:rPr>
              <w:t xml:space="preserve"> the approved increases are consistent with the increase trajectory in the Electricity Tariff Paper.</w:t>
            </w:r>
          </w:p>
        </w:tc>
      </w:tr>
      <w:tr w:rsidR="00133DF2" w:rsidRPr="001B1012" w14:paraId="200EAD88" w14:textId="77777777" w:rsidTr="00866A63">
        <w:trPr>
          <w:jc w:val="center"/>
        </w:trPr>
        <w:tc>
          <w:tcPr>
            <w:tcW w:w="1090" w:type="pct"/>
          </w:tcPr>
          <w:p w14:paraId="04E635CE" w14:textId="7C006037" w:rsidR="00133DF2" w:rsidRPr="00133DF2" w:rsidRDefault="00133DF2" w:rsidP="00133DF2">
            <w:pPr>
              <w:widowControl/>
              <w:autoSpaceDE/>
              <w:autoSpaceDN/>
              <w:adjustRightInd/>
              <w:rPr>
                <w:rFonts w:asciiTheme="minorHAnsi" w:eastAsia="Times New Roman" w:hAnsiTheme="minorHAnsi" w:cstheme="minorHAnsi"/>
                <w:sz w:val="18"/>
                <w:szCs w:val="18"/>
              </w:rPr>
            </w:pPr>
            <w:r w:rsidRPr="00133DF2">
              <w:rPr>
                <w:rFonts w:asciiTheme="minorHAnsi" w:hAnsiTheme="minorHAnsi" w:cstheme="minorHAnsi"/>
                <w:sz w:val="18"/>
                <w:szCs w:val="18"/>
              </w:rPr>
              <w:lastRenderedPageBreak/>
              <w:t xml:space="preserve">DLR 1.4: By December 31, 2025, at least annual adjustment of generation, transmission, distribution, and end-user tariffs as per the new tariff methodology and consistent with the targets approved under the Electricity Tariff Paper </w:t>
            </w:r>
          </w:p>
        </w:tc>
        <w:tc>
          <w:tcPr>
            <w:tcW w:w="1091" w:type="pct"/>
          </w:tcPr>
          <w:p w14:paraId="0EAAD484" w14:textId="77777777" w:rsidR="00133DF2" w:rsidRPr="001B1012" w:rsidRDefault="00133DF2" w:rsidP="00133DF2">
            <w:pPr>
              <w:rPr>
                <w:rFonts w:asciiTheme="minorHAnsi" w:hAnsiTheme="minorHAnsi" w:cstheme="minorHAnsi"/>
                <w:sz w:val="18"/>
                <w:szCs w:val="18"/>
              </w:rPr>
            </w:pPr>
            <w:r w:rsidRPr="001B1012">
              <w:rPr>
                <w:rFonts w:asciiTheme="minorHAnsi" w:hAnsiTheme="minorHAnsi" w:cstheme="minorHAnsi"/>
                <w:sz w:val="18"/>
                <w:szCs w:val="18"/>
              </w:rPr>
              <w:t>The target will be considered achieved if: (a) tariff increase</w:t>
            </w:r>
            <w:r>
              <w:rPr>
                <w:rFonts w:asciiTheme="minorHAnsi" w:hAnsiTheme="minorHAnsi" w:cstheme="minorHAnsi"/>
                <w:sz w:val="18"/>
                <w:szCs w:val="18"/>
              </w:rPr>
              <w:t>s, over the previous year,</w:t>
            </w:r>
            <w:r w:rsidRPr="001B1012">
              <w:rPr>
                <w:rFonts w:asciiTheme="minorHAnsi" w:hAnsiTheme="minorHAnsi" w:cstheme="minorHAnsi"/>
                <w:sz w:val="18"/>
                <w:szCs w:val="18"/>
              </w:rPr>
              <w:t xml:space="preserve"> for all categories of consumers </w:t>
            </w:r>
            <w:r>
              <w:rPr>
                <w:rFonts w:asciiTheme="minorHAnsi" w:hAnsiTheme="minorHAnsi" w:cstheme="minorHAnsi"/>
                <w:sz w:val="18"/>
                <w:szCs w:val="18"/>
              </w:rPr>
              <w:t>are</w:t>
            </w:r>
            <w:r w:rsidRPr="001B1012">
              <w:rPr>
                <w:rFonts w:asciiTheme="minorHAnsi" w:hAnsiTheme="minorHAnsi" w:cstheme="minorHAnsi"/>
                <w:sz w:val="18"/>
                <w:szCs w:val="18"/>
              </w:rPr>
              <w:t xml:space="preserve"> not less than the target for 202</w:t>
            </w:r>
            <w:r>
              <w:rPr>
                <w:rFonts w:asciiTheme="minorHAnsi" w:hAnsiTheme="minorHAnsi" w:cstheme="minorHAnsi"/>
                <w:sz w:val="18"/>
                <w:szCs w:val="18"/>
              </w:rPr>
              <w:t>5</w:t>
            </w:r>
            <w:r w:rsidRPr="001B1012">
              <w:rPr>
                <w:rFonts w:asciiTheme="minorHAnsi" w:hAnsiTheme="minorHAnsi" w:cstheme="minorHAnsi"/>
                <w:sz w:val="18"/>
                <w:szCs w:val="18"/>
              </w:rPr>
              <w:t xml:space="preserve"> in the </w:t>
            </w:r>
            <w:r>
              <w:rPr>
                <w:rFonts w:asciiTheme="minorHAnsi" w:hAnsiTheme="minorHAnsi" w:cstheme="minorHAnsi"/>
                <w:sz w:val="18"/>
                <w:szCs w:val="18"/>
              </w:rPr>
              <w:t xml:space="preserve">Electricity </w:t>
            </w:r>
            <w:r w:rsidRPr="001B1012">
              <w:rPr>
                <w:rFonts w:asciiTheme="minorHAnsi" w:hAnsiTheme="minorHAnsi" w:cstheme="minorHAnsi"/>
                <w:sz w:val="18"/>
                <w:szCs w:val="18"/>
              </w:rPr>
              <w:t xml:space="preserve">Tariff Paper; </w:t>
            </w:r>
            <w:r>
              <w:rPr>
                <w:rFonts w:asciiTheme="minorHAnsi" w:hAnsiTheme="minorHAnsi" w:cstheme="minorHAnsi"/>
                <w:sz w:val="18"/>
                <w:szCs w:val="18"/>
              </w:rPr>
              <w:t xml:space="preserve">and </w:t>
            </w:r>
            <w:r w:rsidRPr="001B1012">
              <w:rPr>
                <w:rFonts w:asciiTheme="minorHAnsi" w:hAnsiTheme="minorHAnsi" w:cstheme="minorHAnsi"/>
                <w:sz w:val="18"/>
                <w:szCs w:val="18"/>
              </w:rPr>
              <w:t>(b) tariffs for electricity generation, transmission, distribution, other services (</w:t>
            </w:r>
            <w:proofErr w:type="gramStart"/>
            <w:r w:rsidRPr="001B1012">
              <w:rPr>
                <w:rFonts w:asciiTheme="minorHAnsi" w:hAnsiTheme="minorHAnsi" w:cstheme="minorHAnsi"/>
                <w:sz w:val="18"/>
                <w:szCs w:val="18"/>
              </w:rPr>
              <w:t>e.g.</w:t>
            </w:r>
            <w:proofErr w:type="gramEnd"/>
            <w:r w:rsidRPr="001B1012">
              <w:rPr>
                <w:rFonts w:asciiTheme="minorHAnsi" w:hAnsiTheme="minorHAnsi" w:cstheme="minorHAnsi"/>
                <w:sz w:val="18"/>
                <w:szCs w:val="18"/>
              </w:rPr>
              <w:t xml:space="preserve"> market operator, settlement center), and end-user</w:t>
            </w:r>
            <w:r>
              <w:rPr>
                <w:rFonts w:asciiTheme="minorHAnsi" w:hAnsiTheme="minorHAnsi" w:cstheme="minorHAnsi"/>
                <w:sz w:val="18"/>
                <w:szCs w:val="18"/>
              </w:rPr>
              <w:t>s</w:t>
            </w:r>
            <w:r w:rsidRPr="001B1012">
              <w:rPr>
                <w:rFonts w:asciiTheme="minorHAnsi" w:hAnsiTheme="minorHAnsi" w:cstheme="minorHAnsi"/>
                <w:sz w:val="18"/>
                <w:szCs w:val="18"/>
              </w:rPr>
              <w:t xml:space="preserve"> are computed as per requirements of </w:t>
            </w:r>
            <w:r>
              <w:rPr>
                <w:rFonts w:asciiTheme="minorHAnsi" w:hAnsiTheme="minorHAnsi" w:cstheme="minorHAnsi"/>
                <w:sz w:val="18"/>
                <w:szCs w:val="18"/>
              </w:rPr>
              <w:t>the tariff</w:t>
            </w:r>
            <w:r w:rsidRPr="001B1012">
              <w:rPr>
                <w:rFonts w:asciiTheme="minorHAnsi" w:hAnsiTheme="minorHAnsi" w:cstheme="minorHAnsi"/>
                <w:sz w:val="18"/>
                <w:szCs w:val="18"/>
              </w:rPr>
              <w:t xml:space="preserve"> methodology</w:t>
            </w:r>
            <w:r>
              <w:rPr>
                <w:rFonts w:asciiTheme="minorHAnsi" w:hAnsiTheme="minorHAnsi" w:cstheme="minorHAnsi"/>
                <w:sz w:val="18"/>
                <w:szCs w:val="18"/>
              </w:rPr>
              <w:t>.</w:t>
            </w:r>
            <w:r w:rsidRPr="001B1012">
              <w:rPr>
                <w:rFonts w:asciiTheme="minorHAnsi" w:hAnsiTheme="minorHAnsi" w:cstheme="minorHAnsi"/>
                <w:sz w:val="18"/>
                <w:szCs w:val="18"/>
              </w:rPr>
              <w:t xml:space="preserve"> </w:t>
            </w:r>
          </w:p>
        </w:tc>
        <w:tc>
          <w:tcPr>
            <w:tcW w:w="531" w:type="pct"/>
          </w:tcPr>
          <w:p w14:paraId="4AA773AA" w14:textId="77777777" w:rsidR="00133DF2" w:rsidRPr="001B1012" w:rsidRDefault="00133DF2" w:rsidP="00133DF2">
            <w:pPr>
              <w:rPr>
                <w:rFonts w:asciiTheme="minorHAnsi" w:hAnsiTheme="minorHAnsi" w:cstheme="minorHAnsi"/>
                <w:sz w:val="18"/>
                <w:szCs w:val="18"/>
              </w:rPr>
            </w:pPr>
            <w:r w:rsidRPr="001B1012">
              <w:rPr>
                <w:rFonts w:asciiTheme="minorHAnsi" w:hAnsiTheme="minorHAnsi" w:cstheme="minorHAnsi"/>
                <w:sz w:val="18"/>
                <w:szCs w:val="18"/>
              </w:rPr>
              <w:t>No</w:t>
            </w:r>
          </w:p>
        </w:tc>
        <w:tc>
          <w:tcPr>
            <w:tcW w:w="717" w:type="pct"/>
          </w:tcPr>
          <w:p w14:paraId="150D24F1" w14:textId="77777777" w:rsidR="00133DF2" w:rsidRPr="001B1012" w:rsidRDefault="00133DF2" w:rsidP="00133DF2">
            <w:pPr>
              <w:rPr>
                <w:rFonts w:asciiTheme="minorHAnsi" w:hAnsiTheme="minorHAnsi" w:cstheme="minorHAnsi"/>
                <w:sz w:val="18"/>
                <w:szCs w:val="18"/>
              </w:rPr>
            </w:pPr>
            <w:r w:rsidRPr="001B1012">
              <w:rPr>
                <w:rFonts w:asciiTheme="minorHAnsi" w:hAnsiTheme="minorHAnsi" w:cstheme="minorHAnsi"/>
                <w:sz w:val="18"/>
                <w:szCs w:val="18"/>
              </w:rPr>
              <w:t xml:space="preserve">Data sources: (a) copy of the Government Decree with approved electricity tariffs; (b) copy of </w:t>
            </w:r>
            <w:r>
              <w:rPr>
                <w:rFonts w:asciiTheme="minorHAnsi" w:hAnsiTheme="minorHAnsi" w:cstheme="minorHAnsi"/>
                <w:sz w:val="18"/>
                <w:szCs w:val="18"/>
              </w:rPr>
              <w:t>the updated and approved</w:t>
            </w:r>
            <w:r w:rsidRPr="001B1012">
              <w:rPr>
                <w:rFonts w:asciiTheme="minorHAnsi" w:hAnsiTheme="minorHAnsi" w:cstheme="minorHAnsi"/>
                <w:sz w:val="18"/>
                <w:szCs w:val="18"/>
              </w:rPr>
              <w:t xml:space="preserve"> Electricity Tariff Paper</w:t>
            </w:r>
            <w:r>
              <w:rPr>
                <w:rFonts w:asciiTheme="minorHAnsi" w:hAnsiTheme="minorHAnsi" w:cstheme="minorHAnsi"/>
                <w:sz w:val="18"/>
                <w:szCs w:val="18"/>
              </w:rPr>
              <w:t xml:space="preserve"> (if applicable)</w:t>
            </w:r>
            <w:r w:rsidRPr="001B1012">
              <w:rPr>
                <w:rFonts w:asciiTheme="minorHAnsi" w:hAnsiTheme="minorHAnsi" w:cstheme="minorHAnsi"/>
                <w:sz w:val="18"/>
                <w:szCs w:val="18"/>
              </w:rPr>
              <w:t>.</w:t>
            </w:r>
          </w:p>
          <w:p w14:paraId="344EDF68" w14:textId="77777777" w:rsidR="00133DF2" w:rsidRPr="001B1012" w:rsidRDefault="00133DF2" w:rsidP="00133DF2">
            <w:pPr>
              <w:rPr>
                <w:rFonts w:asciiTheme="minorHAnsi" w:hAnsiTheme="minorHAnsi" w:cstheme="minorHAnsi"/>
                <w:sz w:val="18"/>
                <w:szCs w:val="18"/>
              </w:rPr>
            </w:pPr>
            <w:r w:rsidRPr="001B1012">
              <w:rPr>
                <w:rFonts w:asciiTheme="minorHAnsi" w:hAnsiTheme="minorHAnsi" w:cstheme="minorHAnsi"/>
                <w:sz w:val="18"/>
                <w:szCs w:val="18"/>
              </w:rPr>
              <w:t>Agency: MEWR</w:t>
            </w:r>
            <w:r>
              <w:rPr>
                <w:rFonts w:asciiTheme="minorHAnsi" w:hAnsiTheme="minorHAnsi" w:cstheme="minorHAnsi"/>
                <w:sz w:val="18"/>
                <w:szCs w:val="18"/>
              </w:rPr>
              <w:t>.</w:t>
            </w:r>
          </w:p>
        </w:tc>
        <w:tc>
          <w:tcPr>
            <w:tcW w:w="624" w:type="pct"/>
          </w:tcPr>
          <w:p w14:paraId="50DD78EA" w14:textId="77777777" w:rsidR="00133DF2" w:rsidRPr="001B1012" w:rsidRDefault="00133DF2" w:rsidP="00133DF2">
            <w:pPr>
              <w:rPr>
                <w:rFonts w:asciiTheme="minorHAnsi" w:hAnsiTheme="minorHAnsi" w:cstheme="minorHAnsi"/>
                <w:sz w:val="18"/>
                <w:szCs w:val="18"/>
              </w:rPr>
            </w:pPr>
            <w:r>
              <w:rPr>
                <w:rFonts w:asciiTheme="minorHAnsi" w:hAnsiTheme="minorHAnsi" w:cstheme="minorHAnsi"/>
                <w:sz w:val="18"/>
                <w:szCs w:val="18"/>
              </w:rPr>
              <w:t>Regulatory</w:t>
            </w:r>
            <w:r w:rsidRPr="001B1012">
              <w:rPr>
                <w:rFonts w:asciiTheme="minorHAnsi" w:hAnsiTheme="minorHAnsi" w:cstheme="minorHAnsi"/>
                <w:sz w:val="18"/>
                <w:szCs w:val="18"/>
              </w:rPr>
              <w:t xml:space="preserve"> consultant under TOR acceptable to the Bank.</w:t>
            </w:r>
          </w:p>
        </w:tc>
        <w:tc>
          <w:tcPr>
            <w:tcW w:w="947" w:type="pct"/>
          </w:tcPr>
          <w:p w14:paraId="5B748492" w14:textId="77777777" w:rsidR="00133DF2" w:rsidRPr="00AC39D8" w:rsidRDefault="00133DF2" w:rsidP="00133DF2">
            <w:pPr>
              <w:widowControl/>
              <w:autoSpaceDE/>
              <w:autoSpaceDN/>
              <w:adjustRightInd/>
              <w:rPr>
                <w:rFonts w:asciiTheme="minorHAnsi" w:hAnsiTheme="minorHAnsi" w:cstheme="minorHAnsi"/>
                <w:sz w:val="18"/>
                <w:szCs w:val="18"/>
              </w:rPr>
            </w:pPr>
            <w:r w:rsidRPr="00834BCE">
              <w:rPr>
                <w:rFonts w:asciiTheme="minorHAnsi" w:hAnsiTheme="minorHAnsi" w:cstheme="minorHAnsi"/>
                <w:sz w:val="18"/>
                <w:szCs w:val="18"/>
              </w:rPr>
              <w:t>Verification by IVA of adjustment of electricity tariffs for generation, transmission, distribution, other services, and end-users to confirm whether: (a) tariffs are computed consistent with the requirements of the tariff methodology</w:t>
            </w:r>
            <w:r>
              <w:rPr>
                <w:rFonts w:asciiTheme="minorHAnsi" w:hAnsiTheme="minorHAnsi" w:cstheme="minorHAnsi"/>
                <w:sz w:val="18"/>
                <w:szCs w:val="18"/>
              </w:rPr>
              <w:t>,</w:t>
            </w:r>
            <w:r w:rsidRPr="00834BCE">
              <w:rPr>
                <w:rFonts w:asciiTheme="minorHAnsi" w:hAnsiTheme="minorHAnsi" w:cstheme="minorHAnsi"/>
                <w:sz w:val="18"/>
                <w:szCs w:val="18"/>
              </w:rPr>
              <w:t xml:space="preserve"> and</w:t>
            </w:r>
            <w:r>
              <w:rPr>
                <w:rFonts w:asciiTheme="minorHAnsi" w:hAnsiTheme="minorHAnsi" w:cstheme="minorHAnsi"/>
                <w:sz w:val="18"/>
                <w:szCs w:val="18"/>
              </w:rPr>
              <w:t xml:space="preserve"> (b)</w:t>
            </w:r>
            <w:r w:rsidRPr="00834BCE">
              <w:rPr>
                <w:rFonts w:asciiTheme="minorHAnsi" w:hAnsiTheme="minorHAnsi" w:cstheme="minorHAnsi"/>
                <w:sz w:val="18"/>
                <w:szCs w:val="18"/>
              </w:rPr>
              <w:t xml:space="preserve"> the approved increases are consistent with the increase trajectory in the Electricity Tariff Paper.</w:t>
            </w:r>
          </w:p>
        </w:tc>
      </w:tr>
      <w:tr w:rsidR="00133DF2" w:rsidRPr="001B1012" w14:paraId="1E8C89D8" w14:textId="77777777" w:rsidTr="00866A63">
        <w:trPr>
          <w:jc w:val="center"/>
        </w:trPr>
        <w:tc>
          <w:tcPr>
            <w:tcW w:w="1090" w:type="pct"/>
          </w:tcPr>
          <w:p w14:paraId="6E2401BC" w14:textId="3D3017F4" w:rsidR="00133DF2" w:rsidRPr="00133DF2" w:rsidRDefault="00133DF2" w:rsidP="00133DF2">
            <w:pPr>
              <w:widowControl/>
              <w:autoSpaceDE/>
              <w:autoSpaceDN/>
              <w:adjustRightInd/>
              <w:rPr>
                <w:rFonts w:asciiTheme="minorHAnsi" w:eastAsia="Times New Roman" w:hAnsiTheme="minorHAnsi" w:cstheme="minorHAnsi"/>
                <w:sz w:val="18"/>
                <w:szCs w:val="18"/>
              </w:rPr>
            </w:pPr>
            <w:r w:rsidRPr="00133DF2">
              <w:rPr>
                <w:rFonts w:asciiTheme="minorHAnsi" w:hAnsiTheme="minorHAnsi" w:cstheme="minorHAnsi"/>
                <w:sz w:val="18"/>
                <w:szCs w:val="18"/>
              </w:rPr>
              <w:t xml:space="preserve">DLR 1.5: By December 31, 2026, at least annual adjustment of generation, transmission, distribution, and end-user tariffs as per the new tariff methodology and consistent with the targets approved under the Electricity Tariff Paper </w:t>
            </w:r>
          </w:p>
        </w:tc>
        <w:tc>
          <w:tcPr>
            <w:tcW w:w="1091" w:type="pct"/>
          </w:tcPr>
          <w:p w14:paraId="76638680" w14:textId="77777777" w:rsidR="00133DF2" w:rsidRPr="001B1012" w:rsidRDefault="00133DF2" w:rsidP="00133DF2">
            <w:pPr>
              <w:rPr>
                <w:rFonts w:asciiTheme="minorHAnsi" w:hAnsiTheme="minorHAnsi" w:cstheme="minorHAnsi"/>
                <w:sz w:val="18"/>
                <w:szCs w:val="18"/>
              </w:rPr>
            </w:pPr>
            <w:r w:rsidRPr="001B1012">
              <w:rPr>
                <w:rFonts w:asciiTheme="minorHAnsi" w:hAnsiTheme="minorHAnsi" w:cstheme="minorHAnsi"/>
                <w:sz w:val="18"/>
                <w:szCs w:val="18"/>
              </w:rPr>
              <w:t>The target will be considered achieved if: (a) tariff increase</w:t>
            </w:r>
            <w:r>
              <w:rPr>
                <w:rFonts w:asciiTheme="minorHAnsi" w:hAnsiTheme="minorHAnsi" w:cstheme="minorHAnsi"/>
                <w:sz w:val="18"/>
                <w:szCs w:val="18"/>
              </w:rPr>
              <w:t>s, over the previous year,</w:t>
            </w:r>
            <w:r w:rsidRPr="001B1012">
              <w:rPr>
                <w:rFonts w:asciiTheme="minorHAnsi" w:hAnsiTheme="minorHAnsi" w:cstheme="minorHAnsi"/>
                <w:sz w:val="18"/>
                <w:szCs w:val="18"/>
              </w:rPr>
              <w:t xml:space="preserve"> for all categories of consumers </w:t>
            </w:r>
            <w:r>
              <w:rPr>
                <w:rFonts w:asciiTheme="minorHAnsi" w:hAnsiTheme="minorHAnsi" w:cstheme="minorHAnsi"/>
                <w:sz w:val="18"/>
                <w:szCs w:val="18"/>
              </w:rPr>
              <w:t>are</w:t>
            </w:r>
            <w:r w:rsidRPr="001B1012">
              <w:rPr>
                <w:rFonts w:asciiTheme="minorHAnsi" w:hAnsiTheme="minorHAnsi" w:cstheme="minorHAnsi"/>
                <w:sz w:val="18"/>
                <w:szCs w:val="18"/>
              </w:rPr>
              <w:t xml:space="preserve"> not less than the target for 202</w:t>
            </w:r>
            <w:r>
              <w:rPr>
                <w:rFonts w:asciiTheme="minorHAnsi" w:hAnsiTheme="minorHAnsi" w:cstheme="minorHAnsi"/>
                <w:sz w:val="18"/>
                <w:szCs w:val="18"/>
              </w:rPr>
              <w:t>6</w:t>
            </w:r>
            <w:r w:rsidRPr="001B1012">
              <w:rPr>
                <w:rFonts w:asciiTheme="minorHAnsi" w:hAnsiTheme="minorHAnsi" w:cstheme="minorHAnsi"/>
                <w:sz w:val="18"/>
                <w:szCs w:val="18"/>
              </w:rPr>
              <w:t xml:space="preserve"> in the </w:t>
            </w:r>
            <w:r>
              <w:rPr>
                <w:rFonts w:asciiTheme="minorHAnsi" w:hAnsiTheme="minorHAnsi" w:cstheme="minorHAnsi"/>
                <w:sz w:val="18"/>
                <w:szCs w:val="18"/>
              </w:rPr>
              <w:t xml:space="preserve">Electricity </w:t>
            </w:r>
            <w:r w:rsidRPr="001B1012">
              <w:rPr>
                <w:rFonts w:asciiTheme="minorHAnsi" w:hAnsiTheme="minorHAnsi" w:cstheme="minorHAnsi"/>
                <w:sz w:val="18"/>
                <w:szCs w:val="18"/>
              </w:rPr>
              <w:t xml:space="preserve">Tariff Paper; </w:t>
            </w:r>
            <w:r>
              <w:rPr>
                <w:rFonts w:asciiTheme="minorHAnsi" w:hAnsiTheme="minorHAnsi" w:cstheme="minorHAnsi"/>
                <w:sz w:val="18"/>
                <w:szCs w:val="18"/>
              </w:rPr>
              <w:t xml:space="preserve">and </w:t>
            </w:r>
            <w:r w:rsidRPr="001B1012">
              <w:rPr>
                <w:rFonts w:asciiTheme="minorHAnsi" w:hAnsiTheme="minorHAnsi" w:cstheme="minorHAnsi"/>
                <w:sz w:val="18"/>
                <w:szCs w:val="18"/>
              </w:rPr>
              <w:t>(b) tariffs for electricity generation, transmission, distribution, other services (</w:t>
            </w:r>
            <w:proofErr w:type="gramStart"/>
            <w:r w:rsidRPr="001B1012">
              <w:rPr>
                <w:rFonts w:asciiTheme="minorHAnsi" w:hAnsiTheme="minorHAnsi" w:cstheme="minorHAnsi"/>
                <w:sz w:val="18"/>
                <w:szCs w:val="18"/>
              </w:rPr>
              <w:t>e.g.</w:t>
            </w:r>
            <w:proofErr w:type="gramEnd"/>
            <w:r w:rsidRPr="001B1012">
              <w:rPr>
                <w:rFonts w:asciiTheme="minorHAnsi" w:hAnsiTheme="minorHAnsi" w:cstheme="minorHAnsi"/>
                <w:sz w:val="18"/>
                <w:szCs w:val="18"/>
              </w:rPr>
              <w:t xml:space="preserve"> market operator, settlement center), and end-user</w:t>
            </w:r>
            <w:r>
              <w:rPr>
                <w:rFonts w:asciiTheme="minorHAnsi" w:hAnsiTheme="minorHAnsi" w:cstheme="minorHAnsi"/>
                <w:sz w:val="18"/>
                <w:szCs w:val="18"/>
              </w:rPr>
              <w:t>s</w:t>
            </w:r>
            <w:r w:rsidRPr="001B1012">
              <w:rPr>
                <w:rFonts w:asciiTheme="minorHAnsi" w:hAnsiTheme="minorHAnsi" w:cstheme="minorHAnsi"/>
                <w:sz w:val="18"/>
                <w:szCs w:val="18"/>
              </w:rPr>
              <w:t xml:space="preserve"> are computed as per requirements of </w:t>
            </w:r>
            <w:r>
              <w:rPr>
                <w:rFonts w:asciiTheme="minorHAnsi" w:hAnsiTheme="minorHAnsi" w:cstheme="minorHAnsi"/>
                <w:sz w:val="18"/>
                <w:szCs w:val="18"/>
              </w:rPr>
              <w:t>the tariff</w:t>
            </w:r>
            <w:r w:rsidRPr="001B1012">
              <w:rPr>
                <w:rFonts w:asciiTheme="minorHAnsi" w:hAnsiTheme="minorHAnsi" w:cstheme="minorHAnsi"/>
                <w:sz w:val="18"/>
                <w:szCs w:val="18"/>
              </w:rPr>
              <w:t xml:space="preserve"> methodology</w:t>
            </w:r>
            <w:r>
              <w:rPr>
                <w:rFonts w:asciiTheme="minorHAnsi" w:hAnsiTheme="minorHAnsi" w:cstheme="minorHAnsi"/>
                <w:sz w:val="18"/>
                <w:szCs w:val="18"/>
              </w:rPr>
              <w:t>.</w:t>
            </w:r>
            <w:r w:rsidRPr="001B1012">
              <w:rPr>
                <w:rFonts w:asciiTheme="minorHAnsi" w:hAnsiTheme="minorHAnsi" w:cstheme="minorHAnsi"/>
                <w:sz w:val="18"/>
                <w:szCs w:val="18"/>
              </w:rPr>
              <w:t xml:space="preserve"> </w:t>
            </w:r>
          </w:p>
        </w:tc>
        <w:tc>
          <w:tcPr>
            <w:tcW w:w="531" w:type="pct"/>
          </w:tcPr>
          <w:p w14:paraId="632BCA6B" w14:textId="77777777" w:rsidR="00133DF2" w:rsidRPr="001B1012" w:rsidRDefault="00133DF2" w:rsidP="00133DF2">
            <w:pPr>
              <w:rPr>
                <w:rFonts w:asciiTheme="minorHAnsi" w:hAnsiTheme="minorHAnsi" w:cstheme="minorHAnsi"/>
                <w:sz w:val="18"/>
                <w:szCs w:val="18"/>
              </w:rPr>
            </w:pPr>
            <w:r w:rsidRPr="001B1012">
              <w:rPr>
                <w:rFonts w:asciiTheme="minorHAnsi" w:hAnsiTheme="minorHAnsi" w:cstheme="minorHAnsi"/>
                <w:sz w:val="18"/>
                <w:szCs w:val="18"/>
              </w:rPr>
              <w:t>No</w:t>
            </w:r>
          </w:p>
        </w:tc>
        <w:tc>
          <w:tcPr>
            <w:tcW w:w="717" w:type="pct"/>
          </w:tcPr>
          <w:p w14:paraId="220156B2" w14:textId="77777777" w:rsidR="00133DF2" w:rsidRPr="001B1012" w:rsidRDefault="00133DF2" w:rsidP="00133DF2">
            <w:pPr>
              <w:rPr>
                <w:rFonts w:asciiTheme="minorHAnsi" w:hAnsiTheme="minorHAnsi" w:cstheme="minorHAnsi"/>
                <w:sz w:val="18"/>
                <w:szCs w:val="18"/>
              </w:rPr>
            </w:pPr>
            <w:r w:rsidRPr="001B1012">
              <w:rPr>
                <w:rFonts w:asciiTheme="minorHAnsi" w:hAnsiTheme="minorHAnsi" w:cstheme="minorHAnsi"/>
                <w:sz w:val="18"/>
                <w:szCs w:val="18"/>
              </w:rPr>
              <w:t xml:space="preserve">Data sources: (a) copy of the Government Decree with approved electricity tariffs; (b) copy of </w:t>
            </w:r>
            <w:r>
              <w:rPr>
                <w:rFonts w:asciiTheme="minorHAnsi" w:hAnsiTheme="minorHAnsi" w:cstheme="minorHAnsi"/>
                <w:sz w:val="18"/>
                <w:szCs w:val="18"/>
              </w:rPr>
              <w:t>the updated and approved</w:t>
            </w:r>
            <w:r w:rsidRPr="001B1012">
              <w:rPr>
                <w:rFonts w:asciiTheme="minorHAnsi" w:hAnsiTheme="minorHAnsi" w:cstheme="minorHAnsi"/>
                <w:sz w:val="18"/>
                <w:szCs w:val="18"/>
              </w:rPr>
              <w:t xml:space="preserve"> Electricity Tariff Paper</w:t>
            </w:r>
            <w:r>
              <w:rPr>
                <w:rFonts w:asciiTheme="minorHAnsi" w:hAnsiTheme="minorHAnsi" w:cstheme="minorHAnsi"/>
                <w:sz w:val="18"/>
                <w:szCs w:val="18"/>
              </w:rPr>
              <w:t xml:space="preserve"> (if applicable)</w:t>
            </w:r>
            <w:r w:rsidRPr="001B1012">
              <w:rPr>
                <w:rFonts w:asciiTheme="minorHAnsi" w:hAnsiTheme="minorHAnsi" w:cstheme="minorHAnsi"/>
                <w:sz w:val="18"/>
                <w:szCs w:val="18"/>
              </w:rPr>
              <w:t>.</w:t>
            </w:r>
          </w:p>
          <w:p w14:paraId="2867ACC1" w14:textId="77777777" w:rsidR="00133DF2" w:rsidRPr="001B1012" w:rsidRDefault="00133DF2" w:rsidP="00133DF2">
            <w:pPr>
              <w:rPr>
                <w:rFonts w:asciiTheme="minorHAnsi" w:hAnsiTheme="minorHAnsi" w:cstheme="minorHAnsi"/>
                <w:sz w:val="18"/>
                <w:szCs w:val="18"/>
              </w:rPr>
            </w:pPr>
            <w:r w:rsidRPr="001B1012">
              <w:rPr>
                <w:rFonts w:asciiTheme="minorHAnsi" w:hAnsiTheme="minorHAnsi" w:cstheme="minorHAnsi"/>
                <w:sz w:val="18"/>
                <w:szCs w:val="18"/>
              </w:rPr>
              <w:t>Agency: MEWR</w:t>
            </w:r>
          </w:p>
        </w:tc>
        <w:tc>
          <w:tcPr>
            <w:tcW w:w="624" w:type="pct"/>
          </w:tcPr>
          <w:p w14:paraId="2C5B2388" w14:textId="77777777" w:rsidR="00133DF2" w:rsidRPr="001B1012" w:rsidRDefault="00133DF2" w:rsidP="00133DF2">
            <w:pPr>
              <w:rPr>
                <w:rFonts w:asciiTheme="minorHAnsi" w:hAnsiTheme="minorHAnsi" w:cstheme="minorHAnsi"/>
                <w:sz w:val="18"/>
                <w:szCs w:val="18"/>
              </w:rPr>
            </w:pPr>
            <w:r>
              <w:rPr>
                <w:rFonts w:asciiTheme="minorHAnsi" w:hAnsiTheme="minorHAnsi" w:cstheme="minorHAnsi"/>
                <w:sz w:val="18"/>
                <w:szCs w:val="18"/>
              </w:rPr>
              <w:t>Regulatory</w:t>
            </w:r>
            <w:r w:rsidRPr="001B1012">
              <w:rPr>
                <w:rFonts w:asciiTheme="minorHAnsi" w:hAnsiTheme="minorHAnsi" w:cstheme="minorHAnsi"/>
                <w:sz w:val="18"/>
                <w:szCs w:val="18"/>
              </w:rPr>
              <w:t xml:space="preserve"> consultant under TOR acceptable to </w:t>
            </w:r>
            <w:r>
              <w:rPr>
                <w:rFonts w:asciiTheme="minorHAnsi" w:hAnsiTheme="minorHAnsi" w:cstheme="minorHAnsi"/>
                <w:sz w:val="18"/>
                <w:szCs w:val="18"/>
              </w:rPr>
              <w:t>T</w:t>
            </w:r>
            <w:r w:rsidRPr="001B1012">
              <w:rPr>
                <w:rFonts w:asciiTheme="minorHAnsi" w:hAnsiTheme="minorHAnsi" w:cstheme="minorHAnsi"/>
                <w:sz w:val="18"/>
                <w:szCs w:val="18"/>
              </w:rPr>
              <w:t>he Bank.</w:t>
            </w:r>
          </w:p>
        </w:tc>
        <w:tc>
          <w:tcPr>
            <w:tcW w:w="947" w:type="pct"/>
          </w:tcPr>
          <w:p w14:paraId="3F6EF3D2" w14:textId="77777777" w:rsidR="00133DF2" w:rsidRPr="00AC39D8" w:rsidRDefault="00133DF2" w:rsidP="00133DF2">
            <w:pPr>
              <w:widowControl/>
              <w:autoSpaceDE/>
              <w:autoSpaceDN/>
              <w:adjustRightInd/>
              <w:rPr>
                <w:rFonts w:asciiTheme="minorHAnsi" w:hAnsiTheme="minorHAnsi" w:cstheme="minorHAnsi"/>
                <w:sz w:val="18"/>
                <w:szCs w:val="18"/>
              </w:rPr>
            </w:pPr>
            <w:r w:rsidRPr="00834BCE">
              <w:rPr>
                <w:rFonts w:asciiTheme="minorHAnsi" w:hAnsiTheme="minorHAnsi" w:cstheme="minorHAnsi"/>
                <w:sz w:val="18"/>
                <w:szCs w:val="18"/>
              </w:rPr>
              <w:t>Verification by IVA of adjustment of electricity tariffs for generation, transmission, distribution, other services, and end-users to confirm whether: (a) tariffs are computed consistent with the requirements of the tariff methodology</w:t>
            </w:r>
            <w:r>
              <w:rPr>
                <w:rFonts w:asciiTheme="minorHAnsi" w:hAnsiTheme="minorHAnsi" w:cstheme="minorHAnsi"/>
                <w:sz w:val="18"/>
                <w:szCs w:val="18"/>
              </w:rPr>
              <w:t>,</w:t>
            </w:r>
            <w:r w:rsidRPr="00834BCE">
              <w:rPr>
                <w:rFonts w:asciiTheme="minorHAnsi" w:hAnsiTheme="minorHAnsi" w:cstheme="minorHAnsi"/>
                <w:sz w:val="18"/>
                <w:szCs w:val="18"/>
              </w:rPr>
              <w:t xml:space="preserve"> and</w:t>
            </w:r>
            <w:r>
              <w:rPr>
                <w:rFonts w:asciiTheme="minorHAnsi" w:hAnsiTheme="minorHAnsi" w:cstheme="minorHAnsi"/>
                <w:sz w:val="18"/>
                <w:szCs w:val="18"/>
              </w:rPr>
              <w:t xml:space="preserve"> (b)</w:t>
            </w:r>
            <w:r w:rsidRPr="00834BCE">
              <w:rPr>
                <w:rFonts w:asciiTheme="minorHAnsi" w:hAnsiTheme="minorHAnsi" w:cstheme="minorHAnsi"/>
                <w:sz w:val="18"/>
                <w:szCs w:val="18"/>
              </w:rPr>
              <w:t xml:space="preserve"> the approved increases are consistent with the increase trajectory in the Electricity Tariff Paper.</w:t>
            </w:r>
          </w:p>
        </w:tc>
      </w:tr>
      <w:tr w:rsidR="00133DF2" w:rsidRPr="001B1012" w14:paraId="171CCB6D" w14:textId="77777777" w:rsidTr="00866A63">
        <w:trPr>
          <w:jc w:val="center"/>
        </w:trPr>
        <w:tc>
          <w:tcPr>
            <w:tcW w:w="1090" w:type="pct"/>
          </w:tcPr>
          <w:p w14:paraId="1090F30C" w14:textId="27F8AD6D" w:rsidR="00133DF2" w:rsidRPr="00133DF2" w:rsidRDefault="00133DF2" w:rsidP="00133DF2">
            <w:pPr>
              <w:widowControl/>
              <w:autoSpaceDE/>
              <w:autoSpaceDN/>
              <w:adjustRightInd/>
              <w:rPr>
                <w:rFonts w:asciiTheme="minorHAnsi" w:eastAsia="Times New Roman" w:hAnsiTheme="minorHAnsi" w:cstheme="minorHAnsi"/>
                <w:sz w:val="18"/>
                <w:szCs w:val="18"/>
              </w:rPr>
            </w:pPr>
            <w:r w:rsidRPr="00133DF2">
              <w:rPr>
                <w:rFonts w:asciiTheme="minorHAnsi" w:hAnsiTheme="minorHAnsi" w:cstheme="minorHAnsi"/>
                <w:sz w:val="18"/>
                <w:szCs w:val="18"/>
              </w:rPr>
              <w:t xml:space="preserve">DLR 1.6: By December 31, 2027, at least annual adjustment of generation, transmission, distribution, and end-user tariffs as per the new tariff methodology and consistent with the targets approved under the Electricity Tariff Paper </w:t>
            </w:r>
          </w:p>
        </w:tc>
        <w:tc>
          <w:tcPr>
            <w:tcW w:w="1091" w:type="pct"/>
          </w:tcPr>
          <w:p w14:paraId="23C8C317" w14:textId="77777777" w:rsidR="00133DF2" w:rsidRPr="001B1012" w:rsidRDefault="00133DF2" w:rsidP="00133DF2">
            <w:pPr>
              <w:rPr>
                <w:rFonts w:asciiTheme="minorHAnsi" w:hAnsiTheme="minorHAnsi" w:cstheme="minorHAnsi"/>
                <w:sz w:val="18"/>
                <w:szCs w:val="18"/>
              </w:rPr>
            </w:pPr>
            <w:r w:rsidRPr="001B1012">
              <w:rPr>
                <w:rFonts w:asciiTheme="minorHAnsi" w:hAnsiTheme="minorHAnsi" w:cstheme="minorHAnsi"/>
                <w:sz w:val="18"/>
                <w:szCs w:val="18"/>
              </w:rPr>
              <w:t>The target will be considered achieved if: (a) tariff increase</w:t>
            </w:r>
            <w:r>
              <w:rPr>
                <w:rFonts w:asciiTheme="minorHAnsi" w:hAnsiTheme="minorHAnsi" w:cstheme="minorHAnsi"/>
                <w:sz w:val="18"/>
                <w:szCs w:val="18"/>
              </w:rPr>
              <w:t>s, over the previous year,</w:t>
            </w:r>
            <w:r w:rsidRPr="001B1012">
              <w:rPr>
                <w:rFonts w:asciiTheme="minorHAnsi" w:hAnsiTheme="minorHAnsi" w:cstheme="minorHAnsi"/>
                <w:sz w:val="18"/>
                <w:szCs w:val="18"/>
              </w:rPr>
              <w:t xml:space="preserve"> for all categories of consumers </w:t>
            </w:r>
            <w:r>
              <w:rPr>
                <w:rFonts w:asciiTheme="minorHAnsi" w:hAnsiTheme="minorHAnsi" w:cstheme="minorHAnsi"/>
                <w:sz w:val="18"/>
                <w:szCs w:val="18"/>
              </w:rPr>
              <w:t>are</w:t>
            </w:r>
            <w:r w:rsidRPr="001B1012">
              <w:rPr>
                <w:rFonts w:asciiTheme="minorHAnsi" w:hAnsiTheme="minorHAnsi" w:cstheme="minorHAnsi"/>
                <w:sz w:val="18"/>
                <w:szCs w:val="18"/>
              </w:rPr>
              <w:t xml:space="preserve"> not less than the target for 202</w:t>
            </w:r>
            <w:r>
              <w:rPr>
                <w:rFonts w:asciiTheme="minorHAnsi" w:hAnsiTheme="minorHAnsi" w:cstheme="minorHAnsi"/>
                <w:sz w:val="18"/>
                <w:szCs w:val="18"/>
              </w:rPr>
              <w:t>7</w:t>
            </w:r>
            <w:r w:rsidRPr="001B1012">
              <w:rPr>
                <w:rFonts w:asciiTheme="minorHAnsi" w:hAnsiTheme="minorHAnsi" w:cstheme="minorHAnsi"/>
                <w:sz w:val="18"/>
                <w:szCs w:val="18"/>
              </w:rPr>
              <w:t xml:space="preserve"> in the </w:t>
            </w:r>
            <w:r>
              <w:rPr>
                <w:rFonts w:asciiTheme="minorHAnsi" w:hAnsiTheme="minorHAnsi" w:cstheme="minorHAnsi"/>
                <w:sz w:val="18"/>
                <w:szCs w:val="18"/>
              </w:rPr>
              <w:t xml:space="preserve">Electricity </w:t>
            </w:r>
            <w:r w:rsidRPr="001B1012">
              <w:rPr>
                <w:rFonts w:asciiTheme="minorHAnsi" w:hAnsiTheme="minorHAnsi" w:cstheme="minorHAnsi"/>
                <w:sz w:val="18"/>
                <w:szCs w:val="18"/>
              </w:rPr>
              <w:t xml:space="preserve">Tariff Paper; </w:t>
            </w:r>
            <w:r>
              <w:rPr>
                <w:rFonts w:asciiTheme="minorHAnsi" w:hAnsiTheme="minorHAnsi" w:cstheme="minorHAnsi"/>
                <w:sz w:val="18"/>
                <w:szCs w:val="18"/>
              </w:rPr>
              <w:t xml:space="preserve">and </w:t>
            </w:r>
            <w:r w:rsidRPr="001B1012">
              <w:rPr>
                <w:rFonts w:asciiTheme="minorHAnsi" w:hAnsiTheme="minorHAnsi" w:cstheme="minorHAnsi"/>
                <w:sz w:val="18"/>
                <w:szCs w:val="18"/>
              </w:rPr>
              <w:t>(b) tariffs for electricity generation, transmission, distribution, other services (</w:t>
            </w:r>
            <w:proofErr w:type="gramStart"/>
            <w:r w:rsidRPr="001B1012">
              <w:rPr>
                <w:rFonts w:asciiTheme="minorHAnsi" w:hAnsiTheme="minorHAnsi" w:cstheme="minorHAnsi"/>
                <w:sz w:val="18"/>
                <w:szCs w:val="18"/>
              </w:rPr>
              <w:t>e.g.</w:t>
            </w:r>
            <w:proofErr w:type="gramEnd"/>
            <w:r w:rsidRPr="001B1012">
              <w:rPr>
                <w:rFonts w:asciiTheme="minorHAnsi" w:hAnsiTheme="minorHAnsi" w:cstheme="minorHAnsi"/>
                <w:sz w:val="18"/>
                <w:szCs w:val="18"/>
              </w:rPr>
              <w:t xml:space="preserve"> market operator, settlement center), and end-user</w:t>
            </w:r>
            <w:r>
              <w:rPr>
                <w:rFonts w:asciiTheme="minorHAnsi" w:hAnsiTheme="minorHAnsi" w:cstheme="minorHAnsi"/>
                <w:sz w:val="18"/>
                <w:szCs w:val="18"/>
              </w:rPr>
              <w:t>s</w:t>
            </w:r>
            <w:r w:rsidRPr="001B1012">
              <w:rPr>
                <w:rFonts w:asciiTheme="minorHAnsi" w:hAnsiTheme="minorHAnsi" w:cstheme="minorHAnsi"/>
                <w:sz w:val="18"/>
                <w:szCs w:val="18"/>
              </w:rPr>
              <w:t xml:space="preserve"> are computed as per requirements of </w:t>
            </w:r>
            <w:r>
              <w:rPr>
                <w:rFonts w:asciiTheme="minorHAnsi" w:hAnsiTheme="minorHAnsi" w:cstheme="minorHAnsi"/>
                <w:sz w:val="18"/>
                <w:szCs w:val="18"/>
              </w:rPr>
              <w:t>the tariff</w:t>
            </w:r>
            <w:r w:rsidRPr="001B1012">
              <w:rPr>
                <w:rFonts w:asciiTheme="minorHAnsi" w:hAnsiTheme="minorHAnsi" w:cstheme="minorHAnsi"/>
                <w:sz w:val="18"/>
                <w:szCs w:val="18"/>
              </w:rPr>
              <w:t xml:space="preserve"> methodology</w:t>
            </w:r>
            <w:r>
              <w:rPr>
                <w:rFonts w:asciiTheme="minorHAnsi" w:hAnsiTheme="minorHAnsi" w:cstheme="minorHAnsi"/>
                <w:sz w:val="18"/>
                <w:szCs w:val="18"/>
              </w:rPr>
              <w:t>.</w:t>
            </w:r>
            <w:r w:rsidRPr="001B1012">
              <w:rPr>
                <w:rFonts w:asciiTheme="minorHAnsi" w:hAnsiTheme="minorHAnsi" w:cstheme="minorHAnsi"/>
                <w:sz w:val="18"/>
                <w:szCs w:val="18"/>
              </w:rPr>
              <w:t xml:space="preserve"> </w:t>
            </w:r>
          </w:p>
        </w:tc>
        <w:tc>
          <w:tcPr>
            <w:tcW w:w="531" w:type="pct"/>
          </w:tcPr>
          <w:p w14:paraId="67F117E1" w14:textId="77777777" w:rsidR="00133DF2" w:rsidRPr="001B1012" w:rsidRDefault="00133DF2" w:rsidP="00133DF2">
            <w:pPr>
              <w:rPr>
                <w:rFonts w:asciiTheme="minorHAnsi" w:hAnsiTheme="minorHAnsi" w:cstheme="minorHAnsi"/>
                <w:sz w:val="18"/>
                <w:szCs w:val="18"/>
              </w:rPr>
            </w:pPr>
            <w:r w:rsidRPr="001B1012">
              <w:rPr>
                <w:rFonts w:asciiTheme="minorHAnsi" w:hAnsiTheme="minorHAnsi" w:cstheme="minorHAnsi"/>
                <w:sz w:val="18"/>
                <w:szCs w:val="18"/>
              </w:rPr>
              <w:t>No</w:t>
            </w:r>
          </w:p>
        </w:tc>
        <w:tc>
          <w:tcPr>
            <w:tcW w:w="717" w:type="pct"/>
          </w:tcPr>
          <w:p w14:paraId="272DFA5E" w14:textId="77777777" w:rsidR="00133DF2" w:rsidRPr="001B1012" w:rsidRDefault="00133DF2" w:rsidP="00133DF2">
            <w:pPr>
              <w:rPr>
                <w:rFonts w:asciiTheme="minorHAnsi" w:hAnsiTheme="minorHAnsi" w:cstheme="minorHAnsi"/>
                <w:sz w:val="18"/>
                <w:szCs w:val="18"/>
              </w:rPr>
            </w:pPr>
            <w:r w:rsidRPr="001B1012">
              <w:rPr>
                <w:rFonts w:asciiTheme="minorHAnsi" w:hAnsiTheme="minorHAnsi" w:cstheme="minorHAnsi"/>
                <w:sz w:val="18"/>
                <w:szCs w:val="18"/>
              </w:rPr>
              <w:t xml:space="preserve">Data sources: (a) copy of the Government Decree with approved electricity tariffs; (b) copy of </w:t>
            </w:r>
            <w:r>
              <w:rPr>
                <w:rFonts w:asciiTheme="minorHAnsi" w:hAnsiTheme="minorHAnsi" w:cstheme="minorHAnsi"/>
                <w:sz w:val="18"/>
                <w:szCs w:val="18"/>
              </w:rPr>
              <w:t>the updated and approved</w:t>
            </w:r>
            <w:r w:rsidRPr="001B1012">
              <w:rPr>
                <w:rFonts w:asciiTheme="minorHAnsi" w:hAnsiTheme="minorHAnsi" w:cstheme="minorHAnsi"/>
                <w:sz w:val="18"/>
                <w:szCs w:val="18"/>
              </w:rPr>
              <w:t xml:space="preserve"> Electricity Tariff Paper</w:t>
            </w:r>
            <w:r>
              <w:rPr>
                <w:rFonts w:asciiTheme="minorHAnsi" w:hAnsiTheme="minorHAnsi" w:cstheme="minorHAnsi"/>
                <w:sz w:val="18"/>
                <w:szCs w:val="18"/>
              </w:rPr>
              <w:t xml:space="preserve"> (if applicable)</w:t>
            </w:r>
            <w:r w:rsidRPr="001B1012">
              <w:rPr>
                <w:rFonts w:asciiTheme="minorHAnsi" w:hAnsiTheme="minorHAnsi" w:cstheme="minorHAnsi"/>
                <w:sz w:val="18"/>
                <w:szCs w:val="18"/>
              </w:rPr>
              <w:t>.</w:t>
            </w:r>
          </w:p>
          <w:p w14:paraId="29EAA3A5" w14:textId="77777777" w:rsidR="00133DF2" w:rsidRPr="001B1012" w:rsidRDefault="00133DF2" w:rsidP="00133DF2">
            <w:pPr>
              <w:rPr>
                <w:rFonts w:asciiTheme="minorHAnsi" w:hAnsiTheme="minorHAnsi" w:cstheme="minorHAnsi"/>
                <w:sz w:val="18"/>
                <w:szCs w:val="18"/>
              </w:rPr>
            </w:pPr>
            <w:r w:rsidRPr="001B1012">
              <w:rPr>
                <w:rFonts w:asciiTheme="minorHAnsi" w:hAnsiTheme="minorHAnsi" w:cstheme="minorHAnsi"/>
                <w:sz w:val="18"/>
                <w:szCs w:val="18"/>
              </w:rPr>
              <w:t>Agency: MEWR</w:t>
            </w:r>
            <w:r>
              <w:rPr>
                <w:rFonts w:asciiTheme="minorHAnsi" w:hAnsiTheme="minorHAnsi" w:cstheme="minorHAnsi"/>
                <w:sz w:val="18"/>
                <w:szCs w:val="18"/>
              </w:rPr>
              <w:t>.</w:t>
            </w:r>
          </w:p>
        </w:tc>
        <w:tc>
          <w:tcPr>
            <w:tcW w:w="624" w:type="pct"/>
          </w:tcPr>
          <w:p w14:paraId="2994ACF6" w14:textId="77777777" w:rsidR="00133DF2" w:rsidRPr="001B1012" w:rsidRDefault="00133DF2" w:rsidP="00133DF2">
            <w:pPr>
              <w:rPr>
                <w:rFonts w:asciiTheme="minorHAnsi" w:hAnsiTheme="minorHAnsi" w:cstheme="minorHAnsi"/>
                <w:sz w:val="18"/>
                <w:szCs w:val="18"/>
              </w:rPr>
            </w:pPr>
            <w:r>
              <w:rPr>
                <w:rFonts w:asciiTheme="minorHAnsi" w:hAnsiTheme="minorHAnsi" w:cstheme="minorHAnsi"/>
                <w:sz w:val="18"/>
                <w:szCs w:val="18"/>
              </w:rPr>
              <w:t>Regulatory</w:t>
            </w:r>
            <w:r w:rsidRPr="001B1012">
              <w:rPr>
                <w:rFonts w:asciiTheme="minorHAnsi" w:hAnsiTheme="minorHAnsi" w:cstheme="minorHAnsi"/>
                <w:sz w:val="18"/>
                <w:szCs w:val="18"/>
              </w:rPr>
              <w:t xml:space="preserve"> consultant under TOR acceptable to the Bank.</w:t>
            </w:r>
          </w:p>
        </w:tc>
        <w:tc>
          <w:tcPr>
            <w:tcW w:w="947" w:type="pct"/>
          </w:tcPr>
          <w:p w14:paraId="47BC1FCD" w14:textId="77777777" w:rsidR="00133DF2" w:rsidRPr="00AC39D8" w:rsidRDefault="00133DF2" w:rsidP="00133DF2">
            <w:pPr>
              <w:widowControl/>
              <w:autoSpaceDE/>
              <w:autoSpaceDN/>
              <w:adjustRightInd/>
              <w:rPr>
                <w:rFonts w:asciiTheme="minorHAnsi" w:hAnsiTheme="minorHAnsi" w:cstheme="minorHAnsi"/>
                <w:sz w:val="18"/>
                <w:szCs w:val="18"/>
              </w:rPr>
            </w:pPr>
            <w:r w:rsidRPr="00834BCE">
              <w:rPr>
                <w:rFonts w:asciiTheme="minorHAnsi" w:hAnsiTheme="minorHAnsi" w:cstheme="minorHAnsi"/>
                <w:sz w:val="18"/>
                <w:szCs w:val="18"/>
              </w:rPr>
              <w:t>Verification by IVA of adjustment of electricity tariffs for generation, transmission, distribution, other services, and end-users to confirm whether: (a) tariffs are computed consistent with the requirements of the tariff methodology</w:t>
            </w:r>
            <w:r>
              <w:rPr>
                <w:rFonts w:asciiTheme="minorHAnsi" w:hAnsiTheme="minorHAnsi" w:cstheme="minorHAnsi"/>
                <w:sz w:val="18"/>
                <w:szCs w:val="18"/>
              </w:rPr>
              <w:t>,</w:t>
            </w:r>
            <w:r w:rsidRPr="00834BCE">
              <w:rPr>
                <w:rFonts w:asciiTheme="minorHAnsi" w:hAnsiTheme="minorHAnsi" w:cstheme="minorHAnsi"/>
                <w:sz w:val="18"/>
                <w:szCs w:val="18"/>
              </w:rPr>
              <w:t xml:space="preserve"> and</w:t>
            </w:r>
            <w:r>
              <w:rPr>
                <w:rFonts w:asciiTheme="minorHAnsi" w:hAnsiTheme="minorHAnsi" w:cstheme="minorHAnsi"/>
                <w:sz w:val="18"/>
                <w:szCs w:val="18"/>
              </w:rPr>
              <w:t xml:space="preserve"> (b)</w:t>
            </w:r>
            <w:r w:rsidRPr="00834BCE">
              <w:rPr>
                <w:rFonts w:asciiTheme="minorHAnsi" w:hAnsiTheme="minorHAnsi" w:cstheme="minorHAnsi"/>
                <w:sz w:val="18"/>
                <w:szCs w:val="18"/>
              </w:rPr>
              <w:t xml:space="preserve"> the approved increases are consistent with the increase trajectory in the Electricity Tariff Paper.</w:t>
            </w:r>
          </w:p>
        </w:tc>
      </w:tr>
      <w:tr w:rsidR="00133DF2" w:rsidRPr="001B1012" w14:paraId="13F18FFF" w14:textId="77777777" w:rsidTr="00866A63">
        <w:trPr>
          <w:jc w:val="center"/>
        </w:trPr>
        <w:tc>
          <w:tcPr>
            <w:tcW w:w="1090" w:type="pct"/>
          </w:tcPr>
          <w:p w14:paraId="46B4C0CE" w14:textId="4BA0CB54" w:rsidR="00133DF2" w:rsidRPr="00133DF2" w:rsidRDefault="00133DF2" w:rsidP="00133DF2">
            <w:pPr>
              <w:widowControl/>
              <w:autoSpaceDE/>
              <w:autoSpaceDN/>
              <w:adjustRightInd/>
              <w:rPr>
                <w:rFonts w:asciiTheme="minorHAnsi" w:eastAsia="Times New Roman" w:hAnsiTheme="minorHAnsi" w:cstheme="minorHAnsi"/>
                <w:sz w:val="18"/>
                <w:szCs w:val="18"/>
              </w:rPr>
            </w:pPr>
            <w:r w:rsidRPr="00133DF2">
              <w:rPr>
                <w:rFonts w:asciiTheme="minorHAnsi" w:hAnsiTheme="minorHAnsi" w:cstheme="minorHAnsi"/>
                <w:sz w:val="18"/>
                <w:szCs w:val="18"/>
              </w:rPr>
              <w:t xml:space="preserve">DLR 1.7:  By September 30, 2022, (a) approval by the Recipient’s government of the Electricity Tariff Paper </w:t>
            </w:r>
            <w:r w:rsidRPr="00133DF2">
              <w:rPr>
                <w:rFonts w:asciiTheme="minorHAnsi" w:hAnsiTheme="minorHAnsi" w:cstheme="minorHAnsi"/>
                <w:sz w:val="18"/>
                <w:szCs w:val="18"/>
              </w:rPr>
              <w:lastRenderedPageBreak/>
              <w:t>satisfactory to the Association, with estimated full cost-recovery tariff and tariff adjustment plan to reach full cost-recovery by the end of 2030; and (b) establishment of an adequately staffed Tariff Unit at the AM</w:t>
            </w:r>
            <w:r w:rsidR="00842CA3">
              <w:rPr>
                <w:rFonts w:asciiTheme="minorHAnsi" w:hAnsiTheme="minorHAnsi" w:cstheme="minorHAnsi"/>
                <w:sz w:val="18"/>
                <w:szCs w:val="18"/>
              </w:rPr>
              <w:t>S</w:t>
            </w:r>
          </w:p>
        </w:tc>
        <w:tc>
          <w:tcPr>
            <w:tcW w:w="1091" w:type="pct"/>
          </w:tcPr>
          <w:p w14:paraId="1F557F1F" w14:textId="6A814EF7" w:rsidR="00133DF2" w:rsidRPr="001B1012" w:rsidRDefault="00133DF2" w:rsidP="00133DF2">
            <w:pPr>
              <w:rPr>
                <w:rFonts w:asciiTheme="minorHAnsi" w:hAnsiTheme="minorHAnsi" w:cstheme="minorHAnsi"/>
                <w:sz w:val="18"/>
                <w:szCs w:val="18"/>
              </w:rPr>
            </w:pPr>
            <w:r>
              <w:rPr>
                <w:rFonts w:asciiTheme="minorHAnsi" w:hAnsiTheme="minorHAnsi" w:cstheme="minorHAnsi"/>
                <w:sz w:val="18"/>
                <w:szCs w:val="18"/>
              </w:rPr>
              <w:lastRenderedPageBreak/>
              <w:t xml:space="preserve">The target will be considered achieved if: (a) </w:t>
            </w:r>
            <w:r w:rsidRPr="001B1012">
              <w:rPr>
                <w:rFonts w:asciiTheme="minorHAnsi" w:hAnsiTheme="minorHAnsi" w:cstheme="minorHAnsi"/>
                <w:sz w:val="18"/>
                <w:szCs w:val="18"/>
              </w:rPr>
              <w:t xml:space="preserve">the Government approves the Electricity Tariff Paper with estimated </w:t>
            </w:r>
            <w:r w:rsidRPr="001B1012">
              <w:rPr>
                <w:rFonts w:asciiTheme="minorHAnsi" w:hAnsiTheme="minorHAnsi" w:cstheme="minorHAnsi"/>
                <w:sz w:val="18"/>
                <w:szCs w:val="18"/>
              </w:rPr>
              <w:lastRenderedPageBreak/>
              <w:t>level of full cost-recovery tariffs and further annual increases required to reach the estimated</w:t>
            </w:r>
            <w:r>
              <w:rPr>
                <w:rFonts w:asciiTheme="minorHAnsi" w:hAnsiTheme="minorHAnsi" w:cstheme="minorHAnsi"/>
                <w:sz w:val="18"/>
                <w:szCs w:val="18"/>
              </w:rPr>
              <w:t xml:space="preserve"> cost-recovery</w:t>
            </w:r>
            <w:r w:rsidRPr="001B1012">
              <w:rPr>
                <w:rFonts w:asciiTheme="minorHAnsi" w:hAnsiTheme="minorHAnsi" w:cstheme="minorHAnsi"/>
                <w:sz w:val="18"/>
                <w:szCs w:val="18"/>
              </w:rPr>
              <w:t xml:space="preserve"> level</w:t>
            </w:r>
            <w:r>
              <w:rPr>
                <w:rFonts w:asciiTheme="minorHAnsi" w:hAnsiTheme="minorHAnsi" w:cstheme="minorHAnsi"/>
                <w:sz w:val="18"/>
                <w:szCs w:val="18"/>
              </w:rPr>
              <w:t xml:space="preserve"> by 2031; and (b)</w:t>
            </w:r>
            <w:r w:rsidRPr="001B1012">
              <w:rPr>
                <w:rFonts w:asciiTheme="minorHAnsi" w:hAnsiTheme="minorHAnsi" w:cstheme="minorHAnsi"/>
                <w:sz w:val="18"/>
                <w:szCs w:val="18"/>
              </w:rPr>
              <w:t xml:space="preserve"> </w:t>
            </w:r>
            <w:r>
              <w:rPr>
                <w:rFonts w:asciiTheme="minorHAnsi" w:hAnsiTheme="minorHAnsi" w:cstheme="minorHAnsi"/>
                <w:sz w:val="18"/>
                <w:szCs w:val="18"/>
              </w:rPr>
              <w:t xml:space="preserve">the </w:t>
            </w:r>
            <w:r w:rsidRPr="001B1012">
              <w:rPr>
                <w:rFonts w:asciiTheme="minorHAnsi" w:hAnsiTheme="minorHAnsi" w:cstheme="minorHAnsi"/>
                <w:sz w:val="18"/>
                <w:szCs w:val="18"/>
              </w:rPr>
              <w:t>Tariff Unit at AM</w:t>
            </w:r>
            <w:r w:rsidR="00842CA3">
              <w:rPr>
                <w:rFonts w:asciiTheme="minorHAnsi" w:hAnsiTheme="minorHAnsi" w:cstheme="minorHAnsi"/>
                <w:sz w:val="18"/>
                <w:szCs w:val="18"/>
              </w:rPr>
              <w:t>S</w:t>
            </w:r>
            <w:r w:rsidRPr="001B1012">
              <w:rPr>
                <w:rFonts w:asciiTheme="minorHAnsi" w:hAnsiTheme="minorHAnsi" w:cstheme="minorHAnsi"/>
                <w:sz w:val="18"/>
                <w:szCs w:val="18"/>
              </w:rPr>
              <w:t xml:space="preserve"> is formally established, has at least one power engineer, one economist, two financial analysts</w:t>
            </w:r>
            <w:r>
              <w:rPr>
                <w:rFonts w:asciiTheme="minorHAnsi" w:hAnsiTheme="minorHAnsi" w:cstheme="minorHAnsi"/>
                <w:sz w:val="18"/>
                <w:szCs w:val="18"/>
              </w:rPr>
              <w:t>.</w:t>
            </w:r>
          </w:p>
        </w:tc>
        <w:tc>
          <w:tcPr>
            <w:tcW w:w="531" w:type="pct"/>
          </w:tcPr>
          <w:p w14:paraId="2DFA8B66" w14:textId="77777777" w:rsidR="00133DF2" w:rsidRPr="001B1012" w:rsidRDefault="00133DF2" w:rsidP="00133DF2">
            <w:pPr>
              <w:rPr>
                <w:rFonts w:asciiTheme="minorHAnsi" w:hAnsiTheme="minorHAnsi" w:cstheme="minorHAnsi"/>
                <w:sz w:val="18"/>
                <w:szCs w:val="18"/>
              </w:rPr>
            </w:pPr>
            <w:r>
              <w:rPr>
                <w:rFonts w:asciiTheme="minorHAnsi" w:hAnsiTheme="minorHAnsi" w:cstheme="minorHAnsi"/>
                <w:sz w:val="18"/>
                <w:szCs w:val="18"/>
              </w:rPr>
              <w:lastRenderedPageBreak/>
              <w:t>No</w:t>
            </w:r>
          </w:p>
        </w:tc>
        <w:tc>
          <w:tcPr>
            <w:tcW w:w="717" w:type="pct"/>
          </w:tcPr>
          <w:p w14:paraId="7FC2984D" w14:textId="725F0BDA" w:rsidR="00133DF2" w:rsidRDefault="00133DF2" w:rsidP="00133DF2">
            <w:pPr>
              <w:rPr>
                <w:rFonts w:asciiTheme="minorHAnsi" w:hAnsiTheme="minorHAnsi" w:cstheme="minorHAnsi"/>
                <w:sz w:val="18"/>
                <w:szCs w:val="18"/>
              </w:rPr>
            </w:pPr>
            <w:r>
              <w:rPr>
                <w:rFonts w:asciiTheme="minorHAnsi" w:hAnsiTheme="minorHAnsi" w:cstheme="minorHAnsi"/>
                <w:sz w:val="18"/>
                <w:szCs w:val="18"/>
              </w:rPr>
              <w:t xml:space="preserve">Data source: </w:t>
            </w:r>
            <w:r w:rsidRPr="001B1012">
              <w:rPr>
                <w:rFonts w:asciiTheme="minorHAnsi" w:hAnsiTheme="minorHAnsi" w:cstheme="minorHAnsi"/>
                <w:sz w:val="18"/>
                <w:szCs w:val="18"/>
              </w:rPr>
              <w:t>(</w:t>
            </w:r>
            <w:r>
              <w:rPr>
                <w:rFonts w:asciiTheme="minorHAnsi" w:hAnsiTheme="minorHAnsi" w:cstheme="minorHAnsi"/>
                <w:sz w:val="18"/>
                <w:szCs w:val="18"/>
              </w:rPr>
              <w:t>a</w:t>
            </w:r>
            <w:r w:rsidRPr="001B1012">
              <w:rPr>
                <w:rFonts w:asciiTheme="minorHAnsi" w:hAnsiTheme="minorHAnsi" w:cstheme="minorHAnsi"/>
                <w:sz w:val="18"/>
                <w:szCs w:val="18"/>
              </w:rPr>
              <w:t xml:space="preserve">) </w:t>
            </w:r>
            <w:r>
              <w:rPr>
                <w:rFonts w:asciiTheme="minorHAnsi" w:hAnsiTheme="minorHAnsi" w:cstheme="minorHAnsi"/>
                <w:sz w:val="18"/>
                <w:szCs w:val="18"/>
              </w:rPr>
              <w:t>c</w:t>
            </w:r>
            <w:r w:rsidRPr="001B1012">
              <w:rPr>
                <w:rFonts w:asciiTheme="minorHAnsi" w:hAnsiTheme="minorHAnsi" w:cstheme="minorHAnsi"/>
                <w:sz w:val="18"/>
                <w:szCs w:val="18"/>
              </w:rPr>
              <w:t xml:space="preserve">opy of </w:t>
            </w:r>
            <w:r>
              <w:rPr>
                <w:rFonts w:asciiTheme="minorHAnsi" w:hAnsiTheme="minorHAnsi" w:cstheme="minorHAnsi"/>
                <w:sz w:val="18"/>
                <w:szCs w:val="18"/>
              </w:rPr>
              <w:t xml:space="preserve">the </w:t>
            </w:r>
            <w:r w:rsidRPr="001B1012">
              <w:rPr>
                <w:rFonts w:asciiTheme="minorHAnsi" w:hAnsiTheme="minorHAnsi" w:cstheme="minorHAnsi"/>
                <w:sz w:val="18"/>
                <w:szCs w:val="18"/>
              </w:rPr>
              <w:t>approved Electricity Tariff Paper</w:t>
            </w:r>
            <w:r>
              <w:rPr>
                <w:rFonts w:asciiTheme="minorHAnsi" w:hAnsiTheme="minorHAnsi" w:cstheme="minorHAnsi"/>
                <w:sz w:val="18"/>
                <w:szCs w:val="18"/>
              </w:rPr>
              <w:t xml:space="preserve">; and (b) </w:t>
            </w:r>
            <w:r w:rsidRPr="001B1012">
              <w:rPr>
                <w:rFonts w:asciiTheme="minorHAnsi" w:hAnsiTheme="minorHAnsi" w:cstheme="minorHAnsi"/>
                <w:sz w:val="18"/>
                <w:szCs w:val="18"/>
              </w:rPr>
              <w:t xml:space="preserve">copy </w:t>
            </w:r>
            <w:r w:rsidRPr="001B1012">
              <w:rPr>
                <w:rFonts w:asciiTheme="minorHAnsi" w:hAnsiTheme="minorHAnsi" w:cstheme="minorHAnsi"/>
                <w:sz w:val="18"/>
                <w:szCs w:val="18"/>
              </w:rPr>
              <w:lastRenderedPageBreak/>
              <w:t xml:space="preserve">of legislation confirming creation of </w:t>
            </w:r>
            <w:r>
              <w:rPr>
                <w:rFonts w:asciiTheme="minorHAnsi" w:hAnsiTheme="minorHAnsi" w:cstheme="minorHAnsi"/>
                <w:sz w:val="18"/>
                <w:szCs w:val="18"/>
              </w:rPr>
              <w:t xml:space="preserve">the </w:t>
            </w:r>
            <w:r w:rsidRPr="001B1012">
              <w:rPr>
                <w:rFonts w:asciiTheme="minorHAnsi" w:hAnsiTheme="minorHAnsi" w:cstheme="minorHAnsi"/>
                <w:sz w:val="18"/>
                <w:szCs w:val="18"/>
              </w:rPr>
              <w:t xml:space="preserve">Tariff Unit </w:t>
            </w:r>
            <w:r>
              <w:rPr>
                <w:rFonts w:asciiTheme="minorHAnsi" w:hAnsiTheme="minorHAnsi" w:cstheme="minorHAnsi"/>
                <w:sz w:val="18"/>
                <w:szCs w:val="18"/>
              </w:rPr>
              <w:t>at AM</w:t>
            </w:r>
            <w:r w:rsidR="00842CA3">
              <w:rPr>
                <w:rFonts w:asciiTheme="minorHAnsi" w:hAnsiTheme="minorHAnsi" w:cstheme="minorHAnsi"/>
                <w:sz w:val="18"/>
                <w:szCs w:val="18"/>
              </w:rPr>
              <w:t>S</w:t>
            </w:r>
            <w:r>
              <w:rPr>
                <w:rFonts w:asciiTheme="minorHAnsi" w:hAnsiTheme="minorHAnsi" w:cstheme="minorHAnsi"/>
                <w:sz w:val="18"/>
                <w:szCs w:val="18"/>
              </w:rPr>
              <w:t xml:space="preserve"> and its authority to</w:t>
            </w:r>
            <w:r w:rsidRPr="001B1012">
              <w:rPr>
                <w:rFonts w:asciiTheme="minorHAnsi" w:hAnsiTheme="minorHAnsi" w:cstheme="minorHAnsi"/>
                <w:sz w:val="18"/>
                <w:szCs w:val="18"/>
              </w:rPr>
              <w:t xml:space="preserve"> carry out electricity tariff reviews</w:t>
            </w:r>
            <w:r>
              <w:rPr>
                <w:rFonts w:asciiTheme="minorHAnsi" w:hAnsiTheme="minorHAnsi" w:cstheme="minorHAnsi"/>
                <w:sz w:val="18"/>
                <w:szCs w:val="18"/>
              </w:rPr>
              <w:t xml:space="preserve"> and recommendation on approval to the Government.</w:t>
            </w:r>
          </w:p>
          <w:p w14:paraId="6759B06A" w14:textId="77777777" w:rsidR="00133DF2" w:rsidRPr="001B1012" w:rsidRDefault="00133DF2" w:rsidP="00133DF2">
            <w:pPr>
              <w:rPr>
                <w:rFonts w:asciiTheme="minorHAnsi" w:hAnsiTheme="minorHAnsi" w:cstheme="minorHAnsi"/>
                <w:sz w:val="18"/>
                <w:szCs w:val="18"/>
              </w:rPr>
            </w:pPr>
          </w:p>
        </w:tc>
        <w:tc>
          <w:tcPr>
            <w:tcW w:w="624" w:type="pct"/>
          </w:tcPr>
          <w:p w14:paraId="76D1C8D1" w14:textId="77777777" w:rsidR="00133DF2" w:rsidRDefault="00133DF2" w:rsidP="00133DF2">
            <w:pPr>
              <w:rPr>
                <w:rFonts w:asciiTheme="minorHAnsi" w:hAnsiTheme="minorHAnsi" w:cstheme="minorHAnsi"/>
                <w:sz w:val="18"/>
                <w:szCs w:val="18"/>
              </w:rPr>
            </w:pPr>
            <w:r>
              <w:rPr>
                <w:rFonts w:asciiTheme="minorHAnsi" w:hAnsiTheme="minorHAnsi" w:cstheme="minorHAnsi"/>
                <w:sz w:val="18"/>
                <w:szCs w:val="18"/>
              </w:rPr>
              <w:lastRenderedPageBreak/>
              <w:t xml:space="preserve">Regulatory/tariff </w:t>
            </w:r>
            <w:r w:rsidRPr="001B1012">
              <w:rPr>
                <w:rFonts w:asciiTheme="minorHAnsi" w:hAnsiTheme="minorHAnsi" w:cstheme="minorHAnsi"/>
                <w:sz w:val="18"/>
                <w:szCs w:val="18"/>
              </w:rPr>
              <w:t xml:space="preserve">consultant under TOR acceptable to </w:t>
            </w:r>
            <w:r>
              <w:rPr>
                <w:rFonts w:asciiTheme="minorHAnsi" w:hAnsiTheme="minorHAnsi" w:cstheme="minorHAnsi"/>
                <w:sz w:val="18"/>
                <w:szCs w:val="18"/>
              </w:rPr>
              <w:lastRenderedPageBreak/>
              <w:t>T</w:t>
            </w:r>
            <w:r w:rsidRPr="001B1012">
              <w:rPr>
                <w:rFonts w:asciiTheme="minorHAnsi" w:hAnsiTheme="minorHAnsi" w:cstheme="minorHAnsi"/>
                <w:sz w:val="18"/>
                <w:szCs w:val="18"/>
              </w:rPr>
              <w:t>he Bank.</w:t>
            </w:r>
          </w:p>
        </w:tc>
        <w:tc>
          <w:tcPr>
            <w:tcW w:w="947" w:type="pct"/>
          </w:tcPr>
          <w:p w14:paraId="6911F2DC" w14:textId="77777777" w:rsidR="00133DF2" w:rsidRDefault="00133DF2" w:rsidP="00CB0465">
            <w:pPr>
              <w:pStyle w:val="ListParagraph"/>
              <w:widowControl/>
              <w:numPr>
                <w:ilvl w:val="0"/>
                <w:numId w:val="21"/>
              </w:numPr>
              <w:autoSpaceDE/>
              <w:autoSpaceDN/>
              <w:adjustRightInd/>
              <w:ind w:left="171" w:hanging="180"/>
              <w:rPr>
                <w:rFonts w:asciiTheme="minorHAnsi" w:hAnsiTheme="minorHAnsi" w:cstheme="minorHAnsi"/>
                <w:sz w:val="18"/>
                <w:szCs w:val="18"/>
              </w:rPr>
            </w:pPr>
            <w:r w:rsidRPr="001B1012">
              <w:rPr>
                <w:rFonts w:asciiTheme="minorHAnsi" w:hAnsiTheme="minorHAnsi" w:cstheme="minorHAnsi"/>
                <w:sz w:val="18"/>
                <w:szCs w:val="18"/>
              </w:rPr>
              <w:lastRenderedPageBreak/>
              <w:t xml:space="preserve">Review by IVA of legislation to confirm that establishment of the Tariff Unit </w:t>
            </w:r>
            <w:proofErr w:type="gramStart"/>
            <w:r w:rsidRPr="001B1012">
              <w:rPr>
                <w:rFonts w:asciiTheme="minorHAnsi" w:hAnsiTheme="minorHAnsi" w:cstheme="minorHAnsi"/>
                <w:sz w:val="18"/>
                <w:szCs w:val="18"/>
              </w:rPr>
              <w:t xml:space="preserve">is in compliance </w:t>
            </w:r>
            <w:r w:rsidRPr="001B1012">
              <w:rPr>
                <w:rFonts w:asciiTheme="minorHAnsi" w:hAnsiTheme="minorHAnsi" w:cstheme="minorHAnsi"/>
                <w:sz w:val="18"/>
                <w:szCs w:val="18"/>
              </w:rPr>
              <w:lastRenderedPageBreak/>
              <w:t>with</w:t>
            </w:r>
            <w:proofErr w:type="gramEnd"/>
            <w:r w:rsidRPr="001B1012">
              <w:rPr>
                <w:rFonts w:asciiTheme="minorHAnsi" w:hAnsiTheme="minorHAnsi" w:cstheme="minorHAnsi"/>
                <w:sz w:val="18"/>
                <w:szCs w:val="18"/>
              </w:rPr>
              <w:t xml:space="preserve"> requirements of local legislation</w:t>
            </w:r>
            <w:r>
              <w:rPr>
                <w:rFonts w:asciiTheme="minorHAnsi" w:hAnsiTheme="minorHAnsi" w:cstheme="minorHAnsi"/>
                <w:sz w:val="18"/>
                <w:szCs w:val="18"/>
              </w:rPr>
              <w:t>.</w:t>
            </w:r>
          </w:p>
          <w:p w14:paraId="709EC25A" w14:textId="77777777" w:rsidR="00133DF2" w:rsidRDefault="00133DF2" w:rsidP="00CB0465">
            <w:pPr>
              <w:pStyle w:val="ListParagraph"/>
              <w:widowControl/>
              <w:numPr>
                <w:ilvl w:val="0"/>
                <w:numId w:val="21"/>
              </w:numPr>
              <w:autoSpaceDE/>
              <w:autoSpaceDN/>
              <w:adjustRightInd/>
              <w:ind w:left="171" w:hanging="180"/>
              <w:rPr>
                <w:rFonts w:asciiTheme="minorHAnsi" w:hAnsiTheme="minorHAnsi" w:cstheme="minorHAnsi"/>
                <w:sz w:val="18"/>
                <w:szCs w:val="18"/>
              </w:rPr>
            </w:pPr>
            <w:r w:rsidRPr="001B1012">
              <w:rPr>
                <w:rFonts w:asciiTheme="minorHAnsi" w:hAnsiTheme="minorHAnsi" w:cstheme="minorHAnsi"/>
                <w:sz w:val="18"/>
                <w:szCs w:val="18"/>
              </w:rPr>
              <w:t>Review by IVA of</w:t>
            </w:r>
            <w:r>
              <w:rPr>
                <w:rFonts w:asciiTheme="minorHAnsi" w:hAnsiTheme="minorHAnsi" w:cstheme="minorHAnsi"/>
                <w:sz w:val="18"/>
                <w:szCs w:val="18"/>
              </w:rPr>
              <w:t xml:space="preserve"> overall technical robustness of the Tariff Paper and</w:t>
            </w:r>
            <w:r w:rsidRPr="001B1012">
              <w:rPr>
                <w:rFonts w:asciiTheme="minorHAnsi" w:hAnsiTheme="minorHAnsi" w:cstheme="minorHAnsi"/>
                <w:sz w:val="18"/>
                <w:szCs w:val="18"/>
              </w:rPr>
              <w:t xml:space="preserve"> accuracy of proposed tariff increase trajectory to reach full cost recovery by the end of 2025</w:t>
            </w:r>
            <w:r>
              <w:rPr>
                <w:rFonts w:asciiTheme="minorHAnsi" w:hAnsiTheme="minorHAnsi" w:cstheme="minorHAnsi"/>
                <w:sz w:val="18"/>
                <w:szCs w:val="18"/>
              </w:rPr>
              <w:t>.</w:t>
            </w:r>
          </w:p>
          <w:p w14:paraId="1592EE22" w14:textId="77777777" w:rsidR="00133DF2" w:rsidRDefault="00133DF2" w:rsidP="00133DF2">
            <w:pPr>
              <w:widowControl/>
              <w:autoSpaceDE/>
              <w:autoSpaceDN/>
              <w:adjustRightInd/>
              <w:ind w:left="-9"/>
              <w:rPr>
                <w:rFonts w:asciiTheme="minorHAnsi" w:hAnsiTheme="minorHAnsi" w:cstheme="minorHAnsi"/>
                <w:sz w:val="18"/>
                <w:szCs w:val="18"/>
              </w:rPr>
            </w:pPr>
          </w:p>
          <w:p w14:paraId="40C65682" w14:textId="77777777" w:rsidR="00133DF2" w:rsidRPr="00834BCE" w:rsidRDefault="00133DF2" w:rsidP="00133DF2">
            <w:pPr>
              <w:widowControl/>
              <w:autoSpaceDE/>
              <w:autoSpaceDN/>
              <w:adjustRightInd/>
              <w:rPr>
                <w:rFonts w:asciiTheme="minorHAnsi" w:hAnsiTheme="minorHAnsi" w:cstheme="minorHAnsi"/>
                <w:sz w:val="18"/>
                <w:szCs w:val="18"/>
              </w:rPr>
            </w:pPr>
            <w:r w:rsidRPr="001B1012">
              <w:rPr>
                <w:rFonts w:asciiTheme="minorHAnsi" w:hAnsiTheme="minorHAnsi" w:cstheme="minorHAnsi"/>
                <w:sz w:val="18"/>
                <w:szCs w:val="18"/>
              </w:rPr>
              <w:t>Review by IVA of computations of cost-recovery tariffs for electricity generation, transmission, distribution, other services, and end-users to verify: (a) compliance with requirements of tariff methodology; (b) economic justification for costs included into the tariffs; and (c) consistency of proposed capital expenditures with generation LCP and T&amp;D investment plans.</w:t>
            </w:r>
          </w:p>
        </w:tc>
      </w:tr>
      <w:tr w:rsidR="00133DF2" w:rsidRPr="001B1012" w14:paraId="1CAF6CD0" w14:textId="77777777" w:rsidTr="00866A63">
        <w:trPr>
          <w:jc w:val="center"/>
        </w:trPr>
        <w:tc>
          <w:tcPr>
            <w:tcW w:w="1090" w:type="pct"/>
          </w:tcPr>
          <w:p w14:paraId="352DEA27" w14:textId="477ED1F2" w:rsidR="00133DF2" w:rsidRPr="00133DF2" w:rsidRDefault="00133DF2" w:rsidP="00133DF2">
            <w:pPr>
              <w:widowControl/>
              <w:autoSpaceDE/>
              <w:autoSpaceDN/>
              <w:adjustRightInd/>
              <w:rPr>
                <w:rFonts w:asciiTheme="minorHAnsi" w:eastAsia="Times New Roman" w:hAnsiTheme="minorHAnsi" w:cstheme="minorHAnsi"/>
                <w:sz w:val="18"/>
                <w:szCs w:val="18"/>
              </w:rPr>
            </w:pPr>
            <w:r w:rsidRPr="00133DF2">
              <w:rPr>
                <w:rFonts w:asciiTheme="minorHAnsi" w:hAnsiTheme="minorHAnsi" w:cstheme="minorHAnsi"/>
                <w:sz w:val="18"/>
                <w:szCs w:val="18"/>
              </w:rPr>
              <w:lastRenderedPageBreak/>
              <w:t xml:space="preserve">DLR 1.8: By December 31, 2028, at least annual adjustment of generation, transmission, distribution, and end-user tariffs as per the new tariff methodology and consistent with the targets approved under the Electricity Tariff Paper </w:t>
            </w:r>
          </w:p>
        </w:tc>
        <w:tc>
          <w:tcPr>
            <w:tcW w:w="1091" w:type="pct"/>
          </w:tcPr>
          <w:p w14:paraId="3D7C9CB4" w14:textId="77777777" w:rsidR="00133DF2" w:rsidRDefault="00133DF2" w:rsidP="00133DF2">
            <w:pPr>
              <w:rPr>
                <w:rFonts w:asciiTheme="minorHAnsi" w:hAnsiTheme="minorHAnsi" w:cstheme="minorHAnsi"/>
                <w:sz w:val="18"/>
                <w:szCs w:val="18"/>
              </w:rPr>
            </w:pPr>
            <w:r w:rsidRPr="001B1012">
              <w:rPr>
                <w:rFonts w:asciiTheme="minorHAnsi" w:hAnsiTheme="minorHAnsi" w:cstheme="minorHAnsi"/>
                <w:sz w:val="18"/>
                <w:szCs w:val="18"/>
              </w:rPr>
              <w:t>The target will be considered achieved if: (a) tariff increase</w:t>
            </w:r>
            <w:r>
              <w:rPr>
                <w:rFonts w:asciiTheme="minorHAnsi" w:hAnsiTheme="minorHAnsi" w:cstheme="minorHAnsi"/>
                <w:sz w:val="18"/>
                <w:szCs w:val="18"/>
              </w:rPr>
              <w:t>s, over the previous year,</w:t>
            </w:r>
            <w:r w:rsidRPr="001B1012">
              <w:rPr>
                <w:rFonts w:asciiTheme="minorHAnsi" w:hAnsiTheme="minorHAnsi" w:cstheme="minorHAnsi"/>
                <w:sz w:val="18"/>
                <w:szCs w:val="18"/>
              </w:rPr>
              <w:t xml:space="preserve"> for all categories of consumers </w:t>
            </w:r>
            <w:r>
              <w:rPr>
                <w:rFonts w:asciiTheme="minorHAnsi" w:hAnsiTheme="minorHAnsi" w:cstheme="minorHAnsi"/>
                <w:sz w:val="18"/>
                <w:szCs w:val="18"/>
              </w:rPr>
              <w:t>are</w:t>
            </w:r>
            <w:r w:rsidRPr="001B1012">
              <w:rPr>
                <w:rFonts w:asciiTheme="minorHAnsi" w:hAnsiTheme="minorHAnsi" w:cstheme="minorHAnsi"/>
                <w:sz w:val="18"/>
                <w:szCs w:val="18"/>
              </w:rPr>
              <w:t xml:space="preserve"> not less than the target for 202</w:t>
            </w:r>
            <w:r>
              <w:rPr>
                <w:rFonts w:asciiTheme="minorHAnsi" w:hAnsiTheme="minorHAnsi" w:cstheme="minorHAnsi"/>
                <w:sz w:val="18"/>
                <w:szCs w:val="18"/>
              </w:rPr>
              <w:t>8</w:t>
            </w:r>
            <w:r w:rsidRPr="001B1012">
              <w:rPr>
                <w:rFonts w:asciiTheme="minorHAnsi" w:hAnsiTheme="minorHAnsi" w:cstheme="minorHAnsi"/>
                <w:sz w:val="18"/>
                <w:szCs w:val="18"/>
              </w:rPr>
              <w:t xml:space="preserve"> in the </w:t>
            </w:r>
            <w:r>
              <w:rPr>
                <w:rFonts w:asciiTheme="minorHAnsi" w:hAnsiTheme="minorHAnsi" w:cstheme="minorHAnsi"/>
                <w:sz w:val="18"/>
                <w:szCs w:val="18"/>
              </w:rPr>
              <w:t xml:space="preserve">Electricity </w:t>
            </w:r>
            <w:r w:rsidRPr="001B1012">
              <w:rPr>
                <w:rFonts w:asciiTheme="minorHAnsi" w:hAnsiTheme="minorHAnsi" w:cstheme="minorHAnsi"/>
                <w:sz w:val="18"/>
                <w:szCs w:val="18"/>
              </w:rPr>
              <w:t xml:space="preserve">Tariff Paper; </w:t>
            </w:r>
            <w:r>
              <w:rPr>
                <w:rFonts w:asciiTheme="minorHAnsi" w:hAnsiTheme="minorHAnsi" w:cstheme="minorHAnsi"/>
                <w:sz w:val="18"/>
                <w:szCs w:val="18"/>
              </w:rPr>
              <w:t xml:space="preserve">and </w:t>
            </w:r>
            <w:r w:rsidRPr="001B1012">
              <w:rPr>
                <w:rFonts w:asciiTheme="minorHAnsi" w:hAnsiTheme="minorHAnsi" w:cstheme="minorHAnsi"/>
                <w:sz w:val="18"/>
                <w:szCs w:val="18"/>
              </w:rPr>
              <w:t>(b) tariffs for electricity generation, transmission, distribution, other services (</w:t>
            </w:r>
            <w:proofErr w:type="gramStart"/>
            <w:r w:rsidRPr="001B1012">
              <w:rPr>
                <w:rFonts w:asciiTheme="minorHAnsi" w:hAnsiTheme="minorHAnsi" w:cstheme="minorHAnsi"/>
                <w:sz w:val="18"/>
                <w:szCs w:val="18"/>
              </w:rPr>
              <w:t>e.g.</w:t>
            </w:r>
            <w:proofErr w:type="gramEnd"/>
            <w:r w:rsidRPr="001B1012">
              <w:rPr>
                <w:rFonts w:asciiTheme="minorHAnsi" w:hAnsiTheme="minorHAnsi" w:cstheme="minorHAnsi"/>
                <w:sz w:val="18"/>
                <w:szCs w:val="18"/>
              </w:rPr>
              <w:t xml:space="preserve"> market operator, settlement center), and end-user</w:t>
            </w:r>
            <w:r>
              <w:rPr>
                <w:rFonts w:asciiTheme="minorHAnsi" w:hAnsiTheme="minorHAnsi" w:cstheme="minorHAnsi"/>
                <w:sz w:val="18"/>
                <w:szCs w:val="18"/>
              </w:rPr>
              <w:t>s</w:t>
            </w:r>
            <w:r w:rsidRPr="001B1012">
              <w:rPr>
                <w:rFonts w:asciiTheme="minorHAnsi" w:hAnsiTheme="minorHAnsi" w:cstheme="minorHAnsi"/>
                <w:sz w:val="18"/>
                <w:szCs w:val="18"/>
              </w:rPr>
              <w:t xml:space="preserve"> are computed as per requirements of </w:t>
            </w:r>
            <w:r>
              <w:rPr>
                <w:rFonts w:asciiTheme="minorHAnsi" w:hAnsiTheme="minorHAnsi" w:cstheme="minorHAnsi"/>
                <w:sz w:val="18"/>
                <w:szCs w:val="18"/>
              </w:rPr>
              <w:t>the tariff</w:t>
            </w:r>
            <w:r w:rsidRPr="001B1012">
              <w:rPr>
                <w:rFonts w:asciiTheme="minorHAnsi" w:hAnsiTheme="minorHAnsi" w:cstheme="minorHAnsi"/>
                <w:sz w:val="18"/>
                <w:szCs w:val="18"/>
              </w:rPr>
              <w:t xml:space="preserve"> methodology</w:t>
            </w:r>
            <w:r>
              <w:rPr>
                <w:rFonts w:asciiTheme="minorHAnsi" w:hAnsiTheme="minorHAnsi" w:cstheme="minorHAnsi"/>
                <w:sz w:val="18"/>
                <w:szCs w:val="18"/>
              </w:rPr>
              <w:t>.</w:t>
            </w:r>
            <w:r w:rsidRPr="001B1012">
              <w:rPr>
                <w:rFonts w:asciiTheme="minorHAnsi" w:hAnsiTheme="minorHAnsi" w:cstheme="minorHAnsi"/>
                <w:sz w:val="18"/>
                <w:szCs w:val="18"/>
              </w:rPr>
              <w:t xml:space="preserve"> </w:t>
            </w:r>
          </w:p>
        </w:tc>
        <w:tc>
          <w:tcPr>
            <w:tcW w:w="531" w:type="pct"/>
          </w:tcPr>
          <w:p w14:paraId="70948A9E" w14:textId="77777777" w:rsidR="00133DF2" w:rsidRDefault="00133DF2" w:rsidP="00133DF2">
            <w:pPr>
              <w:rPr>
                <w:rFonts w:asciiTheme="minorHAnsi" w:hAnsiTheme="minorHAnsi" w:cstheme="minorHAnsi"/>
                <w:sz w:val="18"/>
                <w:szCs w:val="18"/>
              </w:rPr>
            </w:pPr>
            <w:r w:rsidRPr="001B1012">
              <w:rPr>
                <w:rFonts w:asciiTheme="minorHAnsi" w:hAnsiTheme="minorHAnsi" w:cstheme="minorHAnsi"/>
                <w:sz w:val="18"/>
                <w:szCs w:val="18"/>
              </w:rPr>
              <w:t>No</w:t>
            </w:r>
          </w:p>
        </w:tc>
        <w:tc>
          <w:tcPr>
            <w:tcW w:w="717" w:type="pct"/>
          </w:tcPr>
          <w:p w14:paraId="0D96B874" w14:textId="77777777" w:rsidR="00133DF2" w:rsidRPr="001B1012" w:rsidRDefault="00133DF2" w:rsidP="00133DF2">
            <w:pPr>
              <w:rPr>
                <w:rFonts w:asciiTheme="minorHAnsi" w:hAnsiTheme="minorHAnsi" w:cstheme="minorHAnsi"/>
                <w:sz w:val="18"/>
                <w:szCs w:val="18"/>
              </w:rPr>
            </w:pPr>
            <w:r w:rsidRPr="001B1012">
              <w:rPr>
                <w:rFonts w:asciiTheme="minorHAnsi" w:hAnsiTheme="minorHAnsi" w:cstheme="minorHAnsi"/>
                <w:sz w:val="18"/>
                <w:szCs w:val="18"/>
              </w:rPr>
              <w:t xml:space="preserve">Data sources: (a) copy of the Government Decree with approved electricity tariffs; (b) copy of </w:t>
            </w:r>
            <w:r>
              <w:rPr>
                <w:rFonts w:asciiTheme="minorHAnsi" w:hAnsiTheme="minorHAnsi" w:cstheme="minorHAnsi"/>
                <w:sz w:val="18"/>
                <w:szCs w:val="18"/>
              </w:rPr>
              <w:t>the updated and approved</w:t>
            </w:r>
            <w:r w:rsidRPr="001B1012">
              <w:rPr>
                <w:rFonts w:asciiTheme="minorHAnsi" w:hAnsiTheme="minorHAnsi" w:cstheme="minorHAnsi"/>
                <w:sz w:val="18"/>
                <w:szCs w:val="18"/>
              </w:rPr>
              <w:t xml:space="preserve"> Electricity Tariff Paper</w:t>
            </w:r>
            <w:r>
              <w:rPr>
                <w:rFonts w:asciiTheme="minorHAnsi" w:hAnsiTheme="minorHAnsi" w:cstheme="minorHAnsi"/>
                <w:sz w:val="18"/>
                <w:szCs w:val="18"/>
              </w:rPr>
              <w:t xml:space="preserve"> (if applicable)</w:t>
            </w:r>
            <w:r w:rsidRPr="001B1012">
              <w:rPr>
                <w:rFonts w:asciiTheme="minorHAnsi" w:hAnsiTheme="minorHAnsi" w:cstheme="minorHAnsi"/>
                <w:sz w:val="18"/>
                <w:szCs w:val="18"/>
              </w:rPr>
              <w:t>.</w:t>
            </w:r>
          </w:p>
          <w:p w14:paraId="6A2EE0BA" w14:textId="77777777" w:rsidR="00133DF2" w:rsidRDefault="00133DF2" w:rsidP="00133DF2">
            <w:pPr>
              <w:rPr>
                <w:rFonts w:asciiTheme="minorHAnsi" w:hAnsiTheme="minorHAnsi" w:cstheme="minorHAnsi"/>
                <w:sz w:val="18"/>
                <w:szCs w:val="18"/>
              </w:rPr>
            </w:pPr>
            <w:r w:rsidRPr="001B1012">
              <w:rPr>
                <w:rFonts w:asciiTheme="minorHAnsi" w:hAnsiTheme="minorHAnsi" w:cstheme="minorHAnsi"/>
                <w:sz w:val="18"/>
                <w:szCs w:val="18"/>
              </w:rPr>
              <w:t>Agency: MEWR</w:t>
            </w:r>
            <w:r>
              <w:rPr>
                <w:rFonts w:asciiTheme="minorHAnsi" w:hAnsiTheme="minorHAnsi" w:cstheme="minorHAnsi"/>
                <w:sz w:val="18"/>
                <w:szCs w:val="18"/>
              </w:rPr>
              <w:t>.</w:t>
            </w:r>
          </w:p>
        </w:tc>
        <w:tc>
          <w:tcPr>
            <w:tcW w:w="624" w:type="pct"/>
          </w:tcPr>
          <w:p w14:paraId="23702E51" w14:textId="77777777" w:rsidR="00133DF2" w:rsidRDefault="00133DF2" w:rsidP="00133DF2">
            <w:pPr>
              <w:rPr>
                <w:rFonts w:asciiTheme="minorHAnsi" w:hAnsiTheme="minorHAnsi" w:cstheme="minorHAnsi"/>
                <w:sz w:val="18"/>
                <w:szCs w:val="18"/>
              </w:rPr>
            </w:pPr>
            <w:r>
              <w:rPr>
                <w:rFonts w:asciiTheme="minorHAnsi" w:hAnsiTheme="minorHAnsi" w:cstheme="minorHAnsi"/>
                <w:sz w:val="18"/>
                <w:szCs w:val="18"/>
              </w:rPr>
              <w:t>Regulatory</w:t>
            </w:r>
            <w:r w:rsidRPr="001B1012">
              <w:rPr>
                <w:rFonts w:asciiTheme="minorHAnsi" w:hAnsiTheme="minorHAnsi" w:cstheme="minorHAnsi"/>
                <w:sz w:val="18"/>
                <w:szCs w:val="18"/>
              </w:rPr>
              <w:t xml:space="preserve"> consultant under TOR acceptable to the Bank.</w:t>
            </w:r>
          </w:p>
        </w:tc>
        <w:tc>
          <w:tcPr>
            <w:tcW w:w="947" w:type="pct"/>
          </w:tcPr>
          <w:p w14:paraId="21AD9EBD" w14:textId="77777777" w:rsidR="00133DF2" w:rsidRPr="001B1012" w:rsidRDefault="00133DF2" w:rsidP="00CB0465">
            <w:pPr>
              <w:pStyle w:val="ListParagraph"/>
              <w:widowControl/>
              <w:numPr>
                <w:ilvl w:val="0"/>
                <w:numId w:val="21"/>
              </w:numPr>
              <w:autoSpaceDE/>
              <w:autoSpaceDN/>
              <w:adjustRightInd/>
              <w:ind w:left="171" w:hanging="180"/>
              <w:rPr>
                <w:rFonts w:asciiTheme="minorHAnsi" w:hAnsiTheme="minorHAnsi" w:cstheme="minorHAnsi"/>
                <w:sz w:val="18"/>
                <w:szCs w:val="18"/>
              </w:rPr>
            </w:pPr>
            <w:r w:rsidRPr="00834BCE">
              <w:rPr>
                <w:rFonts w:asciiTheme="minorHAnsi" w:hAnsiTheme="minorHAnsi" w:cstheme="minorHAnsi"/>
                <w:sz w:val="18"/>
                <w:szCs w:val="18"/>
              </w:rPr>
              <w:t>Verification by IVA of adjustment of electricity tariffs for generation, transmission, distribution, other services, and end-users to confirm whether: (a) tariffs are computed consistent with the requirements of the tariff methodology</w:t>
            </w:r>
            <w:r>
              <w:rPr>
                <w:rFonts w:asciiTheme="minorHAnsi" w:hAnsiTheme="minorHAnsi" w:cstheme="minorHAnsi"/>
                <w:sz w:val="18"/>
                <w:szCs w:val="18"/>
              </w:rPr>
              <w:t>,</w:t>
            </w:r>
            <w:r w:rsidRPr="00834BCE">
              <w:rPr>
                <w:rFonts w:asciiTheme="minorHAnsi" w:hAnsiTheme="minorHAnsi" w:cstheme="minorHAnsi"/>
                <w:sz w:val="18"/>
                <w:szCs w:val="18"/>
              </w:rPr>
              <w:t xml:space="preserve"> and</w:t>
            </w:r>
            <w:r>
              <w:rPr>
                <w:rFonts w:asciiTheme="minorHAnsi" w:hAnsiTheme="minorHAnsi" w:cstheme="minorHAnsi"/>
                <w:sz w:val="18"/>
                <w:szCs w:val="18"/>
              </w:rPr>
              <w:t xml:space="preserve"> (b)</w:t>
            </w:r>
            <w:r w:rsidRPr="00834BCE">
              <w:rPr>
                <w:rFonts w:asciiTheme="minorHAnsi" w:hAnsiTheme="minorHAnsi" w:cstheme="minorHAnsi"/>
                <w:sz w:val="18"/>
                <w:szCs w:val="18"/>
              </w:rPr>
              <w:t xml:space="preserve"> the approved increases are consistent with the increase trajectory in the Electricity Tariff Paper.</w:t>
            </w:r>
          </w:p>
        </w:tc>
      </w:tr>
      <w:tr w:rsidR="00133DF2" w:rsidRPr="001B1012" w14:paraId="2C0A629E" w14:textId="77777777" w:rsidTr="00866A63">
        <w:trPr>
          <w:jc w:val="center"/>
        </w:trPr>
        <w:tc>
          <w:tcPr>
            <w:tcW w:w="1090" w:type="pct"/>
          </w:tcPr>
          <w:p w14:paraId="10EE2B3A" w14:textId="451F8B85" w:rsidR="00133DF2" w:rsidRPr="00133DF2" w:rsidRDefault="00133DF2" w:rsidP="00133DF2">
            <w:pPr>
              <w:widowControl/>
              <w:autoSpaceDE/>
              <w:autoSpaceDN/>
              <w:adjustRightInd/>
              <w:rPr>
                <w:rFonts w:asciiTheme="minorHAnsi" w:eastAsia="Times New Roman" w:hAnsiTheme="minorHAnsi" w:cstheme="minorHAnsi"/>
                <w:sz w:val="18"/>
                <w:szCs w:val="18"/>
              </w:rPr>
            </w:pPr>
            <w:r w:rsidRPr="00133DF2">
              <w:rPr>
                <w:rFonts w:asciiTheme="minorHAnsi" w:hAnsiTheme="minorHAnsi" w:cstheme="minorHAnsi"/>
                <w:sz w:val="18"/>
                <w:szCs w:val="18"/>
              </w:rPr>
              <w:t xml:space="preserve">DLR 1.9: By December 31, 2029, at least annual adjustment of generation, </w:t>
            </w:r>
            <w:r w:rsidRPr="00133DF2">
              <w:rPr>
                <w:rFonts w:asciiTheme="minorHAnsi" w:hAnsiTheme="minorHAnsi" w:cstheme="minorHAnsi"/>
                <w:sz w:val="18"/>
                <w:szCs w:val="18"/>
              </w:rPr>
              <w:lastRenderedPageBreak/>
              <w:t xml:space="preserve">transmission, distribution, and end-user tariffs as per the new tariff methodology and consistent with the targets approved under the Electricity Tariff Paper </w:t>
            </w:r>
          </w:p>
        </w:tc>
        <w:tc>
          <w:tcPr>
            <w:tcW w:w="1091" w:type="pct"/>
          </w:tcPr>
          <w:p w14:paraId="1BFD045F" w14:textId="77777777" w:rsidR="00133DF2" w:rsidRDefault="00133DF2" w:rsidP="00133DF2">
            <w:pPr>
              <w:rPr>
                <w:rFonts w:asciiTheme="minorHAnsi" w:hAnsiTheme="minorHAnsi" w:cstheme="minorHAnsi"/>
                <w:sz w:val="18"/>
                <w:szCs w:val="18"/>
              </w:rPr>
            </w:pPr>
            <w:r w:rsidRPr="001B1012">
              <w:rPr>
                <w:rFonts w:asciiTheme="minorHAnsi" w:hAnsiTheme="minorHAnsi" w:cstheme="minorHAnsi"/>
                <w:sz w:val="18"/>
                <w:szCs w:val="18"/>
              </w:rPr>
              <w:lastRenderedPageBreak/>
              <w:t>The target will be considered achieved if: (a) tariff increase</w:t>
            </w:r>
            <w:r>
              <w:rPr>
                <w:rFonts w:asciiTheme="minorHAnsi" w:hAnsiTheme="minorHAnsi" w:cstheme="minorHAnsi"/>
                <w:sz w:val="18"/>
                <w:szCs w:val="18"/>
              </w:rPr>
              <w:t xml:space="preserve">s, over the previous </w:t>
            </w:r>
            <w:r>
              <w:rPr>
                <w:rFonts w:asciiTheme="minorHAnsi" w:hAnsiTheme="minorHAnsi" w:cstheme="minorHAnsi"/>
                <w:sz w:val="18"/>
                <w:szCs w:val="18"/>
              </w:rPr>
              <w:lastRenderedPageBreak/>
              <w:t>year,</w:t>
            </w:r>
            <w:r w:rsidRPr="001B1012">
              <w:rPr>
                <w:rFonts w:asciiTheme="minorHAnsi" w:hAnsiTheme="minorHAnsi" w:cstheme="minorHAnsi"/>
                <w:sz w:val="18"/>
                <w:szCs w:val="18"/>
              </w:rPr>
              <w:t xml:space="preserve"> for all categories of consumers </w:t>
            </w:r>
            <w:r>
              <w:rPr>
                <w:rFonts w:asciiTheme="minorHAnsi" w:hAnsiTheme="minorHAnsi" w:cstheme="minorHAnsi"/>
                <w:sz w:val="18"/>
                <w:szCs w:val="18"/>
              </w:rPr>
              <w:t>are</w:t>
            </w:r>
            <w:r w:rsidRPr="001B1012">
              <w:rPr>
                <w:rFonts w:asciiTheme="minorHAnsi" w:hAnsiTheme="minorHAnsi" w:cstheme="minorHAnsi"/>
                <w:sz w:val="18"/>
                <w:szCs w:val="18"/>
              </w:rPr>
              <w:t xml:space="preserve"> not less than the target for 202</w:t>
            </w:r>
            <w:r>
              <w:rPr>
                <w:rFonts w:asciiTheme="minorHAnsi" w:hAnsiTheme="minorHAnsi" w:cstheme="minorHAnsi"/>
                <w:sz w:val="18"/>
                <w:szCs w:val="18"/>
              </w:rPr>
              <w:t>9</w:t>
            </w:r>
            <w:r w:rsidRPr="001B1012">
              <w:rPr>
                <w:rFonts w:asciiTheme="minorHAnsi" w:hAnsiTheme="minorHAnsi" w:cstheme="minorHAnsi"/>
                <w:sz w:val="18"/>
                <w:szCs w:val="18"/>
              </w:rPr>
              <w:t xml:space="preserve"> in the </w:t>
            </w:r>
            <w:r>
              <w:rPr>
                <w:rFonts w:asciiTheme="minorHAnsi" w:hAnsiTheme="minorHAnsi" w:cstheme="minorHAnsi"/>
                <w:sz w:val="18"/>
                <w:szCs w:val="18"/>
              </w:rPr>
              <w:t xml:space="preserve">Electricity </w:t>
            </w:r>
            <w:r w:rsidRPr="001B1012">
              <w:rPr>
                <w:rFonts w:asciiTheme="minorHAnsi" w:hAnsiTheme="minorHAnsi" w:cstheme="minorHAnsi"/>
                <w:sz w:val="18"/>
                <w:szCs w:val="18"/>
              </w:rPr>
              <w:t xml:space="preserve">Tariff Paper; </w:t>
            </w:r>
            <w:r>
              <w:rPr>
                <w:rFonts w:asciiTheme="minorHAnsi" w:hAnsiTheme="minorHAnsi" w:cstheme="minorHAnsi"/>
                <w:sz w:val="18"/>
                <w:szCs w:val="18"/>
              </w:rPr>
              <w:t xml:space="preserve">and </w:t>
            </w:r>
            <w:r w:rsidRPr="001B1012">
              <w:rPr>
                <w:rFonts w:asciiTheme="minorHAnsi" w:hAnsiTheme="minorHAnsi" w:cstheme="minorHAnsi"/>
                <w:sz w:val="18"/>
                <w:szCs w:val="18"/>
              </w:rPr>
              <w:t>(b) tariffs for electricity generation, transmission, distribution, other services (</w:t>
            </w:r>
            <w:proofErr w:type="gramStart"/>
            <w:r w:rsidRPr="001B1012">
              <w:rPr>
                <w:rFonts w:asciiTheme="minorHAnsi" w:hAnsiTheme="minorHAnsi" w:cstheme="minorHAnsi"/>
                <w:sz w:val="18"/>
                <w:szCs w:val="18"/>
              </w:rPr>
              <w:t>e.g.</w:t>
            </w:r>
            <w:proofErr w:type="gramEnd"/>
            <w:r w:rsidRPr="001B1012">
              <w:rPr>
                <w:rFonts w:asciiTheme="minorHAnsi" w:hAnsiTheme="minorHAnsi" w:cstheme="minorHAnsi"/>
                <w:sz w:val="18"/>
                <w:szCs w:val="18"/>
              </w:rPr>
              <w:t xml:space="preserve"> market operator, settlement center), and end-user</w:t>
            </w:r>
            <w:r>
              <w:rPr>
                <w:rFonts w:asciiTheme="minorHAnsi" w:hAnsiTheme="minorHAnsi" w:cstheme="minorHAnsi"/>
                <w:sz w:val="18"/>
                <w:szCs w:val="18"/>
              </w:rPr>
              <w:t>s</w:t>
            </w:r>
            <w:r w:rsidRPr="001B1012">
              <w:rPr>
                <w:rFonts w:asciiTheme="minorHAnsi" w:hAnsiTheme="minorHAnsi" w:cstheme="minorHAnsi"/>
                <w:sz w:val="18"/>
                <w:szCs w:val="18"/>
              </w:rPr>
              <w:t xml:space="preserve"> are computed as per requirements of </w:t>
            </w:r>
            <w:r>
              <w:rPr>
                <w:rFonts w:asciiTheme="minorHAnsi" w:hAnsiTheme="minorHAnsi" w:cstheme="minorHAnsi"/>
                <w:sz w:val="18"/>
                <w:szCs w:val="18"/>
              </w:rPr>
              <w:t>the tariff</w:t>
            </w:r>
            <w:r w:rsidRPr="001B1012">
              <w:rPr>
                <w:rFonts w:asciiTheme="minorHAnsi" w:hAnsiTheme="minorHAnsi" w:cstheme="minorHAnsi"/>
                <w:sz w:val="18"/>
                <w:szCs w:val="18"/>
              </w:rPr>
              <w:t xml:space="preserve"> methodology</w:t>
            </w:r>
            <w:r>
              <w:rPr>
                <w:rFonts w:asciiTheme="minorHAnsi" w:hAnsiTheme="minorHAnsi" w:cstheme="minorHAnsi"/>
                <w:sz w:val="18"/>
                <w:szCs w:val="18"/>
              </w:rPr>
              <w:t>.</w:t>
            </w:r>
            <w:r w:rsidRPr="001B1012">
              <w:rPr>
                <w:rFonts w:asciiTheme="minorHAnsi" w:hAnsiTheme="minorHAnsi" w:cstheme="minorHAnsi"/>
                <w:sz w:val="18"/>
                <w:szCs w:val="18"/>
              </w:rPr>
              <w:t xml:space="preserve"> </w:t>
            </w:r>
          </w:p>
        </w:tc>
        <w:tc>
          <w:tcPr>
            <w:tcW w:w="531" w:type="pct"/>
          </w:tcPr>
          <w:p w14:paraId="549D821C" w14:textId="77777777" w:rsidR="00133DF2" w:rsidRDefault="00133DF2" w:rsidP="00133DF2">
            <w:pPr>
              <w:rPr>
                <w:rFonts w:asciiTheme="minorHAnsi" w:hAnsiTheme="minorHAnsi" w:cstheme="minorHAnsi"/>
                <w:sz w:val="18"/>
                <w:szCs w:val="18"/>
              </w:rPr>
            </w:pPr>
            <w:r w:rsidRPr="001B1012">
              <w:rPr>
                <w:rFonts w:asciiTheme="minorHAnsi" w:hAnsiTheme="minorHAnsi" w:cstheme="minorHAnsi"/>
                <w:sz w:val="18"/>
                <w:szCs w:val="18"/>
              </w:rPr>
              <w:lastRenderedPageBreak/>
              <w:t>No</w:t>
            </w:r>
          </w:p>
        </w:tc>
        <w:tc>
          <w:tcPr>
            <w:tcW w:w="717" w:type="pct"/>
          </w:tcPr>
          <w:p w14:paraId="39953E98" w14:textId="77777777" w:rsidR="00133DF2" w:rsidRPr="001B1012" w:rsidRDefault="00133DF2" w:rsidP="00133DF2">
            <w:pPr>
              <w:rPr>
                <w:rFonts w:asciiTheme="minorHAnsi" w:hAnsiTheme="minorHAnsi" w:cstheme="minorHAnsi"/>
                <w:sz w:val="18"/>
                <w:szCs w:val="18"/>
              </w:rPr>
            </w:pPr>
            <w:r w:rsidRPr="001B1012">
              <w:rPr>
                <w:rFonts w:asciiTheme="minorHAnsi" w:hAnsiTheme="minorHAnsi" w:cstheme="minorHAnsi"/>
                <w:sz w:val="18"/>
                <w:szCs w:val="18"/>
              </w:rPr>
              <w:t xml:space="preserve">Data sources: (a) copy of the Government Decree </w:t>
            </w:r>
            <w:r w:rsidRPr="001B1012">
              <w:rPr>
                <w:rFonts w:asciiTheme="minorHAnsi" w:hAnsiTheme="minorHAnsi" w:cstheme="minorHAnsi"/>
                <w:sz w:val="18"/>
                <w:szCs w:val="18"/>
              </w:rPr>
              <w:lastRenderedPageBreak/>
              <w:t xml:space="preserve">with approved electricity tariffs; (b) copy of </w:t>
            </w:r>
            <w:r>
              <w:rPr>
                <w:rFonts w:asciiTheme="minorHAnsi" w:hAnsiTheme="minorHAnsi" w:cstheme="minorHAnsi"/>
                <w:sz w:val="18"/>
                <w:szCs w:val="18"/>
              </w:rPr>
              <w:t>the updated and approved</w:t>
            </w:r>
            <w:r w:rsidRPr="001B1012">
              <w:rPr>
                <w:rFonts w:asciiTheme="minorHAnsi" w:hAnsiTheme="minorHAnsi" w:cstheme="minorHAnsi"/>
                <w:sz w:val="18"/>
                <w:szCs w:val="18"/>
              </w:rPr>
              <w:t xml:space="preserve"> Electricity Tariff Paper</w:t>
            </w:r>
            <w:r>
              <w:rPr>
                <w:rFonts w:asciiTheme="minorHAnsi" w:hAnsiTheme="minorHAnsi" w:cstheme="minorHAnsi"/>
                <w:sz w:val="18"/>
                <w:szCs w:val="18"/>
              </w:rPr>
              <w:t xml:space="preserve"> (if applicable)</w:t>
            </w:r>
            <w:r w:rsidRPr="001B1012">
              <w:rPr>
                <w:rFonts w:asciiTheme="minorHAnsi" w:hAnsiTheme="minorHAnsi" w:cstheme="minorHAnsi"/>
                <w:sz w:val="18"/>
                <w:szCs w:val="18"/>
              </w:rPr>
              <w:t>.</w:t>
            </w:r>
          </w:p>
          <w:p w14:paraId="2D8F1F91" w14:textId="77777777" w:rsidR="00133DF2" w:rsidRDefault="00133DF2" w:rsidP="00133DF2">
            <w:pPr>
              <w:rPr>
                <w:rFonts w:asciiTheme="minorHAnsi" w:hAnsiTheme="minorHAnsi" w:cstheme="minorHAnsi"/>
                <w:sz w:val="18"/>
                <w:szCs w:val="18"/>
              </w:rPr>
            </w:pPr>
            <w:r w:rsidRPr="001B1012">
              <w:rPr>
                <w:rFonts w:asciiTheme="minorHAnsi" w:hAnsiTheme="minorHAnsi" w:cstheme="minorHAnsi"/>
                <w:sz w:val="18"/>
                <w:szCs w:val="18"/>
              </w:rPr>
              <w:t>Agency: MEWR</w:t>
            </w:r>
            <w:r>
              <w:rPr>
                <w:rFonts w:asciiTheme="minorHAnsi" w:hAnsiTheme="minorHAnsi" w:cstheme="minorHAnsi"/>
                <w:sz w:val="18"/>
                <w:szCs w:val="18"/>
              </w:rPr>
              <w:t>.</w:t>
            </w:r>
          </w:p>
        </w:tc>
        <w:tc>
          <w:tcPr>
            <w:tcW w:w="624" w:type="pct"/>
          </w:tcPr>
          <w:p w14:paraId="66BAC90D" w14:textId="77777777" w:rsidR="00133DF2" w:rsidRDefault="00133DF2" w:rsidP="00133DF2">
            <w:pPr>
              <w:rPr>
                <w:rFonts w:asciiTheme="minorHAnsi" w:hAnsiTheme="minorHAnsi" w:cstheme="minorHAnsi"/>
                <w:sz w:val="18"/>
                <w:szCs w:val="18"/>
              </w:rPr>
            </w:pPr>
            <w:r>
              <w:rPr>
                <w:rFonts w:asciiTheme="minorHAnsi" w:hAnsiTheme="minorHAnsi" w:cstheme="minorHAnsi"/>
                <w:sz w:val="18"/>
                <w:szCs w:val="18"/>
              </w:rPr>
              <w:lastRenderedPageBreak/>
              <w:t>Regulatory</w:t>
            </w:r>
            <w:r w:rsidRPr="001B1012">
              <w:rPr>
                <w:rFonts w:asciiTheme="minorHAnsi" w:hAnsiTheme="minorHAnsi" w:cstheme="minorHAnsi"/>
                <w:sz w:val="18"/>
                <w:szCs w:val="18"/>
              </w:rPr>
              <w:t xml:space="preserve"> consultant under </w:t>
            </w:r>
            <w:r w:rsidRPr="001B1012">
              <w:rPr>
                <w:rFonts w:asciiTheme="minorHAnsi" w:hAnsiTheme="minorHAnsi" w:cstheme="minorHAnsi"/>
                <w:sz w:val="18"/>
                <w:szCs w:val="18"/>
              </w:rPr>
              <w:lastRenderedPageBreak/>
              <w:t>TOR acceptable to the Bank.</w:t>
            </w:r>
          </w:p>
        </w:tc>
        <w:tc>
          <w:tcPr>
            <w:tcW w:w="947" w:type="pct"/>
          </w:tcPr>
          <w:p w14:paraId="26BFED96" w14:textId="77777777" w:rsidR="00133DF2" w:rsidRPr="001B1012" w:rsidRDefault="00133DF2" w:rsidP="00CB0465">
            <w:pPr>
              <w:pStyle w:val="ListParagraph"/>
              <w:widowControl/>
              <w:numPr>
                <w:ilvl w:val="0"/>
                <w:numId w:val="21"/>
              </w:numPr>
              <w:autoSpaceDE/>
              <w:autoSpaceDN/>
              <w:adjustRightInd/>
              <w:ind w:left="171" w:hanging="180"/>
              <w:rPr>
                <w:rFonts w:asciiTheme="minorHAnsi" w:hAnsiTheme="minorHAnsi" w:cstheme="minorHAnsi"/>
                <w:sz w:val="18"/>
                <w:szCs w:val="18"/>
              </w:rPr>
            </w:pPr>
            <w:r w:rsidRPr="00834BCE">
              <w:rPr>
                <w:rFonts w:asciiTheme="minorHAnsi" w:hAnsiTheme="minorHAnsi" w:cstheme="minorHAnsi"/>
                <w:sz w:val="18"/>
                <w:szCs w:val="18"/>
              </w:rPr>
              <w:lastRenderedPageBreak/>
              <w:t xml:space="preserve">Verification by IVA of adjustment of electricity tariffs </w:t>
            </w:r>
            <w:r w:rsidRPr="00834BCE">
              <w:rPr>
                <w:rFonts w:asciiTheme="minorHAnsi" w:hAnsiTheme="minorHAnsi" w:cstheme="minorHAnsi"/>
                <w:sz w:val="18"/>
                <w:szCs w:val="18"/>
              </w:rPr>
              <w:lastRenderedPageBreak/>
              <w:t>for generation, transmission, distribution, other services, and end-users to confirm whether: (a) tariffs are computed consistent with the requirements of the tariff methodology</w:t>
            </w:r>
            <w:r>
              <w:rPr>
                <w:rFonts w:asciiTheme="minorHAnsi" w:hAnsiTheme="minorHAnsi" w:cstheme="minorHAnsi"/>
                <w:sz w:val="18"/>
                <w:szCs w:val="18"/>
              </w:rPr>
              <w:t>,</w:t>
            </w:r>
            <w:r w:rsidRPr="00834BCE">
              <w:rPr>
                <w:rFonts w:asciiTheme="minorHAnsi" w:hAnsiTheme="minorHAnsi" w:cstheme="minorHAnsi"/>
                <w:sz w:val="18"/>
                <w:szCs w:val="18"/>
              </w:rPr>
              <w:t xml:space="preserve"> and</w:t>
            </w:r>
            <w:r>
              <w:rPr>
                <w:rFonts w:asciiTheme="minorHAnsi" w:hAnsiTheme="minorHAnsi" w:cstheme="minorHAnsi"/>
                <w:sz w:val="18"/>
                <w:szCs w:val="18"/>
              </w:rPr>
              <w:t xml:space="preserve"> (b)</w:t>
            </w:r>
            <w:r w:rsidRPr="00834BCE">
              <w:rPr>
                <w:rFonts w:asciiTheme="minorHAnsi" w:hAnsiTheme="minorHAnsi" w:cstheme="minorHAnsi"/>
                <w:sz w:val="18"/>
                <w:szCs w:val="18"/>
              </w:rPr>
              <w:t xml:space="preserve"> the approved increases are consistent with the increase trajectory in the Electricity Tariff Paper.</w:t>
            </w:r>
          </w:p>
        </w:tc>
      </w:tr>
      <w:tr w:rsidR="00133DF2" w:rsidRPr="001B1012" w14:paraId="1E81E1CB" w14:textId="77777777" w:rsidTr="00866A63">
        <w:trPr>
          <w:jc w:val="center"/>
        </w:trPr>
        <w:tc>
          <w:tcPr>
            <w:tcW w:w="1090" w:type="pct"/>
          </w:tcPr>
          <w:p w14:paraId="25761A0C" w14:textId="12CA80CB" w:rsidR="00133DF2" w:rsidRPr="00133DF2" w:rsidRDefault="00133DF2" w:rsidP="00133DF2">
            <w:pPr>
              <w:widowControl/>
              <w:autoSpaceDE/>
              <w:autoSpaceDN/>
              <w:adjustRightInd/>
              <w:rPr>
                <w:rFonts w:asciiTheme="minorHAnsi" w:eastAsia="Times New Roman" w:hAnsiTheme="minorHAnsi" w:cstheme="minorHAnsi"/>
                <w:sz w:val="18"/>
                <w:szCs w:val="18"/>
              </w:rPr>
            </w:pPr>
            <w:r w:rsidRPr="00133DF2">
              <w:rPr>
                <w:rFonts w:asciiTheme="minorHAnsi" w:hAnsiTheme="minorHAnsi" w:cstheme="minorHAnsi"/>
                <w:sz w:val="18"/>
                <w:szCs w:val="18"/>
              </w:rPr>
              <w:lastRenderedPageBreak/>
              <w:t xml:space="preserve">DLR 1.10: By December 31, 2030, at least annual adjustment of generation, transmission, distribution, and end-user tariffs as per the new tariff methodology and consistent with the targets approved under the Electricity Tariff Paper </w:t>
            </w:r>
          </w:p>
        </w:tc>
        <w:tc>
          <w:tcPr>
            <w:tcW w:w="1091" w:type="pct"/>
          </w:tcPr>
          <w:p w14:paraId="3ED1FF3F" w14:textId="77777777" w:rsidR="00133DF2" w:rsidRDefault="00133DF2" w:rsidP="00133DF2">
            <w:pPr>
              <w:rPr>
                <w:rFonts w:asciiTheme="minorHAnsi" w:hAnsiTheme="minorHAnsi" w:cstheme="minorHAnsi"/>
                <w:sz w:val="18"/>
                <w:szCs w:val="18"/>
              </w:rPr>
            </w:pPr>
            <w:r w:rsidRPr="001B1012">
              <w:rPr>
                <w:rFonts w:asciiTheme="minorHAnsi" w:hAnsiTheme="minorHAnsi" w:cstheme="minorHAnsi"/>
                <w:sz w:val="18"/>
                <w:szCs w:val="18"/>
              </w:rPr>
              <w:t>The target will be considered achieved if: (a) tariff increase</w:t>
            </w:r>
            <w:r>
              <w:rPr>
                <w:rFonts w:asciiTheme="minorHAnsi" w:hAnsiTheme="minorHAnsi" w:cstheme="minorHAnsi"/>
                <w:sz w:val="18"/>
                <w:szCs w:val="18"/>
              </w:rPr>
              <w:t>s, over the previous year,</w:t>
            </w:r>
            <w:r w:rsidRPr="001B1012">
              <w:rPr>
                <w:rFonts w:asciiTheme="minorHAnsi" w:hAnsiTheme="minorHAnsi" w:cstheme="minorHAnsi"/>
                <w:sz w:val="18"/>
                <w:szCs w:val="18"/>
              </w:rPr>
              <w:t xml:space="preserve"> for all categories of consumers </w:t>
            </w:r>
            <w:r>
              <w:rPr>
                <w:rFonts w:asciiTheme="minorHAnsi" w:hAnsiTheme="minorHAnsi" w:cstheme="minorHAnsi"/>
                <w:sz w:val="18"/>
                <w:szCs w:val="18"/>
              </w:rPr>
              <w:t>are</w:t>
            </w:r>
            <w:r w:rsidRPr="001B1012">
              <w:rPr>
                <w:rFonts w:asciiTheme="minorHAnsi" w:hAnsiTheme="minorHAnsi" w:cstheme="minorHAnsi"/>
                <w:sz w:val="18"/>
                <w:szCs w:val="18"/>
              </w:rPr>
              <w:t xml:space="preserve"> not less than the target for 20</w:t>
            </w:r>
            <w:r>
              <w:rPr>
                <w:rFonts w:asciiTheme="minorHAnsi" w:hAnsiTheme="minorHAnsi" w:cstheme="minorHAnsi"/>
                <w:sz w:val="18"/>
                <w:szCs w:val="18"/>
              </w:rPr>
              <w:t>30</w:t>
            </w:r>
            <w:r w:rsidRPr="001B1012">
              <w:rPr>
                <w:rFonts w:asciiTheme="minorHAnsi" w:hAnsiTheme="minorHAnsi" w:cstheme="minorHAnsi"/>
                <w:sz w:val="18"/>
                <w:szCs w:val="18"/>
              </w:rPr>
              <w:t xml:space="preserve"> in the </w:t>
            </w:r>
            <w:r>
              <w:rPr>
                <w:rFonts w:asciiTheme="minorHAnsi" w:hAnsiTheme="minorHAnsi" w:cstheme="minorHAnsi"/>
                <w:sz w:val="18"/>
                <w:szCs w:val="18"/>
              </w:rPr>
              <w:t xml:space="preserve">Electricity </w:t>
            </w:r>
            <w:r w:rsidRPr="001B1012">
              <w:rPr>
                <w:rFonts w:asciiTheme="minorHAnsi" w:hAnsiTheme="minorHAnsi" w:cstheme="minorHAnsi"/>
                <w:sz w:val="18"/>
                <w:szCs w:val="18"/>
              </w:rPr>
              <w:t xml:space="preserve">Tariff Paper; </w:t>
            </w:r>
            <w:r>
              <w:rPr>
                <w:rFonts w:asciiTheme="minorHAnsi" w:hAnsiTheme="minorHAnsi" w:cstheme="minorHAnsi"/>
                <w:sz w:val="18"/>
                <w:szCs w:val="18"/>
              </w:rPr>
              <w:t xml:space="preserve">and </w:t>
            </w:r>
            <w:r w:rsidRPr="001B1012">
              <w:rPr>
                <w:rFonts w:asciiTheme="minorHAnsi" w:hAnsiTheme="minorHAnsi" w:cstheme="minorHAnsi"/>
                <w:sz w:val="18"/>
                <w:szCs w:val="18"/>
              </w:rPr>
              <w:t>(b) tariffs for electricity generation, transmission, distribution, other services (</w:t>
            </w:r>
            <w:proofErr w:type="gramStart"/>
            <w:r w:rsidRPr="001B1012">
              <w:rPr>
                <w:rFonts w:asciiTheme="minorHAnsi" w:hAnsiTheme="minorHAnsi" w:cstheme="minorHAnsi"/>
                <w:sz w:val="18"/>
                <w:szCs w:val="18"/>
              </w:rPr>
              <w:t>e.g.</w:t>
            </w:r>
            <w:proofErr w:type="gramEnd"/>
            <w:r w:rsidRPr="001B1012">
              <w:rPr>
                <w:rFonts w:asciiTheme="minorHAnsi" w:hAnsiTheme="minorHAnsi" w:cstheme="minorHAnsi"/>
                <w:sz w:val="18"/>
                <w:szCs w:val="18"/>
              </w:rPr>
              <w:t xml:space="preserve"> market operator, settlement center), and end-user</w:t>
            </w:r>
            <w:r>
              <w:rPr>
                <w:rFonts w:asciiTheme="minorHAnsi" w:hAnsiTheme="minorHAnsi" w:cstheme="minorHAnsi"/>
                <w:sz w:val="18"/>
                <w:szCs w:val="18"/>
              </w:rPr>
              <w:t>s</w:t>
            </w:r>
            <w:r w:rsidRPr="001B1012">
              <w:rPr>
                <w:rFonts w:asciiTheme="minorHAnsi" w:hAnsiTheme="minorHAnsi" w:cstheme="minorHAnsi"/>
                <w:sz w:val="18"/>
                <w:szCs w:val="18"/>
              </w:rPr>
              <w:t xml:space="preserve"> are computed as per requirements of </w:t>
            </w:r>
            <w:r>
              <w:rPr>
                <w:rFonts w:asciiTheme="minorHAnsi" w:hAnsiTheme="minorHAnsi" w:cstheme="minorHAnsi"/>
                <w:sz w:val="18"/>
                <w:szCs w:val="18"/>
              </w:rPr>
              <w:t>the tariff</w:t>
            </w:r>
            <w:r w:rsidRPr="001B1012">
              <w:rPr>
                <w:rFonts w:asciiTheme="minorHAnsi" w:hAnsiTheme="minorHAnsi" w:cstheme="minorHAnsi"/>
                <w:sz w:val="18"/>
                <w:szCs w:val="18"/>
              </w:rPr>
              <w:t xml:space="preserve"> methodology</w:t>
            </w:r>
            <w:r>
              <w:rPr>
                <w:rFonts w:asciiTheme="minorHAnsi" w:hAnsiTheme="minorHAnsi" w:cstheme="minorHAnsi"/>
                <w:sz w:val="18"/>
                <w:szCs w:val="18"/>
              </w:rPr>
              <w:t>.</w:t>
            </w:r>
            <w:r w:rsidRPr="001B1012">
              <w:rPr>
                <w:rFonts w:asciiTheme="minorHAnsi" w:hAnsiTheme="minorHAnsi" w:cstheme="minorHAnsi"/>
                <w:sz w:val="18"/>
                <w:szCs w:val="18"/>
              </w:rPr>
              <w:t xml:space="preserve"> </w:t>
            </w:r>
          </w:p>
        </w:tc>
        <w:tc>
          <w:tcPr>
            <w:tcW w:w="531" w:type="pct"/>
          </w:tcPr>
          <w:p w14:paraId="1939F944" w14:textId="77777777" w:rsidR="00133DF2" w:rsidRDefault="00133DF2" w:rsidP="00133DF2">
            <w:pPr>
              <w:rPr>
                <w:rFonts w:asciiTheme="minorHAnsi" w:hAnsiTheme="minorHAnsi" w:cstheme="minorHAnsi"/>
                <w:sz w:val="18"/>
                <w:szCs w:val="18"/>
              </w:rPr>
            </w:pPr>
            <w:r w:rsidRPr="001B1012">
              <w:rPr>
                <w:rFonts w:asciiTheme="minorHAnsi" w:hAnsiTheme="minorHAnsi" w:cstheme="minorHAnsi"/>
                <w:sz w:val="18"/>
                <w:szCs w:val="18"/>
              </w:rPr>
              <w:t>No</w:t>
            </w:r>
          </w:p>
        </w:tc>
        <w:tc>
          <w:tcPr>
            <w:tcW w:w="717" w:type="pct"/>
          </w:tcPr>
          <w:p w14:paraId="601C7653" w14:textId="77777777" w:rsidR="00133DF2" w:rsidRPr="001B1012" w:rsidRDefault="00133DF2" w:rsidP="00133DF2">
            <w:pPr>
              <w:rPr>
                <w:rFonts w:asciiTheme="minorHAnsi" w:hAnsiTheme="minorHAnsi" w:cstheme="minorHAnsi"/>
                <w:sz w:val="18"/>
                <w:szCs w:val="18"/>
              </w:rPr>
            </w:pPr>
            <w:r w:rsidRPr="001B1012">
              <w:rPr>
                <w:rFonts w:asciiTheme="minorHAnsi" w:hAnsiTheme="minorHAnsi" w:cstheme="minorHAnsi"/>
                <w:sz w:val="18"/>
                <w:szCs w:val="18"/>
              </w:rPr>
              <w:t xml:space="preserve">Data sources: (a) copy of the Government Decree with approved electricity tariffs; (b) copy of </w:t>
            </w:r>
            <w:r>
              <w:rPr>
                <w:rFonts w:asciiTheme="minorHAnsi" w:hAnsiTheme="minorHAnsi" w:cstheme="minorHAnsi"/>
                <w:sz w:val="18"/>
                <w:szCs w:val="18"/>
              </w:rPr>
              <w:t>the updated and approved</w:t>
            </w:r>
            <w:r w:rsidRPr="001B1012">
              <w:rPr>
                <w:rFonts w:asciiTheme="minorHAnsi" w:hAnsiTheme="minorHAnsi" w:cstheme="minorHAnsi"/>
                <w:sz w:val="18"/>
                <w:szCs w:val="18"/>
              </w:rPr>
              <w:t xml:space="preserve"> Electricity Tariff Paper</w:t>
            </w:r>
            <w:r>
              <w:rPr>
                <w:rFonts w:asciiTheme="minorHAnsi" w:hAnsiTheme="minorHAnsi" w:cstheme="minorHAnsi"/>
                <w:sz w:val="18"/>
                <w:szCs w:val="18"/>
              </w:rPr>
              <w:t xml:space="preserve"> (if applicable)</w:t>
            </w:r>
            <w:r w:rsidRPr="001B1012">
              <w:rPr>
                <w:rFonts w:asciiTheme="minorHAnsi" w:hAnsiTheme="minorHAnsi" w:cstheme="minorHAnsi"/>
                <w:sz w:val="18"/>
                <w:szCs w:val="18"/>
              </w:rPr>
              <w:t>.</w:t>
            </w:r>
          </w:p>
          <w:p w14:paraId="3EF43913" w14:textId="77777777" w:rsidR="00133DF2" w:rsidRDefault="00133DF2" w:rsidP="00133DF2">
            <w:pPr>
              <w:rPr>
                <w:rFonts w:asciiTheme="minorHAnsi" w:hAnsiTheme="minorHAnsi" w:cstheme="minorHAnsi"/>
                <w:sz w:val="18"/>
                <w:szCs w:val="18"/>
              </w:rPr>
            </w:pPr>
            <w:r w:rsidRPr="001B1012">
              <w:rPr>
                <w:rFonts w:asciiTheme="minorHAnsi" w:hAnsiTheme="minorHAnsi" w:cstheme="minorHAnsi"/>
                <w:sz w:val="18"/>
                <w:szCs w:val="18"/>
              </w:rPr>
              <w:t>Agency: MEWR</w:t>
            </w:r>
            <w:r>
              <w:rPr>
                <w:rFonts w:asciiTheme="minorHAnsi" w:hAnsiTheme="minorHAnsi" w:cstheme="minorHAnsi"/>
                <w:sz w:val="18"/>
                <w:szCs w:val="18"/>
              </w:rPr>
              <w:t>.</w:t>
            </w:r>
          </w:p>
        </w:tc>
        <w:tc>
          <w:tcPr>
            <w:tcW w:w="624" w:type="pct"/>
          </w:tcPr>
          <w:p w14:paraId="3A3E6F76" w14:textId="77777777" w:rsidR="00133DF2" w:rsidRDefault="00133DF2" w:rsidP="00133DF2">
            <w:pPr>
              <w:rPr>
                <w:rFonts w:asciiTheme="minorHAnsi" w:hAnsiTheme="minorHAnsi" w:cstheme="minorHAnsi"/>
                <w:sz w:val="18"/>
                <w:szCs w:val="18"/>
              </w:rPr>
            </w:pPr>
            <w:r>
              <w:rPr>
                <w:rFonts w:asciiTheme="minorHAnsi" w:hAnsiTheme="minorHAnsi" w:cstheme="minorHAnsi"/>
                <w:sz w:val="18"/>
                <w:szCs w:val="18"/>
              </w:rPr>
              <w:t>Regulatory</w:t>
            </w:r>
            <w:r w:rsidRPr="001B1012">
              <w:rPr>
                <w:rFonts w:asciiTheme="minorHAnsi" w:hAnsiTheme="minorHAnsi" w:cstheme="minorHAnsi"/>
                <w:sz w:val="18"/>
                <w:szCs w:val="18"/>
              </w:rPr>
              <w:t xml:space="preserve"> consultant under TOR acceptable to the Bank.</w:t>
            </w:r>
          </w:p>
        </w:tc>
        <w:tc>
          <w:tcPr>
            <w:tcW w:w="947" w:type="pct"/>
          </w:tcPr>
          <w:p w14:paraId="0846C861" w14:textId="77777777" w:rsidR="00133DF2" w:rsidRPr="001B1012" w:rsidRDefault="00133DF2" w:rsidP="00CB0465">
            <w:pPr>
              <w:pStyle w:val="ListParagraph"/>
              <w:widowControl/>
              <w:numPr>
                <w:ilvl w:val="0"/>
                <w:numId w:val="21"/>
              </w:numPr>
              <w:autoSpaceDE/>
              <w:autoSpaceDN/>
              <w:adjustRightInd/>
              <w:ind w:left="171" w:hanging="180"/>
              <w:rPr>
                <w:rFonts w:asciiTheme="minorHAnsi" w:hAnsiTheme="minorHAnsi" w:cstheme="minorHAnsi"/>
                <w:sz w:val="18"/>
                <w:szCs w:val="18"/>
              </w:rPr>
            </w:pPr>
            <w:r w:rsidRPr="00834BCE">
              <w:rPr>
                <w:rFonts w:asciiTheme="minorHAnsi" w:hAnsiTheme="minorHAnsi" w:cstheme="minorHAnsi"/>
                <w:sz w:val="18"/>
                <w:szCs w:val="18"/>
              </w:rPr>
              <w:t>Verification by IVA of adjustment of electricity tariffs for generation, transmission, distribution, other services, and end-users to confirm whether: (a) tariffs are computed consistent with the requirements of the tariff methodology</w:t>
            </w:r>
            <w:r>
              <w:rPr>
                <w:rFonts w:asciiTheme="minorHAnsi" w:hAnsiTheme="minorHAnsi" w:cstheme="minorHAnsi"/>
                <w:sz w:val="18"/>
                <w:szCs w:val="18"/>
              </w:rPr>
              <w:t>,</w:t>
            </w:r>
            <w:r w:rsidRPr="00834BCE">
              <w:rPr>
                <w:rFonts w:asciiTheme="minorHAnsi" w:hAnsiTheme="minorHAnsi" w:cstheme="minorHAnsi"/>
                <w:sz w:val="18"/>
                <w:szCs w:val="18"/>
              </w:rPr>
              <w:t xml:space="preserve"> and</w:t>
            </w:r>
            <w:r>
              <w:rPr>
                <w:rFonts w:asciiTheme="minorHAnsi" w:hAnsiTheme="minorHAnsi" w:cstheme="minorHAnsi"/>
                <w:sz w:val="18"/>
                <w:szCs w:val="18"/>
              </w:rPr>
              <w:t xml:space="preserve"> (b)</w:t>
            </w:r>
            <w:r w:rsidRPr="00834BCE">
              <w:rPr>
                <w:rFonts w:asciiTheme="minorHAnsi" w:hAnsiTheme="minorHAnsi" w:cstheme="minorHAnsi"/>
                <w:sz w:val="18"/>
                <w:szCs w:val="18"/>
              </w:rPr>
              <w:t xml:space="preserve"> the approved increases are consistent with the increase trajectory in the Electricity Tariff Paper.</w:t>
            </w:r>
          </w:p>
        </w:tc>
      </w:tr>
      <w:tr w:rsidR="00133DF2" w:rsidRPr="001B1012" w14:paraId="4493279E" w14:textId="77777777" w:rsidTr="00866A63">
        <w:trPr>
          <w:jc w:val="center"/>
        </w:trPr>
        <w:tc>
          <w:tcPr>
            <w:tcW w:w="1090" w:type="pct"/>
          </w:tcPr>
          <w:p w14:paraId="77BFF731" w14:textId="46802560" w:rsidR="00133DF2" w:rsidRPr="00133DF2" w:rsidRDefault="00133DF2" w:rsidP="00133DF2">
            <w:pPr>
              <w:widowControl/>
              <w:autoSpaceDE/>
              <w:autoSpaceDN/>
              <w:adjustRightInd/>
              <w:rPr>
                <w:rFonts w:asciiTheme="minorHAnsi" w:eastAsia="Times New Roman" w:hAnsiTheme="minorHAnsi" w:cstheme="minorHAnsi"/>
                <w:sz w:val="18"/>
                <w:szCs w:val="18"/>
              </w:rPr>
            </w:pPr>
            <w:r w:rsidRPr="00133DF2">
              <w:rPr>
                <w:rFonts w:asciiTheme="minorHAnsi" w:hAnsiTheme="minorHAnsi" w:cstheme="minorHAnsi"/>
                <w:sz w:val="18"/>
                <w:szCs w:val="18"/>
              </w:rPr>
              <w:t xml:space="preserve">DLR 1.11: By December 31, 2031, at least annual adjustment of generation, transmission, distribution, and end-user tariffs as per the new tariff methodology and consistent with the targets approved under the Electricity Tariff Paper </w:t>
            </w:r>
          </w:p>
        </w:tc>
        <w:tc>
          <w:tcPr>
            <w:tcW w:w="1091" w:type="pct"/>
          </w:tcPr>
          <w:p w14:paraId="1A7B19D3" w14:textId="77777777" w:rsidR="00133DF2" w:rsidRDefault="00133DF2" w:rsidP="00133DF2">
            <w:pPr>
              <w:rPr>
                <w:rFonts w:asciiTheme="minorHAnsi" w:hAnsiTheme="minorHAnsi" w:cstheme="minorHAnsi"/>
                <w:sz w:val="18"/>
                <w:szCs w:val="18"/>
              </w:rPr>
            </w:pPr>
            <w:r w:rsidRPr="001B1012">
              <w:rPr>
                <w:rFonts w:asciiTheme="minorHAnsi" w:hAnsiTheme="minorHAnsi" w:cstheme="minorHAnsi"/>
                <w:sz w:val="18"/>
                <w:szCs w:val="18"/>
              </w:rPr>
              <w:t>The target will be considered achieved if: (a) tariff increase</w:t>
            </w:r>
            <w:r>
              <w:rPr>
                <w:rFonts w:asciiTheme="minorHAnsi" w:hAnsiTheme="minorHAnsi" w:cstheme="minorHAnsi"/>
                <w:sz w:val="18"/>
                <w:szCs w:val="18"/>
              </w:rPr>
              <w:t>s, over the previous year,</w:t>
            </w:r>
            <w:r w:rsidRPr="001B1012">
              <w:rPr>
                <w:rFonts w:asciiTheme="minorHAnsi" w:hAnsiTheme="minorHAnsi" w:cstheme="minorHAnsi"/>
                <w:sz w:val="18"/>
                <w:szCs w:val="18"/>
              </w:rPr>
              <w:t xml:space="preserve"> for all categories of consumers </w:t>
            </w:r>
            <w:r>
              <w:rPr>
                <w:rFonts w:asciiTheme="minorHAnsi" w:hAnsiTheme="minorHAnsi" w:cstheme="minorHAnsi"/>
                <w:sz w:val="18"/>
                <w:szCs w:val="18"/>
              </w:rPr>
              <w:t>are</w:t>
            </w:r>
            <w:r w:rsidRPr="001B1012">
              <w:rPr>
                <w:rFonts w:asciiTheme="minorHAnsi" w:hAnsiTheme="minorHAnsi" w:cstheme="minorHAnsi"/>
                <w:sz w:val="18"/>
                <w:szCs w:val="18"/>
              </w:rPr>
              <w:t xml:space="preserve"> not less than the target for 20</w:t>
            </w:r>
            <w:r>
              <w:rPr>
                <w:rFonts w:asciiTheme="minorHAnsi" w:hAnsiTheme="minorHAnsi" w:cstheme="minorHAnsi"/>
                <w:sz w:val="18"/>
                <w:szCs w:val="18"/>
              </w:rPr>
              <w:t>31</w:t>
            </w:r>
            <w:r w:rsidRPr="001B1012">
              <w:rPr>
                <w:rFonts w:asciiTheme="minorHAnsi" w:hAnsiTheme="minorHAnsi" w:cstheme="minorHAnsi"/>
                <w:sz w:val="18"/>
                <w:szCs w:val="18"/>
              </w:rPr>
              <w:t xml:space="preserve"> in the </w:t>
            </w:r>
            <w:r>
              <w:rPr>
                <w:rFonts w:asciiTheme="minorHAnsi" w:hAnsiTheme="minorHAnsi" w:cstheme="minorHAnsi"/>
                <w:sz w:val="18"/>
                <w:szCs w:val="18"/>
              </w:rPr>
              <w:t xml:space="preserve">Electricity </w:t>
            </w:r>
            <w:r w:rsidRPr="001B1012">
              <w:rPr>
                <w:rFonts w:asciiTheme="minorHAnsi" w:hAnsiTheme="minorHAnsi" w:cstheme="minorHAnsi"/>
                <w:sz w:val="18"/>
                <w:szCs w:val="18"/>
              </w:rPr>
              <w:t xml:space="preserve">Tariff Paper; </w:t>
            </w:r>
            <w:r>
              <w:rPr>
                <w:rFonts w:asciiTheme="minorHAnsi" w:hAnsiTheme="minorHAnsi" w:cstheme="minorHAnsi"/>
                <w:sz w:val="18"/>
                <w:szCs w:val="18"/>
              </w:rPr>
              <w:t xml:space="preserve">and </w:t>
            </w:r>
            <w:r w:rsidRPr="001B1012">
              <w:rPr>
                <w:rFonts w:asciiTheme="minorHAnsi" w:hAnsiTheme="minorHAnsi" w:cstheme="minorHAnsi"/>
                <w:sz w:val="18"/>
                <w:szCs w:val="18"/>
              </w:rPr>
              <w:t>(b) tariffs for electricity generation, transmission, distribution, other services (</w:t>
            </w:r>
            <w:proofErr w:type="gramStart"/>
            <w:r w:rsidRPr="001B1012">
              <w:rPr>
                <w:rFonts w:asciiTheme="minorHAnsi" w:hAnsiTheme="minorHAnsi" w:cstheme="minorHAnsi"/>
                <w:sz w:val="18"/>
                <w:szCs w:val="18"/>
              </w:rPr>
              <w:t>e.g.</w:t>
            </w:r>
            <w:proofErr w:type="gramEnd"/>
            <w:r w:rsidRPr="001B1012">
              <w:rPr>
                <w:rFonts w:asciiTheme="minorHAnsi" w:hAnsiTheme="minorHAnsi" w:cstheme="minorHAnsi"/>
                <w:sz w:val="18"/>
                <w:szCs w:val="18"/>
              </w:rPr>
              <w:t xml:space="preserve"> market operator, settlement center), and end-user</w:t>
            </w:r>
            <w:r>
              <w:rPr>
                <w:rFonts w:asciiTheme="minorHAnsi" w:hAnsiTheme="minorHAnsi" w:cstheme="minorHAnsi"/>
                <w:sz w:val="18"/>
                <w:szCs w:val="18"/>
              </w:rPr>
              <w:t>s</w:t>
            </w:r>
            <w:r w:rsidRPr="001B1012">
              <w:rPr>
                <w:rFonts w:asciiTheme="minorHAnsi" w:hAnsiTheme="minorHAnsi" w:cstheme="minorHAnsi"/>
                <w:sz w:val="18"/>
                <w:szCs w:val="18"/>
              </w:rPr>
              <w:t xml:space="preserve"> are computed as per requirements of </w:t>
            </w:r>
            <w:r>
              <w:rPr>
                <w:rFonts w:asciiTheme="minorHAnsi" w:hAnsiTheme="minorHAnsi" w:cstheme="minorHAnsi"/>
                <w:sz w:val="18"/>
                <w:szCs w:val="18"/>
              </w:rPr>
              <w:t>the tariff</w:t>
            </w:r>
            <w:r w:rsidRPr="001B1012">
              <w:rPr>
                <w:rFonts w:asciiTheme="minorHAnsi" w:hAnsiTheme="minorHAnsi" w:cstheme="minorHAnsi"/>
                <w:sz w:val="18"/>
                <w:szCs w:val="18"/>
              </w:rPr>
              <w:t xml:space="preserve"> methodology</w:t>
            </w:r>
            <w:r>
              <w:rPr>
                <w:rFonts w:asciiTheme="minorHAnsi" w:hAnsiTheme="minorHAnsi" w:cstheme="minorHAnsi"/>
                <w:sz w:val="18"/>
                <w:szCs w:val="18"/>
              </w:rPr>
              <w:t>.</w:t>
            </w:r>
            <w:r w:rsidRPr="001B1012">
              <w:rPr>
                <w:rFonts w:asciiTheme="minorHAnsi" w:hAnsiTheme="minorHAnsi" w:cstheme="minorHAnsi"/>
                <w:sz w:val="18"/>
                <w:szCs w:val="18"/>
              </w:rPr>
              <w:t xml:space="preserve"> </w:t>
            </w:r>
          </w:p>
        </w:tc>
        <w:tc>
          <w:tcPr>
            <w:tcW w:w="531" w:type="pct"/>
          </w:tcPr>
          <w:p w14:paraId="7F9A736A" w14:textId="77777777" w:rsidR="00133DF2" w:rsidRDefault="00133DF2" w:rsidP="00133DF2">
            <w:pPr>
              <w:rPr>
                <w:rFonts w:asciiTheme="minorHAnsi" w:hAnsiTheme="minorHAnsi" w:cstheme="minorHAnsi"/>
                <w:sz w:val="18"/>
                <w:szCs w:val="18"/>
              </w:rPr>
            </w:pPr>
            <w:r w:rsidRPr="001B1012">
              <w:rPr>
                <w:rFonts w:asciiTheme="minorHAnsi" w:hAnsiTheme="minorHAnsi" w:cstheme="minorHAnsi"/>
                <w:sz w:val="18"/>
                <w:szCs w:val="18"/>
              </w:rPr>
              <w:t>No</w:t>
            </w:r>
          </w:p>
        </w:tc>
        <w:tc>
          <w:tcPr>
            <w:tcW w:w="717" w:type="pct"/>
          </w:tcPr>
          <w:p w14:paraId="634A9973" w14:textId="77777777" w:rsidR="00133DF2" w:rsidRPr="001B1012" w:rsidRDefault="00133DF2" w:rsidP="00133DF2">
            <w:pPr>
              <w:rPr>
                <w:rFonts w:asciiTheme="minorHAnsi" w:hAnsiTheme="minorHAnsi" w:cstheme="minorHAnsi"/>
                <w:sz w:val="18"/>
                <w:szCs w:val="18"/>
              </w:rPr>
            </w:pPr>
            <w:r w:rsidRPr="001B1012">
              <w:rPr>
                <w:rFonts w:asciiTheme="minorHAnsi" w:hAnsiTheme="minorHAnsi" w:cstheme="minorHAnsi"/>
                <w:sz w:val="18"/>
                <w:szCs w:val="18"/>
              </w:rPr>
              <w:t xml:space="preserve">Data sources: (a) copy of the Government Decree with approved electricity tariffs; (b) copy of </w:t>
            </w:r>
            <w:r>
              <w:rPr>
                <w:rFonts w:asciiTheme="minorHAnsi" w:hAnsiTheme="minorHAnsi" w:cstheme="minorHAnsi"/>
                <w:sz w:val="18"/>
                <w:szCs w:val="18"/>
              </w:rPr>
              <w:t>the updated and approved</w:t>
            </w:r>
            <w:r w:rsidRPr="001B1012">
              <w:rPr>
                <w:rFonts w:asciiTheme="minorHAnsi" w:hAnsiTheme="minorHAnsi" w:cstheme="minorHAnsi"/>
                <w:sz w:val="18"/>
                <w:szCs w:val="18"/>
              </w:rPr>
              <w:t xml:space="preserve"> Electricity Tariff Paper</w:t>
            </w:r>
            <w:r>
              <w:rPr>
                <w:rFonts w:asciiTheme="minorHAnsi" w:hAnsiTheme="minorHAnsi" w:cstheme="minorHAnsi"/>
                <w:sz w:val="18"/>
                <w:szCs w:val="18"/>
              </w:rPr>
              <w:t xml:space="preserve"> (if applicable)</w:t>
            </w:r>
            <w:r w:rsidRPr="001B1012">
              <w:rPr>
                <w:rFonts w:asciiTheme="minorHAnsi" w:hAnsiTheme="minorHAnsi" w:cstheme="minorHAnsi"/>
                <w:sz w:val="18"/>
                <w:szCs w:val="18"/>
              </w:rPr>
              <w:t>.</w:t>
            </w:r>
          </w:p>
          <w:p w14:paraId="3FEDB901" w14:textId="77777777" w:rsidR="00133DF2" w:rsidRDefault="00133DF2" w:rsidP="00133DF2">
            <w:pPr>
              <w:rPr>
                <w:rFonts w:asciiTheme="minorHAnsi" w:hAnsiTheme="minorHAnsi" w:cstheme="minorHAnsi"/>
                <w:sz w:val="18"/>
                <w:szCs w:val="18"/>
              </w:rPr>
            </w:pPr>
            <w:r w:rsidRPr="001B1012">
              <w:rPr>
                <w:rFonts w:asciiTheme="minorHAnsi" w:hAnsiTheme="minorHAnsi" w:cstheme="minorHAnsi"/>
                <w:sz w:val="18"/>
                <w:szCs w:val="18"/>
              </w:rPr>
              <w:t>Agency: MEWR</w:t>
            </w:r>
            <w:r>
              <w:rPr>
                <w:rFonts w:asciiTheme="minorHAnsi" w:hAnsiTheme="minorHAnsi" w:cstheme="minorHAnsi"/>
                <w:sz w:val="18"/>
                <w:szCs w:val="18"/>
              </w:rPr>
              <w:t>.</w:t>
            </w:r>
          </w:p>
        </w:tc>
        <w:tc>
          <w:tcPr>
            <w:tcW w:w="624" w:type="pct"/>
          </w:tcPr>
          <w:p w14:paraId="1DDF283E" w14:textId="77777777" w:rsidR="00133DF2" w:rsidRDefault="00133DF2" w:rsidP="00133DF2">
            <w:pPr>
              <w:rPr>
                <w:rFonts w:asciiTheme="minorHAnsi" w:hAnsiTheme="minorHAnsi" w:cstheme="minorHAnsi"/>
                <w:sz w:val="18"/>
                <w:szCs w:val="18"/>
              </w:rPr>
            </w:pPr>
            <w:r>
              <w:rPr>
                <w:rFonts w:asciiTheme="minorHAnsi" w:hAnsiTheme="minorHAnsi" w:cstheme="minorHAnsi"/>
                <w:sz w:val="18"/>
                <w:szCs w:val="18"/>
              </w:rPr>
              <w:t>Regulatory</w:t>
            </w:r>
            <w:r w:rsidRPr="001B1012">
              <w:rPr>
                <w:rFonts w:asciiTheme="minorHAnsi" w:hAnsiTheme="minorHAnsi" w:cstheme="minorHAnsi"/>
                <w:sz w:val="18"/>
                <w:szCs w:val="18"/>
              </w:rPr>
              <w:t xml:space="preserve"> consultant under TOR acceptable to the Bank.</w:t>
            </w:r>
          </w:p>
        </w:tc>
        <w:tc>
          <w:tcPr>
            <w:tcW w:w="947" w:type="pct"/>
          </w:tcPr>
          <w:p w14:paraId="151793F0" w14:textId="77777777" w:rsidR="00133DF2" w:rsidRPr="001B1012" w:rsidRDefault="00133DF2" w:rsidP="00CB0465">
            <w:pPr>
              <w:pStyle w:val="ListParagraph"/>
              <w:widowControl/>
              <w:numPr>
                <w:ilvl w:val="0"/>
                <w:numId w:val="21"/>
              </w:numPr>
              <w:autoSpaceDE/>
              <w:autoSpaceDN/>
              <w:adjustRightInd/>
              <w:ind w:left="171" w:hanging="180"/>
              <w:rPr>
                <w:rFonts w:asciiTheme="minorHAnsi" w:hAnsiTheme="minorHAnsi" w:cstheme="minorHAnsi"/>
                <w:sz w:val="18"/>
                <w:szCs w:val="18"/>
              </w:rPr>
            </w:pPr>
            <w:r w:rsidRPr="00834BCE">
              <w:rPr>
                <w:rFonts w:asciiTheme="minorHAnsi" w:hAnsiTheme="minorHAnsi" w:cstheme="minorHAnsi"/>
                <w:sz w:val="18"/>
                <w:szCs w:val="18"/>
              </w:rPr>
              <w:t>Verification by IVA of adjustment of electricity tariffs for generation, transmission, distribution, other services, and end-users to confirm whether: (a) tariffs are computed consistent with the requirements of the tariff methodology</w:t>
            </w:r>
            <w:r>
              <w:rPr>
                <w:rFonts w:asciiTheme="minorHAnsi" w:hAnsiTheme="minorHAnsi" w:cstheme="minorHAnsi"/>
                <w:sz w:val="18"/>
                <w:szCs w:val="18"/>
              </w:rPr>
              <w:t>,</w:t>
            </w:r>
            <w:r w:rsidRPr="00834BCE">
              <w:rPr>
                <w:rFonts w:asciiTheme="minorHAnsi" w:hAnsiTheme="minorHAnsi" w:cstheme="minorHAnsi"/>
                <w:sz w:val="18"/>
                <w:szCs w:val="18"/>
              </w:rPr>
              <w:t xml:space="preserve"> and</w:t>
            </w:r>
            <w:r>
              <w:rPr>
                <w:rFonts w:asciiTheme="minorHAnsi" w:hAnsiTheme="minorHAnsi" w:cstheme="minorHAnsi"/>
                <w:sz w:val="18"/>
                <w:szCs w:val="18"/>
              </w:rPr>
              <w:t xml:space="preserve"> (b)</w:t>
            </w:r>
            <w:r w:rsidRPr="00834BCE">
              <w:rPr>
                <w:rFonts w:asciiTheme="minorHAnsi" w:hAnsiTheme="minorHAnsi" w:cstheme="minorHAnsi"/>
                <w:sz w:val="18"/>
                <w:szCs w:val="18"/>
              </w:rPr>
              <w:t xml:space="preserve"> the approved increases are consistent with the increase </w:t>
            </w:r>
            <w:r w:rsidRPr="00834BCE">
              <w:rPr>
                <w:rFonts w:asciiTheme="minorHAnsi" w:hAnsiTheme="minorHAnsi" w:cstheme="minorHAnsi"/>
                <w:sz w:val="18"/>
                <w:szCs w:val="18"/>
              </w:rPr>
              <w:lastRenderedPageBreak/>
              <w:t>trajectory in the Electricity Tariff Paper.</w:t>
            </w:r>
          </w:p>
        </w:tc>
      </w:tr>
      <w:tr w:rsidR="00133DF2" w:rsidRPr="00132421" w14:paraId="57B15106" w14:textId="77777777" w:rsidTr="00866A63">
        <w:trPr>
          <w:jc w:val="center"/>
        </w:trPr>
        <w:tc>
          <w:tcPr>
            <w:tcW w:w="1090" w:type="pct"/>
          </w:tcPr>
          <w:p w14:paraId="5C63B289" w14:textId="77777777" w:rsidR="00133DF2" w:rsidRPr="00132421" w:rsidRDefault="00133DF2" w:rsidP="00133DF2">
            <w:pPr>
              <w:rPr>
                <w:rFonts w:asciiTheme="minorHAnsi" w:eastAsia="Times New Roman" w:hAnsiTheme="minorHAnsi" w:cstheme="minorHAnsi"/>
                <w:b/>
                <w:bCs/>
                <w:sz w:val="18"/>
                <w:szCs w:val="18"/>
              </w:rPr>
            </w:pPr>
            <w:r>
              <w:rPr>
                <w:rFonts w:asciiTheme="minorHAnsi" w:eastAsia="Times New Roman" w:hAnsiTheme="minorHAnsi" w:cstheme="minorHAnsi"/>
                <w:b/>
                <w:bCs/>
                <w:sz w:val="18"/>
                <w:szCs w:val="18"/>
              </w:rPr>
              <w:lastRenderedPageBreak/>
              <w:t>DLI 2</w:t>
            </w:r>
            <w:r w:rsidRPr="005379D3">
              <w:rPr>
                <w:rFonts w:asciiTheme="minorHAnsi" w:eastAsia="Times New Roman" w:hAnsiTheme="minorHAnsi" w:cstheme="minorHAnsi"/>
                <w:b/>
                <w:bCs/>
                <w:sz w:val="18"/>
                <w:szCs w:val="18"/>
              </w:rPr>
              <w:t xml:space="preserve">: </w:t>
            </w:r>
            <w:r w:rsidRPr="00D74F15">
              <w:rPr>
                <w:rFonts w:asciiTheme="minorHAnsi" w:hAnsiTheme="minorHAnsi" w:cstheme="minorHAnsi"/>
                <w:b/>
                <w:sz w:val="18"/>
                <w:szCs w:val="18"/>
              </w:rPr>
              <w:t>Revision of</w:t>
            </w:r>
            <w:r>
              <w:rPr>
                <w:rFonts w:asciiTheme="minorHAnsi" w:hAnsiTheme="minorHAnsi" w:cstheme="minorHAnsi"/>
                <w:b/>
                <w:sz w:val="18"/>
                <w:szCs w:val="18"/>
              </w:rPr>
              <w:t xml:space="preserve"> the</w:t>
            </w:r>
            <w:r w:rsidRPr="00D74F15">
              <w:rPr>
                <w:rFonts w:asciiTheme="minorHAnsi" w:hAnsiTheme="minorHAnsi" w:cstheme="minorHAnsi"/>
                <w:b/>
                <w:sz w:val="18"/>
                <w:szCs w:val="18"/>
              </w:rPr>
              <w:t xml:space="preserve"> </w:t>
            </w:r>
            <w:r>
              <w:rPr>
                <w:rFonts w:asciiTheme="minorHAnsi" w:hAnsiTheme="minorHAnsi" w:cstheme="minorHAnsi"/>
                <w:b/>
                <w:sz w:val="18"/>
                <w:szCs w:val="18"/>
              </w:rPr>
              <w:t>S</w:t>
            </w:r>
            <w:r w:rsidRPr="00D74F15">
              <w:rPr>
                <w:rFonts w:asciiTheme="minorHAnsi" w:hAnsiTheme="minorHAnsi" w:cstheme="minorHAnsi"/>
                <w:b/>
                <w:sz w:val="18"/>
                <w:szCs w:val="18"/>
              </w:rPr>
              <w:t xml:space="preserve">ubsidiary </w:t>
            </w:r>
            <w:r>
              <w:rPr>
                <w:rFonts w:asciiTheme="minorHAnsi" w:hAnsiTheme="minorHAnsi" w:cstheme="minorHAnsi"/>
                <w:b/>
                <w:sz w:val="18"/>
                <w:szCs w:val="18"/>
              </w:rPr>
              <w:t>A</w:t>
            </w:r>
            <w:r w:rsidRPr="00D74F15">
              <w:rPr>
                <w:rFonts w:asciiTheme="minorHAnsi" w:hAnsiTheme="minorHAnsi" w:cstheme="minorHAnsi"/>
                <w:b/>
                <w:sz w:val="18"/>
                <w:szCs w:val="18"/>
              </w:rPr>
              <w:t xml:space="preserve">greements between </w:t>
            </w:r>
            <w:r>
              <w:rPr>
                <w:rFonts w:asciiTheme="minorHAnsi" w:hAnsiTheme="minorHAnsi" w:cstheme="minorHAnsi"/>
                <w:b/>
                <w:sz w:val="18"/>
                <w:szCs w:val="18"/>
              </w:rPr>
              <w:t xml:space="preserve">the </w:t>
            </w:r>
            <w:r w:rsidRPr="00D74F15">
              <w:rPr>
                <w:rFonts w:asciiTheme="minorHAnsi" w:hAnsiTheme="minorHAnsi" w:cstheme="minorHAnsi"/>
                <w:b/>
                <w:sz w:val="18"/>
                <w:szCs w:val="18"/>
              </w:rPr>
              <w:t>MOF and BT</w:t>
            </w:r>
          </w:p>
        </w:tc>
        <w:tc>
          <w:tcPr>
            <w:tcW w:w="1091" w:type="pct"/>
          </w:tcPr>
          <w:p w14:paraId="77C51F50" w14:textId="77777777" w:rsidR="00133DF2" w:rsidRPr="00132421" w:rsidRDefault="00133DF2" w:rsidP="00133DF2">
            <w:pPr>
              <w:rPr>
                <w:rFonts w:asciiTheme="minorHAnsi" w:hAnsiTheme="minorHAnsi" w:cstheme="minorHAnsi"/>
                <w:b/>
                <w:sz w:val="18"/>
                <w:szCs w:val="18"/>
              </w:rPr>
            </w:pPr>
          </w:p>
        </w:tc>
        <w:tc>
          <w:tcPr>
            <w:tcW w:w="531" w:type="pct"/>
          </w:tcPr>
          <w:p w14:paraId="604F2F54" w14:textId="77777777" w:rsidR="00133DF2" w:rsidRPr="00132421" w:rsidRDefault="00133DF2" w:rsidP="00133DF2">
            <w:pPr>
              <w:rPr>
                <w:rFonts w:asciiTheme="minorHAnsi" w:hAnsiTheme="minorHAnsi" w:cstheme="minorHAnsi"/>
                <w:b/>
                <w:sz w:val="18"/>
                <w:szCs w:val="18"/>
              </w:rPr>
            </w:pPr>
          </w:p>
        </w:tc>
        <w:tc>
          <w:tcPr>
            <w:tcW w:w="717" w:type="pct"/>
          </w:tcPr>
          <w:p w14:paraId="58D79FAD" w14:textId="77777777" w:rsidR="00133DF2" w:rsidRPr="00132421" w:rsidRDefault="00133DF2" w:rsidP="00133DF2">
            <w:pPr>
              <w:rPr>
                <w:rFonts w:asciiTheme="minorHAnsi" w:hAnsiTheme="minorHAnsi" w:cstheme="minorHAnsi"/>
                <w:b/>
                <w:sz w:val="18"/>
                <w:szCs w:val="18"/>
              </w:rPr>
            </w:pPr>
          </w:p>
        </w:tc>
        <w:tc>
          <w:tcPr>
            <w:tcW w:w="624" w:type="pct"/>
          </w:tcPr>
          <w:p w14:paraId="63159AD8" w14:textId="77777777" w:rsidR="00133DF2" w:rsidRPr="00132421" w:rsidRDefault="00133DF2" w:rsidP="00133DF2">
            <w:pPr>
              <w:rPr>
                <w:rFonts w:asciiTheme="minorHAnsi" w:hAnsiTheme="minorHAnsi" w:cstheme="minorHAnsi"/>
                <w:b/>
                <w:sz w:val="18"/>
                <w:szCs w:val="18"/>
              </w:rPr>
            </w:pPr>
          </w:p>
        </w:tc>
        <w:tc>
          <w:tcPr>
            <w:tcW w:w="947" w:type="pct"/>
          </w:tcPr>
          <w:p w14:paraId="4EE238FE" w14:textId="77777777" w:rsidR="00133DF2" w:rsidRPr="00132421" w:rsidRDefault="00133DF2" w:rsidP="00133DF2">
            <w:pPr>
              <w:rPr>
                <w:rFonts w:asciiTheme="minorHAnsi" w:hAnsiTheme="minorHAnsi" w:cstheme="minorHAnsi"/>
                <w:b/>
                <w:sz w:val="18"/>
                <w:szCs w:val="18"/>
              </w:rPr>
            </w:pPr>
          </w:p>
        </w:tc>
      </w:tr>
      <w:tr w:rsidR="007C4C70" w:rsidRPr="00C64702" w14:paraId="1C07A5C5" w14:textId="77777777" w:rsidTr="00866A63">
        <w:trPr>
          <w:jc w:val="center"/>
        </w:trPr>
        <w:tc>
          <w:tcPr>
            <w:tcW w:w="1090" w:type="pct"/>
          </w:tcPr>
          <w:p w14:paraId="487E2A79" w14:textId="6261C94E" w:rsidR="007C4C70" w:rsidRPr="007C4C70" w:rsidRDefault="007C4C70" w:rsidP="007C4C70">
            <w:pPr>
              <w:rPr>
                <w:rFonts w:asciiTheme="minorHAnsi" w:eastAsia="Times New Roman" w:hAnsiTheme="minorHAnsi" w:cstheme="minorHAnsi"/>
                <w:b/>
                <w:bCs/>
                <w:sz w:val="18"/>
                <w:szCs w:val="18"/>
              </w:rPr>
            </w:pPr>
            <w:r w:rsidRPr="007C4C70">
              <w:rPr>
                <w:rFonts w:asciiTheme="minorHAnsi" w:hAnsiTheme="minorHAnsi" w:cstheme="minorHAnsi"/>
                <w:sz w:val="18"/>
                <w:szCs w:val="18"/>
              </w:rPr>
              <w:t>DLR 2.1: By October 30, 2020, the Recipient converts into equity ownership of BT the outstanding principal amounts and interest payable by BT for ten (10) loans under Group 1 Subsidiary Agreements</w:t>
            </w:r>
          </w:p>
        </w:tc>
        <w:tc>
          <w:tcPr>
            <w:tcW w:w="1091" w:type="pct"/>
          </w:tcPr>
          <w:p w14:paraId="2B302EE3" w14:textId="77777777" w:rsidR="007C4C70" w:rsidRDefault="007C4C70" w:rsidP="007C4C70">
            <w:pPr>
              <w:rPr>
                <w:rFonts w:asciiTheme="minorHAnsi" w:hAnsiTheme="minorHAnsi" w:cstheme="minorHAnsi"/>
                <w:sz w:val="18"/>
                <w:szCs w:val="22"/>
              </w:rPr>
            </w:pPr>
            <w:r w:rsidRPr="001B1012">
              <w:rPr>
                <w:rFonts w:asciiTheme="minorHAnsi" w:hAnsiTheme="minorHAnsi" w:cstheme="minorHAnsi"/>
                <w:sz w:val="18"/>
                <w:szCs w:val="18"/>
              </w:rPr>
              <w:t>The target will be considered achieved if</w:t>
            </w:r>
            <w:r>
              <w:rPr>
                <w:rFonts w:asciiTheme="minorHAnsi" w:hAnsiTheme="minorHAnsi" w:cstheme="minorHAnsi"/>
                <w:sz w:val="18"/>
                <w:szCs w:val="18"/>
              </w:rPr>
              <w:t xml:space="preserve"> the Recipient converts into BT’s equity the outstanding principal amounts and interest payable under</w:t>
            </w:r>
            <w:r w:rsidRPr="001B1012">
              <w:rPr>
                <w:rFonts w:asciiTheme="minorHAnsi" w:hAnsiTheme="minorHAnsi" w:cstheme="minorHAnsi"/>
                <w:sz w:val="18"/>
                <w:szCs w:val="18"/>
              </w:rPr>
              <w:t xml:space="preserve"> any</w:t>
            </w:r>
            <w:r>
              <w:rPr>
                <w:rFonts w:asciiTheme="minorHAnsi" w:hAnsiTheme="minorHAnsi" w:cstheme="minorHAnsi"/>
                <w:sz w:val="18"/>
                <w:szCs w:val="18"/>
              </w:rPr>
              <w:t xml:space="preserve"> ten</w:t>
            </w:r>
            <w:r w:rsidRPr="001B1012">
              <w:rPr>
                <w:rFonts w:asciiTheme="minorHAnsi" w:hAnsiTheme="minorHAnsi" w:cstheme="minorHAnsi"/>
                <w:sz w:val="18"/>
                <w:szCs w:val="18"/>
              </w:rPr>
              <w:t xml:space="preserve"> </w:t>
            </w:r>
            <w:r>
              <w:rPr>
                <w:rFonts w:asciiTheme="minorHAnsi" w:hAnsiTheme="minorHAnsi" w:cstheme="minorHAnsi"/>
                <w:sz w:val="18"/>
                <w:szCs w:val="18"/>
              </w:rPr>
              <w:t>loans from Group 1 Subsidiary Agreements.</w:t>
            </w:r>
          </w:p>
          <w:p w14:paraId="72838684" w14:textId="77777777" w:rsidR="007C4C70" w:rsidRDefault="007C4C70" w:rsidP="007C4C70">
            <w:pPr>
              <w:rPr>
                <w:rFonts w:asciiTheme="minorHAnsi" w:hAnsiTheme="minorHAnsi" w:cstheme="minorHAnsi"/>
                <w:sz w:val="18"/>
                <w:szCs w:val="22"/>
              </w:rPr>
            </w:pPr>
          </w:p>
          <w:p w14:paraId="3ACC5DCE" w14:textId="77777777" w:rsidR="007C4C70" w:rsidRPr="00C64702" w:rsidRDefault="007C4C70" w:rsidP="007C4C70">
            <w:pPr>
              <w:rPr>
                <w:rFonts w:asciiTheme="minorHAnsi" w:hAnsiTheme="minorHAnsi" w:cstheme="minorHAnsi"/>
                <w:b/>
                <w:sz w:val="18"/>
                <w:szCs w:val="20"/>
              </w:rPr>
            </w:pPr>
          </w:p>
        </w:tc>
        <w:tc>
          <w:tcPr>
            <w:tcW w:w="531" w:type="pct"/>
          </w:tcPr>
          <w:p w14:paraId="4D377862" w14:textId="77777777" w:rsidR="007C4C70" w:rsidRPr="00E37668" w:rsidRDefault="007C4C70" w:rsidP="007C4C70">
            <w:pPr>
              <w:rPr>
                <w:rFonts w:asciiTheme="minorHAnsi" w:hAnsiTheme="minorHAnsi" w:cstheme="minorHAnsi"/>
                <w:sz w:val="18"/>
                <w:szCs w:val="20"/>
              </w:rPr>
            </w:pPr>
            <w:r w:rsidRPr="00E37668">
              <w:rPr>
                <w:rFonts w:asciiTheme="minorHAnsi" w:hAnsiTheme="minorHAnsi" w:cstheme="minorHAnsi"/>
                <w:sz w:val="18"/>
                <w:szCs w:val="20"/>
              </w:rPr>
              <w:t>No</w:t>
            </w:r>
          </w:p>
        </w:tc>
        <w:tc>
          <w:tcPr>
            <w:tcW w:w="717" w:type="pct"/>
          </w:tcPr>
          <w:p w14:paraId="64122B8E"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 xml:space="preserve">Data sources: Financial and accounting records from BT </w:t>
            </w:r>
            <w:r w:rsidRPr="007C2F61">
              <w:rPr>
                <w:rFonts w:asciiTheme="minorHAnsi" w:hAnsiTheme="minorHAnsi" w:cstheme="minorHAnsi"/>
                <w:sz w:val="18"/>
                <w:szCs w:val="18"/>
              </w:rPr>
              <w:t xml:space="preserve">confirming conversion of </w:t>
            </w:r>
            <w:r>
              <w:rPr>
                <w:rFonts w:asciiTheme="minorHAnsi" w:hAnsiTheme="minorHAnsi" w:cstheme="minorHAnsi"/>
                <w:sz w:val="18"/>
                <w:szCs w:val="18"/>
              </w:rPr>
              <w:t xml:space="preserve">the outstanding principal amounts of the </w:t>
            </w:r>
            <w:r w:rsidRPr="007C2F61">
              <w:rPr>
                <w:rFonts w:asciiTheme="minorHAnsi" w:hAnsiTheme="minorHAnsi" w:cstheme="minorHAnsi"/>
                <w:sz w:val="18"/>
                <w:szCs w:val="18"/>
              </w:rPr>
              <w:t>loans</w:t>
            </w:r>
            <w:r>
              <w:rPr>
                <w:rFonts w:asciiTheme="minorHAnsi" w:hAnsiTheme="minorHAnsi" w:cstheme="minorHAnsi"/>
                <w:sz w:val="18"/>
                <w:szCs w:val="18"/>
              </w:rPr>
              <w:t xml:space="preserve"> and the interest payable</w:t>
            </w:r>
            <w:r w:rsidRPr="007C2F61">
              <w:rPr>
                <w:rFonts w:asciiTheme="minorHAnsi" w:hAnsiTheme="minorHAnsi" w:cstheme="minorHAnsi"/>
                <w:sz w:val="18"/>
                <w:szCs w:val="18"/>
              </w:rPr>
              <w:t xml:space="preserve"> into equity, and other relevant documents.</w:t>
            </w:r>
          </w:p>
          <w:p w14:paraId="281DCC44" w14:textId="77777777" w:rsidR="007C4C70" w:rsidRPr="00C64702" w:rsidRDefault="007C4C70" w:rsidP="007C4C70">
            <w:pPr>
              <w:rPr>
                <w:rFonts w:asciiTheme="minorHAnsi" w:hAnsiTheme="minorHAnsi" w:cstheme="minorHAnsi"/>
                <w:b/>
                <w:sz w:val="18"/>
                <w:szCs w:val="20"/>
              </w:rPr>
            </w:pPr>
            <w:r w:rsidRPr="001B1012">
              <w:rPr>
                <w:rFonts w:asciiTheme="minorHAnsi" w:hAnsiTheme="minorHAnsi" w:cstheme="minorHAnsi"/>
                <w:sz w:val="18"/>
                <w:szCs w:val="18"/>
              </w:rPr>
              <w:t>Agency: BT</w:t>
            </w:r>
          </w:p>
        </w:tc>
        <w:tc>
          <w:tcPr>
            <w:tcW w:w="624" w:type="pct"/>
          </w:tcPr>
          <w:p w14:paraId="1A3212D7" w14:textId="77777777" w:rsidR="007C4C70" w:rsidRPr="00C64702" w:rsidRDefault="007C4C70" w:rsidP="007C4C70">
            <w:pPr>
              <w:rPr>
                <w:rFonts w:asciiTheme="minorHAnsi" w:hAnsiTheme="minorHAnsi" w:cstheme="minorHAnsi"/>
                <w:b/>
                <w:sz w:val="18"/>
                <w:szCs w:val="20"/>
              </w:rPr>
            </w:pPr>
            <w:r w:rsidRPr="001B1012">
              <w:rPr>
                <w:rFonts w:asciiTheme="minorHAnsi" w:hAnsiTheme="minorHAnsi" w:cstheme="minorHAnsi"/>
                <w:sz w:val="18"/>
                <w:szCs w:val="18"/>
              </w:rPr>
              <w:t xml:space="preserve">TOR </w:t>
            </w:r>
            <w:r>
              <w:rPr>
                <w:rFonts w:asciiTheme="minorHAnsi" w:hAnsiTheme="minorHAnsi" w:cstheme="minorHAnsi"/>
                <w:sz w:val="18"/>
                <w:szCs w:val="18"/>
              </w:rPr>
              <w:t>and a</w:t>
            </w:r>
            <w:r w:rsidRPr="001B1012">
              <w:rPr>
                <w:rFonts w:asciiTheme="minorHAnsi" w:hAnsiTheme="minorHAnsi" w:cstheme="minorHAnsi"/>
                <w:sz w:val="18"/>
                <w:szCs w:val="18"/>
              </w:rPr>
              <w:t xml:space="preserve">udit firm </w:t>
            </w:r>
            <w:r>
              <w:rPr>
                <w:rFonts w:asciiTheme="minorHAnsi" w:hAnsiTheme="minorHAnsi" w:cstheme="minorHAnsi"/>
                <w:sz w:val="18"/>
                <w:szCs w:val="18"/>
              </w:rPr>
              <w:t>and</w:t>
            </w:r>
            <w:r w:rsidRPr="001B1012">
              <w:rPr>
                <w:rFonts w:asciiTheme="minorHAnsi" w:hAnsiTheme="minorHAnsi" w:cstheme="minorHAnsi"/>
                <w:sz w:val="18"/>
                <w:szCs w:val="18"/>
              </w:rPr>
              <w:t xml:space="preserve"> acceptable to the Bank.</w:t>
            </w:r>
          </w:p>
        </w:tc>
        <w:tc>
          <w:tcPr>
            <w:tcW w:w="947" w:type="pct"/>
          </w:tcPr>
          <w:p w14:paraId="0E09762F" w14:textId="77777777" w:rsidR="007C4C70" w:rsidRPr="00C64702" w:rsidRDefault="007C4C70" w:rsidP="007C4C70">
            <w:pPr>
              <w:rPr>
                <w:rFonts w:asciiTheme="minorHAnsi" w:hAnsiTheme="minorHAnsi" w:cstheme="minorHAnsi"/>
                <w:b/>
                <w:sz w:val="18"/>
                <w:szCs w:val="20"/>
              </w:rPr>
            </w:pPr>
            <w:r w:rsidRPr="001B1012">
              <w:rPr>
                <w:rFonts w:asciiTheme="minorHAnsi" w:hAnsiTheme="minorHAnsi" w:cstheme="minorHAnsi"/>
                <w:sz w:val="18"/>
                <w:szCs w:val="18"/>
              </w:rPr>
              <w:t xml:space="preserve">Verification by IVA of the legal documents and relevant accounting and financial records and entries confirming conversion of </w:t>
            </w:r>
            <w:r>
              <w:rPr>
                <w:rFonts w:asciiTheme="minorHAnsi" w:hAnsiTheme="minorHAnsi" w:cstheme="minorHAnsi"/>
                <w:sz w:val="18"/>
                <w:szCs w:val="18"/>
              </w:rPr>
              <w:t xml:space="preserve">the outstanding principal amounts and interest payable for specified </w:t>
            </w:r>
            <w:r w:rsidRPr="001B1012">
              <w:rPr>
                <w:rFonts w:asciiTheme="minorHAnsi" w:hAnsiTheme="minorHAnsi" w:cstheme="minorHAnsi"/>
                <w:sz w:val="18"/>
                <w:szCs w:val="18"/>
              </w:rPr>
              <w:t>loans into equity.</w:t>
            </w:r>
          </w:p>
        </w:tc>
      </w:tr>
      <w:tr w:rsidR="007C4C70" w:rsidRPr="00132421" w14:paraId="20F7E661" w14:textId="77777777" w:rsidTr="00866A63">
        <w:trPr>
          <w:jc w:val="center"/>
        </w:trPr>
        <w:tc>
          <w:tcPr>
            <w:tcW w:w="1090" w:type="pct"/>
          </w:tcPr>
          <w:p w14:paraId="6C6F2EFC" w14:textId="5C749731" w:rsidR="007C4C70" w:rsidRPr="007C4C70" w:rsidRDefault="007C4C70" w:rsidP="007C4C70">
            <w:pPr>
              <w:pStyle w:val="BodyText"/>
              <w:ind w:left="0"/>
              <w:rPr>
                <w:rFonts w:asciiTheme="minorHAnsi" w:hAnsiTheme="minorHAnsi" w:cstheme="minorHAnsi"/>
                <w:b w:val="0"/>
                <w:sz w:val="18"/>
                <w:szCs w:val="18"/>
              </w:rPr>
            </w:pPr>
            <w:r w:rsidRPr="007C4C70">
              <w:rPr>
                <w:rFonts w:asciiTheme="minorHAnsi" w:hAnsiTheme="minorHAnsi" w:cstheme="minorHAnsi"/>
                <w:b w:val="0"/>
                <w:bCs w:val="0"/>
                <w:sz w:val="18"/>
                <w:szCs w:val="18"/>
              </w:rPr>
              <w:t>DLR 2.2: By October 30, 2020, the terms of any new financing received by BT from the MOF are aligned with the terms in the respective legal agreements between the Recipient and the financiers</w:t>
            </w:r>
          </w:p>
        </w:tc>
        <w:tc>
          <w:tcPr>
            <w:tcW w:w="1091" w:type="pct"/>
          </w:tcPr>
          <w:p w14:paraId="006A7123" w14:textId="77777777" w:rsidR="007C4C70" w:rsidRPr="00132421" w:rsidRDefault="007C4C70" w:rsidP="007C4C70">
            <w:pPr>
              <w:rPr>
                <w:rFonts w:asciiTheme="minorHAnsi" w:hAnsiTheme="minorHAnsi" w:cstheme="minorHAnsi"/>
                <w:b/>
                <w:sz w:val="18"/>
                <w:szCs w:val="18"/>
              </w:rPr>
            </w:pPr>
            <w:r w:rsidRPr="001B1012">
              <w:rPr>
                <w:rFonts w:asciiTheme="minorHAnsi" w:hAnsiTheme="minorHAnsi" w:cstheme="minorHAnsi"/>
                <w:sz w:val="18"/>
                <w:szCs w:val="18"/>
              </w:rPr>
              <w:t>The target will be considered achieved</w:t>
            </w:r>
            <w:r>
              <w:rPr>
                <w:rFonts w:asciiTheme="minorHAnsi" w:hAnsiTheme="minorHAnsi" w:cstheme="minorHAnsi"/>
                <w:sz w:val="18"/>
                <w:szCs w:val="18"/>
              </w:rPr>
              <w:t xml:space="preserve"> if </w:t>
            </w:r>
            <w:r>
              <w:rPr>
                <w:rFonts w:asciiTheme="minorHAnsi" w:hAnsiTheme="minorHAnsi" w:cstheme="minorHAnsi"/>
                <w:sz w:val="18"/>
                <w:szCs w:val="22"/>
              </w:rPr>
              <w:t xml:space="preserve">the terms of any new financing provided to BT by MOF are aligned with the terms in the respective legal documents between the Recipient and the financiers. </w:t>
            </w:r>
            <w:r>
              <w:rPr>
                <w:rFonts w:asciiTheme="minorHAnsi" w:hAnsiTheme="minorHAnsi" w:cstheme="minorHAnsi"/>
                <w:sz w:val="18"/>
                <w:szCs w:val="18"/>
              </w:rPr>
              <w:t>In case of loans received by the Recipient, up to 1% of mark-up by MOF would be considered acceptable.</w:t>
            </w:r>
          </w:p>
        </w:tc>
        <w:tc>
          <w:tcPr>
            <w:tcW w:w="531" w:type="pct"/>
          </w:tcPr>
          <w:p w14:paraId="0E82FB4C" w14:textId="77777777" w:rsidR="007C4C70" w:rsidRPr="00E37668" w:rsidRDefault="007C4C70" w:rsidP="007C4C70">
            <w:pPr>
              <w:rPr>
                <w:rFonts w:asciiTheme="minorHAnsi" w:hAnsiTheme="minorHAnsi" w:cstheme="minorHAnsi"/>
                <w:sz w:val="18"/>
                <w:szCs w:val="18"/>
              </w:rPr>
            </w:pPr>
            <w:r w:rsidRPr="00E37668">
              <w:rPr>
                <w:rFonts w:asciiTheme="minorHAnsi" w:hAnsiTheme="minorHAnsi" w:cstheme="minorHAnsi"/>
                <w:sz w:val="18"/>
                <w:szCs w:val="18"/>
              </w:rPr>
              <w:t>No</w:t>
            </w:r>
          </w:p>
        </w:tc>
        <w:tc>
          <w:tcPr>
            <w:tcW w:w="717" w:type="pct"/>
          </w:tcPr>
          <w:p w14:paraId="51EF5333"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Data sources:</w:t>
            </w:r>
            <w:r>
              <w:rPr>
                <w:rFonts w:asciiTheme="minorHAnsi" w:hAnsiTheme="minorHAnsi" w:cstheme="minorHAnsi"/>
                <w:sz w:val="18"/>
                <w:szCs w:val="18"/>
              </w:rPr>
              <w:t xml:space="preserve"> </w:t>
            </w:r>
            <w:proofErr w:type="gramStart"/>
            <w:r>
              <w:rPr>
                <w:rFonts w:asciiTheme="minorHAnsi" w:hAnsiTheme="minorHAnsi" w:cstheme="minorHAnsi"/>
                <w:sz w:val="18"/>
                <w:szCs w:val="18"/>
              </w:rPr>
              <w:t>New</w:t>
            </w:r>
            <w:proofErr w:type="gramEnd"/>
            <w:r>
              <w:rPr>
                <w:rFonts w:asciiTheme="minorHAnsi" w:hAnsiTheme="minorHAnsi" w:cstheme="minorHAnsi"/>
                <w:sz w:val="18"/>
                <w:szCs w:val="18"/>
              </w:rPr>
              <w:t xml:space="preserve"> </w:t>
            </w:r>
            <w:r w:rsidRPr="001B1012">
              <w:rPr>
                <w:rFonts w:asciiTheme="minorHAnsi" w:hAnsiTheme="minorHAnsi" w:cstheme="minorHAnsi"/>
                <w:sz w:val="18"/>
                <w:szCs w:val="18"/>
              </w:rPr>
              <w:t>subsidiary agreements</w:t>
            </w:r>
            <w:r>
              <w:rPr>
                <w:rFonts w:asciiTheme="minorHAnsi" w:hAnsiTheme="minorHAnsi" w:cstheme="minorHAnsi"/>
                <w:sz w:val="18"/>
                <w:szCs w:val="18"/>
              </w:rPr>
              <w:t xml:space="preserve"> between the MOF and BT</w:t>
            </w:r>
            <w:r w:rsidRPr="001B1012">
              <w:rPr>
                <w:rFonts w:asciiTheme="minorHAnsi" w:hAnsiTheme="minorHAnsi" w:cstheme="minorHAnsi"/>
                <w:sz w:val="18"/>
                <w:szCs w:val="18"/>
              </w:rPr>
              <w:t>.</w:t>
            </w:r>
          </w:p>
          <w:p w14:paraId="6557A088" w14:textId="77777777" w:rsidR="007C4C70" w:rsidRPr="00132421" w:rsidRDefault="007C4C70" w:rsidP="007C4C70">
            <w:pPr>
              <w:rPr>
                <w:rFonts w:asciiTheme="minorHAnsi" w:hAnsiTheme="minorHAnsi" w:cstheme="minorHAnsi"/>
                <w:b/>
                <w:sz w:val="18"/>
                <w:szCs w:val="18"/>
              </w:rPr>
            </w:pPr>
            <w:r w:rsidRPr="001B1012">
              <w:rPr>
                <w:rFonts w:asciiTheme="minorHAnsi" w:hAnsiTheme="minorHAnsi" w:cstheme="minorHAnsi"/>
                <w:sz w:val="18"/>
                <w:szCs w:val="18"/>
              </w:rPr>
              <w:t>Agency:</w:t>
            </w:r>
            <w:r>
              <w:rPr>
                <w:rFonts w:asciiTheme="minorHAnsi" w:hAnsiTheme="minorHAnsi" w:cstheme="minorHAnsi"/>
                <w:sz w:val="18"/>
                <w:szCs w:val="18"/>
              </w:rPr>
              <w:t xml:space="preserve"> BT</w:t>
            </w:r>
          </w:p>
        </w:tc>
        <w:tc>
          <w:tcPr>
            <w:tcW w:w="624" w:type="pct"/>
          </w:tcPr>
          <w:p w14:paraId="6DB67132" w14:textId="77777777" w:rsidR="007C4C70" w:rsidRPr="00132421" w:rsidRDefault="007C4C70" w:rsidP="007C4C70">
            <w:pPr>
              <w:rPr>
                <w:rFonts w:asciiTheme="minorHAnsi" w:hAnsiTheme="minorHAnsi" w:cstheme="minorHAnsi"/>
                <w:b/>
                <w:sz w:val="18"/>
                <w:szCs w:val="18"/>
              </w:rPr>
            </w:pPr>
            <w:r w:rsidRPr="001B1012">
              <w:rPr>
                <w:rFonts w:asciiTheme="minorHAnsi" w:hAnsiTheme="minorHAnsi" w:cstheme="minorHAnsi"/>
                <w:sz w:val="18"/>
                <w:szCs w:val="18"/>
              </w:rPr>
              <w:t xml:space="preserve">TOR </w:t>
            </w:r>
            <w:r>
              <w:rPr>
                <w:rFonts w:asciiTheme="minorHAnsi" w:hAnsiTheme="minorHAnsi" w:cstheme="minorHAnsi"/>
                <w:sz w:val="18"/>
                <w:szCs w:val="18"/>
              </w:rPr>
              <w:t>and a</w:t>
            </w:r>
            <w:r w:rsidRPr="001B1012">
              <w:rPr>
                <w:rFonts w:asciiTheme="minorHAnsi" w:hAnsiTheme="minorHAnsi" w:cstheme="minorHAnsi"/>
                <w:sz w:val="18"/>
                <w:szCs w:val="18"/>
              </w:rPr>
              <w:t xml:space="preserve">udit firm </w:t>
            </w:r>
            <w:r>
              <w:rPr>
                <w:rFonts w:asciiTheme="minorHAnsi" w:hAnsiTheme="minorHAnsi" w:cstheme="minorHAnsi"/>
                <w:sz w:val="18"/>
                <w:szCs w:val="18"/>
              </w:rPr>
              <w:t>and</w:t>
            </w:r>
            <w:r w:rsidRPr="001B1012">
              <w:rPr>
                <w:rFonts w:asciiTheme="minorHAnsi" w:hAnsiTheme="minorHAnsi" w:cstheme="minorHAnsi"/>
                <w:sz w:val="18"/>
                <w:szCs w:val="18"/>
              </w:rPr>
              <w:t xml:space="preserve"> acceptable to the Bank.</w:t>
            </w:r>
          </w:p>
        </w:tc>
        <w:tc>
          <w:tcPr>
            <w:tcW w:w="947" w:type="pct"/>
          </w:tcPr>
          <w:p w14:paraId="0B218BAB" w14:textId="77777777" w:rsidR="007C4C70" w:rsidRPr="00132421" w:rsidRDefault="007C4C70" w:rsidP="007C4C70">
            <w:pPr>
              <w:rPr>
                <w:rFonts w:asciiTheme="minorHAnsi" w:hAnsiTheme="minorHAnsi" w:cstheme="minorHAnsi"/>
                <w:b/>
                <w:sz w:val="18"/>
                <w:szCs w:val="18"/>
              </w:rPr>
            </w:pPr>
            <w:r w:rsidRPr="001B1012">
              <w:rPr>
                <w:rFonts w:asciiTheme="minorHAnsi" w:hAnsiTheme="minorHAnsi" w:cstheme="minorHAnsi"/>
                <w:sz w:val="18"/>
                <w:szCs w:val="18"/>
              </w:rPr>
              <w:t xml:space="preserve">Verification by IVA </w:t>
            </w:r>
            <w:r>
              <w:rPr>
                <w:rFonts w:asciiTheme="minorHAnsi" w:hAnsiTheme="minorHAnsi" w:cstheme="minorHAnsi"/>
                <w:sz w:val="18"/>
                <w:szCs w:val="18"/>
              </w:rPr>
              <w:t>to confirm whether the terms of new financing received by BT from MOF are aligned with the terms in the respective legal agreements between the Recipient and the financiers.</w:t>
            </w:r>
            <w:r w:rsidRPr="001B1012">
              <w:rPr>
                <w:rFonts w:asciiTheme="minorHAnsi" w:hAnsiTheme="minorHAnsi" w:cstheme="minorHAnsi"/>
                <w:sz w:val="18"/>
                <w:szCs w:val="18"/>
              </w:rPr>
              <w:t xml:space="preserve"> </w:t>
            </w:r>
          </w:p>
        </w:tc>
      </w:tr>
      <w:tr w:rsidR="007C4C70" w:rsidRPr="00132421" w14:paraId="796E2881" w14:textId="77777777" w:rsidTr="00866A63">
        <w:trPr>
          <w:jc w:val="center"/>
        </w:trPr>
        <w:tc>
          <w:tcPr>
            <w:tcW w:w="1090" w:type="pct"/>
          </w:tcPr>
          <w:p w14:paraId="614DE71C" w14:textId="7FD9152E" w:rsidR="007C4C70" w:rsidRPr="007C4C70" w:rsidRDefault="007C4C70" w:rsidP="007C4C70">
            <w:pPr>
              <w:rPr>
                <w:rFonts w:asciiTheme="minorHAnsi" w:eastAsia="Times New Roman" w:hAnsiTheme="minorHAnsi" w:cstheme="minorHAnsi"/>
                <w:b/>
                <w:bCs/>
                <w:sz w:val="18"/>
                <w:szCs w:val="18"/>
              </w:rPr>
            </w:pPr>
            <w:r w:rsidRPr="007C4C70">
              <w:rPr>
                <w:rFonts w:asciiTheme="minorHAnsi" w:hAnsiTheme="minorHAnsi" w:cstheme="minorHAnsi"/>
                <w:sz w:val="18"/>
                <w:szCs w:val="18"/>
              </w:rPr>
              <w:t>DLR 2.3: By December 31, 2020, the Recipient converts into equity ownership of BT the outstanding principal amounts and interest payable under additional four (4) Group 1 Subsidiary Agreements</w:t>
            </w:r>
          </w:p>
        </w:tc>
        <w:tc>
          <w:tcPr>
            <w:tcW w:w="1091" w:type="pct"/>
          </w:tcPr>
          <w:p w14:paraId="04A80F24" w14:textId="77777777" w:rsidR="007C4C70" w:rsidRDefault="007C4C70" w:rsidP="007C4C70">
            <w:pPr>
              <w:rPr>
                <w:rFonts w:asciiTheme="minorHAnsi" w:hAnsiTheme="minorHAnsi" w:cstheme="minorHAnsi"/>
                <w:sz w:val="18"/>
                <w:szCs w:val="22"/>
              </w:rPr>
            </w:pPr>
            <w:r w:rsidRPr="001B1012">
              <w:rPr>
                <w:rFonts w:asciiTheme="minorHAnsi" w:hAnsiTheme="minorHAnsi" w:cstheme="minorHAnsi"/>
                <w:sz w:val="18"/>
                <w:szCs w:val="18"/>
              </w:rPr>
              <w:t>The target will be considered achieved if</w:t>
            </w:r>
            <w:r>
              <w:rPr>
                <w:rFonts w:asciiTheme="minorHAnsi" w:hAnsiTheme="minorHAnsi" w:cstheme="minorHAnsi"/>
                <w:sz w:val="18"/>
                <w:szCs w:val="18"/>
              </w:rPr>
              <w:t xml:space="preserve"> the Recipient converts into BT’s equity the outstanding principal amounts and interest payable under</w:t>
            </w:r>
            <w:r w:rsidRPr="001B1012">
              <w:rPr>
                <w:rFonts w:asciiTheme="minorHAnsi" w:hAnsiTheme="minorHAnsi" w:cstheme="minorHAnsi"/>
                <w:sz w:val="18"/>
                <w:szCs w:val="18"/>
              </w:rPr>
              <w:t xml:space="preserve"> </w:t>
            </w:r>
            <w:r>
              <w:rPr>
                <w:rFonts w:asciiTheme="minorHAnsi" w:hAnsiTheme="minorHAnsi" w:cstheme="minorHAnsi"/>
                <w:sz w:val="18"/>
                <w:szCs w:val="18"/>
              </w:rPr>
              <w:t>additional three</w:t>
            </w:r>
            <w:r w:rsidRPr="001B1012">
              <w:rPr>
                <w:rFonts w:asciiTheme="minorHAnsi" w:hAnsiTheme="minorHAnsi" w:cstheme="minorHAnsi"/>
                <w:sz w:val="18"/>
                <w:szCs w:val="18"/>
              </w:rPr>
              <w:t xml:space="preserve"> </w:t>
            </w:r>
            <w:r>
              <w:rPr>
                <w:rFonts w:asciiTheme="minorHAnsi" w:hAnsiTheme="minorHAnsi" w:cstheme="minorHAnsi"/>
                <w:sz w:val="18"/>
                <w:szCs w:val="18"/>
              </w:rPr>
              <w:t>loans from Group 1 Subsidiary Agreements.</w:t>
            </w:r>
          </w:p>
          <w:p w14:paraId="3E59961F" w14:textId="77777777" w:rsidR="007C4C70" w:rsidRDefault="007C4C70" w:rsidP="007C4C70">
            <w:pPr>
              <w:rPr>
                <w:rFonts w:asciiTheme="minorHAnsi" w:hAnsiTheme="minorHAnsi" w:cstheme="minorHAnsi"/>
                <w:sz w:val="18"/>
                <w:szCs w:val="22"/>
              </w:rPr>
            </w:pPr>
          </w:p>
          <w:p w14:paraId="0DE0E607" w14:textId="77777777" w:rsidR="007C4C70" w:rsidRPr="00132421" w:rsidRDefault="007C4C70" w:rsidP="007C4C70">
            <w:pPr>
              <w:rPr>
                <w:rFonts w:asciiTheme="minorHAnsi" w:hAnsiTheme="minorHAnsi" w:cstheme="minorHAnsi"/>
                <w:b/>
                <w:sz w:val="18"/>
                <w:szCs w:val="18"/>
              </w:rPr>
            </w:pPr>
          </w:p>
        </w:tc>
        <w:tc>
          <w:tcPr>
            <w:tcW w:w="531" w:type="pct"/>
          </w:tcPr>
          <w:p w14:paraId="07E547F4" w14:textId="77777777" w:rsidR="007C4C70" w:rsidRPr="00E37668" w:rsidRDefault="007C4C70" w:rsidP="007C4C70">
            <w:pPr>
              <w:rPr>
                <w:rFonts w:asciiTheme="minorHAnsi" w:hAnsiTheme="minorHAnsi" w:cstheme="minorHAnsi"/>
                <w:sz w:val="18"/>
                <w:szCs w:val="18"/>
              </w:rPr>
            </w:pPr>
            <w:r w:rsidRPr="00E37668">
              <w:rPr>
                <w:rFonts w:asciiTheme="minorHAnsi" w:hAnsiTheme="minorHAnsi" w:cstheme="minorHAnsi"/>
                <w:sz w:val="18"/>
                <w:szCs w:val="20"/>
              </w:rPr>
              <w:t>No</w:t>
            </w:r>
          </w:p>
        </w:tc>
        <w:tc>
          <w:tcPr>
            <w:tcW w:w="717" w:type="pct"/>
          </w:tcPr>
          <w:p w14:paraId="020611F8"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 xml:space="preserve">Data sources: Financial and accounting records from BT </w:t>
            </w:r>
            <w:r w:rsidRPr="007C2F61">
              <w:rPr>
                <w:rFonts w:asciiTheme="minorHAnsi" w:hAnsiTheme="minorHAnsi" w:cstheme="minorHAnsi"/>
                <w:sz w:val="18"/>
                <w:szCs w:val="18"/>
              </w:rPr>
              <w:t xml:space="preserve">confirming conversion of </w:t>
            </w:r>
            <w:r>
              <w:rPr>
                <w:rFonts w:asciiTheme="minorHAnsi" w:hAnsiTheme="minorHAnsi" w:cstheme="minorHAnsi"/>
                <w:sz w:val="18"/>
                <w:szCs w:val="18"/>
              </w:rPr>
              <w:t xml:space="preserve">the outstanding principal amounts of the </w:t>
            </w:r>
            <w:r w:rsidRPr="007C2F61">
              <w:rPr>
                <w:rFonts w:asciiTheme="minorHAnsi" w:hAnsiTheme="minorHAnsi" w:cstheme="minorHAnsi"/>
                <w:sz w:val="18"/>
                <w:szCs w:val="18"/>
              </w:rPr>
              <w:t>loans</w:t>
            </w:r>
            <w:r>
              <w:rPr>
                <w:rFonts w:asciiTheme="minorHAnsi" w:hAnsiTheme="minorHAnsi" w:cstheme="minorHAnsi"/>
                <w:sz w:val="18"/>
                <w:szCs w:val="18"/>
              </w:rPr>
              <w:t xml:space="preserve"> and the interest payable</w:t>
            </w:r>
            <w:r w:rsidRPr="007C2F61">
              <w:rPr>
                <w:rFonts w:asciiTheme="minorHAnsi" w:hAnsiTheme="minorHAnsi" w:cstheme="minorHAnsi"/>
                <w:sz w:val="18"/>
                <w:szCs w:val="18"/>
              </w:rPr>
              <w:t xml:space="preserve"> into equity, and other relevant documents.</w:t>
            </w:r>
          </w:p>
          <w:p w14:paraId="3DEBFEA8" w14:textId="77777777" w:rsidR="007C4C70" w:rsidRPr="00132421" w:rsidRDefault="007C4C70" w:rsidP="007C4C70">
            <w:pPr>
              <w:rPr>
                <w:rFonts w:asciiTheme="minorHAnsi" w:hAnsiTheme="minorHAnsi" w:cstheme="minorHAnsi"/>
                <w:b/>
                <w:sz w:val="18"/>
                <w:szCs w:val="18"/>
              </w:rPr>
            </w:pPr>
            <w:r w:rsidRPr="001B1012">
              <w:rPr>
                <w:rFonts w:asciiTheme="minorHAnsi" w:hAnsiTheme="minorHAnsi" w:cstheme="minorHAnsi"/>
                <w:sz w:val="18"/>
                <w:szCs w:val="18"/>
              </w:rPr>
              <w:t>Agency: BT</w:t>
            </w:r>
          </w:p>
        </w:tc>
        <w:tc>
          <w:tcPr>
            <w:tcW w:w="624" w:type="pct"/>
          </w:tcPr>
          <w:p w14:paraId="21954947" w14:textId="77777777" w:rsidR="007C4C70" w:rsidRPr="00132421" w:rsidRDefault="007C4C70" w:rsidP="007C4C70">
            <w:pPr>
              <w:rPr>
                <w:rFonts w:asciiTheme="minorHAnsi" w:hAnsiTheme="minorHAnsi" w:cstheme="minorHAnsi"/>
                <w:b/>
                <w:sz w:val="18"/>
                <w:szCs w:val="18"/>
              </w:rPr>
            </w:pPr>
            <w:r w:rsidRPr="001B1012">
              <w:rPr>
                <w:rFonts w:asciiTheme="minorHAnsi" w:hAnsiTheme="minorHAnsi" w:cstheme="minorHAnsi"/>
                <w:sz w:val="18"/>
                <w:szCs w:val="18"/>
              </w:rPr>
              <w:t xml:space="preserve">TOR </w:t>
            </w:r>
            <w:r>
              <w:rPr>
                <w:rFonts w:asciiTheme="minorHAnsi" w:hAnsiTheme="minorHAnsi" w:cstheme="minorHAnsi"/>
                <w:sz w:val="18"/>
                <w:szCs w:val="18"/>
              </w:rPr>
              <w:t>and a</w:t>
            </w:r>
            <w:r w:rsidRPr="001B1012">
              <w:rPr>
                <w:rFonts w:asciiTheme="minorHAnsi" w:hAnsiTheme="minorHAnsi" w:cstheme="minorHAnsi"/>
                <w:sz w:val="18"/>
                <w:szCs w:val="18"/>
              </w:rPr>
              <w:t xml:space="preserve">udit firm </w:t>
            </w:r>
            <w:r>
              <w:rPr>
                <w:rFonts w:asciiTheme="minorHAnsi" w:hAnsiTheme="minorHAnsi" w:cstheme="minorHAnsi"/>
                <w:sz w:val="18"/>
                <w:szCs w:val="18"/>
              </w:rPr>
              <w:t>and</w:t>
            </w:r>
            <w:r w:rsidRPr="001B1012">
              <w:rPr>
                <w:rFonts w:asciiTheme="minorHAnsi" w:hAnsiTheme="minorHAnsi" w:cstheme="minorHAnsi"/>
                <w:sz w:val="18"/>
                <w:szCs w:val="18"/>
              </w:rPr>
              <w:t xml:space="preserve"> acceptable to the Bank.</w:t>
            </w:r>
          </w:p>
        </w:tc>
        <w:tc>
          <w:tcPr>
            <w:tcW w:w="947" w:type="pct"/>
          </w:tcPr>
          <w:p w14:paraId="7728F5E4" w14:textId="77777777" w:rsidR="007C4C70" w:rsidRPr="00132421" w:rsidRDefault="007C4C70" w:rsidP="007C4C70">
            <w:pPr>
              <w:rPr>
                <w:rFonts w:asciiTheme="minorHAnsi" w:hAnsiTheme="minorHAnsi" w:cstheme="minorHAnsi"/>
                <w:b/>
                <w:sz w:val="18"/>
                <w:szCs w:val="18"/>
              </w:rPr>
            </w:pPr>
            <w:r w:rsidRPr="001B1012">
              <w:rPr>
                <w:rFonts w:asciiTheme="minorHAnsi" w:hAnsiTheme="minorHAnsi" w:cstheme="minorHAnsi"/>
                <w:sz w:val="18"/>
                <w:szCs w:val="18"/>
              </w:rPr>
              <w:t xml:space="preserve">Verification by IVA of the legal documents and relevant accounting and financial records and entries confirming conversion of </w:t>
            </w:r>
            <w:r>
              <w:rPr>
                <w:rFonts w:asciiTheme="minorHAnsi" w:hAnsiTheme="minorHAnsi" w:cstheme="minorHAnsi"/>
                <w:sz w:val="18"/>
                <w:szCs w:val="18"/>
              </w:rPr>
              <w:t xml:space="preserve">the outstanding principal amounts and interest payable for specified </w:t>
            </w:r>
            <w:r w:rsidRPr="001B1012">
              <w:rPr>
                <w:rFonts w:asciiTheme="minorHAnsi" w:hAnsiTheme="minorHAnsi" w:cstheme="minorHAnsi"/>
                <w:sz w:val="18"/>
                <w:szCs w:val="18"/>
              </w:rPr>
              <w:t>loans into equity.</w:t>
            </w:r>
          </w:p>
        </w:tc>
      </w:tr>
      <w:tr w:rsidR="007C4C70" w:rsidRPr="00132421" w14:paraId="4B1BB729" w14:textId="77777777" w:rsidTr="00866A63">
        <w:trPr>
          <w:jc w:val="center"/>
        </w:trPr>
        <w:tc>
          <w:tcPr>
            <w:tcW w:w="1090" w:type="pct"/>
          </w:tcPr>
          <w:p w14:paraId="46E1965E" w14:textId="460E7282" w:rsidR="007C4C70" w:rsidRPr="007C4C70" w:rsidRDefault="007C4C70" w:rsidP="007C4C70">
            <w:pPr>
              <w:rPr>
                <w:rFonts w:asciiTheme="minorHAnsi" w:eastAsia="Times New Roman" w:hAnsiTheme="minorHAnsi" w:cstheme="minorHAnsi"/>
                <w:b/>
                <w:bCs/>
                <w:sz w:val="18"/>
                <w:szCs w:val="18"/>
              </w:rPr>
            </w:pPr>
            <w:r w:rsidRPr="007C4C70">
              <w:rPr>
                <w:rFonts w:asciiTheme="minorHAnsi" w:hAnsiTheme="minorHAnsi" w:cstheme="minorHAnsi"/>
                <w:sz w:val="18"/>
                <w:szCs w:val="18"/>
              </w:rPr>
              <w:t xml:space="preserve">DLR 2.4: By December 31, 2020, the BT Supervisory Board adopts a formal decision to prohibit BT from receiving </w:t>
            </w:r>
            <w:r w:rsidRPr="007C4C70">
              <w:rPr>
                <w:rFonts w:asciiTheme="minorHAnsi" w:hAnsiTheme="minorHAnsi" w:cstheme="minorHAnsi"/>
                <w:sz w:val="18"/>
                <w:szCs w:val="18"/>
              </w:rPr>
              <w:lastRenderedPageBreak/>
              <w:t>new financing from the MOF, unless the terms of such financing are aligned with the terms reflected in the legal documents between the Recipient and the financiers</w:t>
            </w:r>
          </w:p>
        </w:tc>
        <w:tc>
          <w:tcPr>
            <w:tcW w:w="1091" w:type="pct"/>
          </w:tcPr>
          <w:p w14:paraId="57527E19" w14:textId="77777777" w:rsidR="007C4C70" w:rsidRPr="00132421" w:rsidRDefault="007C4C70" w:rsidP="007C4C70">
            <w:pPr>
              <w:rPr>
                <w:rFonts w:asciiTheme="minorHAnsi" w:hAnsiTheme="minorHAnsi" w:cstheme="minorHAnsi"/>
                <w:b/>
                <w:sz w:val="18"/>
                <w:szCs w:val="18"/>
              </w:rPr>
            </w:pPr>
            <w:r w:rsidRPr="001B1012">
              <w:rPr>
                <w:rFonts w:asciiTheme="minorHAnsi" w:hAnsiTheme="minorHAnsi" w:cstheme="minorHAnsi"/>
                <w:sz w:val="18"/>
                <w:szCs w:val="18"/>
              </w:rPr>
              <w:lastRenderedPageBreak/>
              <w:t>The target will be considered achieved if</w:t>
            </w:r>
            <w:r>
              <w:rPr>
                <w:rFonts w:asciiTheme="minorHAnsi" w:hAnsiTheme="minorHAnsi" w:cstheme="minorHAnsi"/>
                <w:sz w:val="18"/>
                <w:szCs w:val="18"/>
              </w:rPr>
              <w:t xml:space="preserve"> the Supervisory Board of BT adopts decisions/resolution prohibiting receipt </w:t>
            </w:r>
            <w:r>
              <w:rPr>
                <w:rFonts w:asciiTheme="minorHAnsi" w:hAnsiTheme="minorHAnsi" w:cstheme="minorHAnsi"/>
                <w:sz w:val="18"/>
                <w:szCs w:val="18"/>
              </w:rPr>
              <w:lastRenderedPageBreak/>
              <w:t>of financial resources under terms, which are not aligned with those in the respective legal agreements between the Recipient and the financiers.</w:t>
            </w:r>
          </w:p>
        </w:tc>
        <w:tc>
          <w:tcPr>
            <w:tcW w:w="531" w:type="pct"/>
          </w:tcPr>
          <w:p w14:paraId="12BC58C8" w14:textId="77777777" w:rsidR="007C4C70" w:rsidRPr="00C3223C" w:rsidRDefault="007C4C70" w:rsidP="007C4C70">
            <w:pPr>
              <w:rPr>
                <w:rFonts w:asciiTheme="minorHAnsi" w:hAnsiTheme="minorHAnsi" w:cstheme="minorHAnsi"/>
                <w:sz w:val="18"/>
                <w:szCs w:val="18"/>
              </w:rPr>
            </w:pPr>
            <w:r w:rsidRPr="00C3223C">
              <w:rPr>
                <w:rFonts w:asciiTheme="minorHAnsi" w:hAnsiTheme="minorHAnsi" w:cstheme="minorHAnsi"/>
                <w:sz w:val="18"/>
                <w:szCs w:val="18"/>
              </w:rPr>
              <w:lastRenderedPageBreak/>
              <w:t>No</w:t>
            </w:r>
          </w:p>
        </w:tc>
        <w:tc>
          <w:tcPr>
            <w:tcW w:w="717" w:type="pct"/>
          </w:tcPr>
          <w:p w14:paraId="5EA6A002"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 xml:space="preserve">Data sources: </w:t>
            </w:r>
            <w:r>
              <w:rPr>
                <w:rFonts w:asciiTheme="minorHAnsi" w:hAnsiTheme="minorHAnsi" w:cstheme="minorHAnsi"/>
                <w:sz w:val="18"/>
                <w:szCs w:val="18"/>
              </w:rPr>
              <w:t xml:space="preserve">Copy of the resolution/decision of the Supervisory Board </w:t>
            </w:r>
            <w:r>
              <w:rPr>
                <w:rFonts w:asciiTheme="minorHAnsi" w:hAnsiTheme="minorHAnsi" w:cstheme="minorHAnsi"/>
                <w:sz w:val="18"/>
                <w:szCs w:val="18"/>
              </w:rPr>
              <w:lastRenderedPageBreak/>
              <w:t>of BT.</w:t>
            </w:r>
          </w:p>
          <w:p w14:paraId="39556523" w14:textId="77777777" w:rsidR="007C4C70" w:rsidRPr="00132421" w:rsidRDefault="007C4C70" w:rsidP="007C4C70">
            <w:pPr>
              <w:rPr>
                <w:rFonts w:asciiTheme="minorHAnsi" w:hAnsiTheme="minorHAnsi" w:cstheme="minorHAnsi"/>
                <w:b/>
                <w:sz w:val="18"/>
                <w:szCs w:val="18"/>
              </w:rPr>
            </w:pPr>
            <w:r w:rsidRPr="001B1012">
              <w:rPr>
                <w:rFonts w:asciiTheme="minorHAnsi" w:hAnsiTheme="minorHAnsi" w:cstheme="minorHAnsi"/>
                <w:sz w:val="18"/>
                <w:szCs w:val="18"/>
              </w:rPr>
              <w:t>Agency:</w:t>
            </w:r>
            <w:r>
              <w:rPr>
                <w:rFonts w:asciiTheme="minorHAnsi" w:hAnsiTheme="minorHAnsi" w:cstheme="minorHAnsi"/>
                <w:sz w:val="18"/>
                <w:szCs w:val="18"/>
              </w:rPr>
              <w:t xml:space="preserve"> BT and MEWR</w:t>
            </w:r>
          </w:p>
        </w:tc>
        <w:tc>
          <w:tcPr>
            <w:tcW w:w="624" w:type="pct"/>
          </w:tcPr>
          <w:p w14:paraId="1C15C596" w14:textId="77777777" w:rsidR="007C4C70" w:rsidRPr="00132421" w:rsidRDefault="007C4C70" w:rsidP="007C4C70">
            <w:pPr>
              <w:rPr>
                <w:rFonts w:asciiTheme="minorHAnsi" w:hAnsiTheme="minorHAnsi" w:cstheme="minorHAnsi"/>
                <w:b/>
                <w:sz w:val="18"/>
                <w:szCs w:val="18"/>
              </w:rPr>
            </w:pPr>
            <w:r w:rsidRPr="001B1012">
              <w:rPr>
                <w:rFonts w:asciiTheme="minorHAnsi" w:hAnsiTheme="minorHAnsi" w:cstheme="minorHAnsi"/>
                <w:sz w:val="18"/>
                <w:szCs w:val="18"/>
              </w:rPr>
              <w:lastRenderedPageBreak/>
              <w:t xml:space="preserve">TOR </w:t>
            </w:r>
            <w:r>
              <w:rPr>
                <w:rFonts w:asciiTheme="minorHAnsi" w:hAnsiTheme="minorHAnsi" w:cstheme="minorHAnsi"/>
                <w:sz w:val="18"/>
                <w:szCs w:val="18"/>
              </w:rPr>
              <w:t>and a</w:t>
            </w:r>
            <w:r w:rsidRPr="001B1012">
              <w:rPr>
                <w:rFonts w:asciiTheme="minorHAnsi" w:hAnsiTheme="minorHAnsi" w:cstheme="minorHAnsi"/>
                <w:sz w:val="18"/>
                <w:szCs w:val="18"/>
              </w:rPr>
              <w:t xml:space="preserve">udit firm </w:t>
            </w:r>
            <w:r>
              <w:rPr>
                <w:rFonts w:asciiTheme="minorHAnsi" w:hAnsiTheme="minorHAnsi" w:cstheme="minorHAnsi"/>
                <w:sz w:val="18"/>
                <w:szCs w:val="18"/>
              </w:rPr>
              <w:t>and</w:t>
            </w:r>
            <w:r w:rsidRPr="001B1012">
              <w:rPr>
                <w:rFonts w:asciiTheme="minorHAnsi" w:hAnsiTheme="minorHAnsi" w:cstheme="minorHAnsi"/>
                <w:sz w:val="18"/>
                <w:szCs w:val="18"/>
              </w:rPr>
              <w:t xml:space="preserve"> acceptable to the Bank.</w:t>
            </w:r>
          </w:p>
        </w:tc>
        <w:tc>
          <w:tcPr>
            <w:tcW w:w="947" w:type="pct"/>
          </w:tcPr>
          <w:p w14:paraId="0A49C51E" w14:textId="77777777" w:rsidR="007C4C70" w:rsidRPr="00132421" w:rsidRDefault="007C4C70" w:rsidP="007C4C70">
            <w:pPr>
              <w:rPr>
                <w:rFonts w:asciiTheme="minorHAnsi" w:hAnsiTheme="minorHAnsi" w:cstheme="minorHAnsi"/>
                <w:b/>
                <w:sz w:val="18"/>
                <w:szCs w:val="18"/>
              </w:rPr>
            </w:pPr>
            <w:r w:rsidRPr="001B1012">
              <w:rPr>
                <w:rFonts w:asciiTheme="minorHAnsi" w:hAnsiTheme="minorHAnsi" w:cstheme="minorHAnsi"/>
                <w:sz w:val="18"/>
                <w:szCs w:val="18"/>
              </w:rPr>
              <w:t xml:space="preserve">Verification by IVA of </w:t>
            </w:r>
            <w:r>
              <w:rPr>
                <w:rFonts w:asciiTheme="minorHAnsi" w:hAnsiTheme="minorHAnsi" w:cstheme="minorHAnsi"/>
                <w:sz w:val="18"/>
                <w:szCs w:val="18"/>
              </w:rPr>
              <w:t>BT</w:t>
            </w:r>
            <w:r w:rsidRPr="00743CDE">
              <w:rPr>
                <w:rFonts w:asciiTheme="minorHAnsi" w:hAnsiTheme="minorHAnsi" w:cstheme="minorHAnsi"/>
                <w:sz w:val="18"/>
                <w:szCs w:val="20"/>
              </w:rPr>
              <w:t>’s</w:t>
            </w:r>
            <w:r>
              <w:rPr>
                <w:rFonts w:asciiTheme="minorHAnsi" w:hAnsiTheme="minorHAnsi" w:cstheme="minorHAnsi"/>
                <w:sz w:val="18"/>
                <w:szCs w:val="20"/>
              </w:rPr>
              <w:t xml:space="preserve"> Supervisory Board</w:t>
            </w:r>
            <w:r w:rsidRPr="00743CDE">
              <w:rPr>
                <w:rFonts w:asciiTheme="minorHAnsi" w:hAnsiTheme="minorHAnsi" w:cstheme="minorHAnsi"/>
                <w:sz w:val="18"/>
                <w:szCs w:val="20"/>
              </w:rPr>
              <w:t xml:space="preserve"> decision</w:t>
            </w:r>
            <w:r w:rsidRPr="001B1012">
              <w:rPr>
                <w:rFonts w:asciiTheme="minorHAnsi" w:hAnsiTheme="minorHAnsi" w:cstheme="minorHAnsi"/>
                <w:sz w:val="18"/>
                <w:szCs w:val="18"/>
              </w:rPr>
              <w:t xml:space="preserve"> confirming</w:t>
            </w:r>
            <w:r>
              <w:rPr>
                <w:rFonts w:asciiTheme="minorHAnsi" w:hAnsiTheme="minorHAnsi" w:cstheme="minorHAnsi"/>
                <w:sz w:val="18"/>
                <w:szCs w:val="18"/>
              </w:rPr>
              <w:t>: (a)</w:t>
            </w:r>
            <w:r w:rsidRPr="001B1012">
              <w:rPr>
                <w:rFonts w:asciiTheme="minorHAnsi" w:hAnsiTheme="minorHAnsi" w:cstheme="minorHAnsi"/>
                <w:sz w:val="18"/>
                <w:szCs w:val="18"/>
              </w:rPr>
              <w:t xml:space="preserve"> </w:t>
            </w:r>
            <w:r>
              <w:rPr>
                <w:rFonts w:asciiTheme="minorHAnsi" w:hAnsiTheme="minorHAnsi" w:cstheme="minorHAnsi"/>
                <w:sz w:val="18"/>
                <w:szCs w:val="18"/>
              </w:rPr>
              <w:t xml:space="preserve">that it is </w:t>
            </w:r>
            <w:r>
              <w:rPr>
                <w:rFonts w:asciiTheme="minorHAnsi" w:hAnsiTheme="minorHAnsi" w:cstheme="minorHAnsi"/>
                <w:sz w:val="18"/>
                <w:szCs w:val="18"/>
              </w:rPr>
              <w:lastRenderedPageBreak/>
              <w:t>unambiguous and clearly prohibits such borrowing; and (b) it</w:t>
            </w:r>
            <w:r w:rsidRPr="00743CDE">
              <w:rPr>
                <w:rFonts w:asciiTheme="minorHAnsi" w:hAnsiTheme="minorHAnsi" w:cstheme="minorHAnsi"/>
                <w:sz w:val="18"/>
                <w:szCs w:val="20"/>
              </w:rPr>
              <w:t xml:space="preserve"> is c</w:t>
            </w:r>
            <w:r>
              <w:rPr>
                <w:rFonts w:asciiTheme="minorHAnsi" w:hAnsiTheme="minorHAnsi" w:cstheme="minorHAnsi"/>
                <w:sz w:val="18"/>
                <w:szCs w:val="20"/>
              </w:rPr>
              <w:t>ompliant</w:t>
            </w:r>
            <w:r w:rsidRPr="00743CDE">
              <w:rPr>
                <w:rFonts w:asciiTheme="minorHAnsi" w:hAnsiTheme="minorHAnsi" w:cstheme="minorHAnsi"/>
                <w:sz w:val="18"/>
                <w:szCs w:val="20"/>
              </w:rPr>
              <w:t xml:space="preserve"> with </w:t>
            </w:r>
            <w:r>
              <w:rPr>
                <w:rFonts w:asciiTheme="minorHAnsi" w:hAnsiTheme="minorHAnsi" w:cstheme="minorHAnsi"/>
                <w:sz w:val="18"/>
                <w:szCs w:val="20"/>
              </w:rPr>
              <w:t>the</w:t>
            </w:r>
            <w:r w:rsidRPr="00743CDE">
              <w:rPr>
                <w:rFonts w:asciiTheme="minorHAnsi" w:hAnsiTheme="minorHAnsi" w:cstheme="minorHAnsi"/>
                <w:sz w:val="18"/>
                <w:szCs w:val="20"/>
              </w:rPr>
              <w:t xml:space="preserve"> legislation</w:t>
            </w:r>
            <w:r>
              <w:rPr>
                <w:rFonts w:asciiTheme="minorHAnsi" w:hAnsiTheme="minorHAnsi" w:cstheme="minorHAnsi"/>
                <w:sz w:val="18"/>
                <w:szCs w:val="20"/>
              </w:rPr>
              <w:t xml:space="preserve"> of the Republic of Tajikistan</w:t>
            </w:r>
            <w:r w:rsidRPr="00743CDE">
              <w:rPr>
                <w:rFonts w:asciiTheme="minorHAnsi" w:hAnsiTheme="minorHAnsi" w:cstheme="minorHAnsi"/>
                <w:sz w:val="18"/>
                <w:szCs w:val="20"/>
              </w:rPr>
              <w:t xml:space="preserve"> and </w:t>
            </w:r>
            <w:r>
              <w:rPr>
                <w:rFonts w:asciiTheme="minorHAnsi" w:hAnsiTheme="minorHAnsi" w:cstheme="minorHAnsi"/>
                <w:sz w:val="18"/>
                <w:szCs w:val="20"/>
              </w:rPr>
              <w:t xml:space="preserve">is </w:t>
            </w:r>
            <w:r w:rsidRPr="00743CDE">
              <w:rPr>
                <w:rFonts w:asciiTheme="minorHAnsi" w:hAnsiTheme="minorHAnsi" w:cstheme="minorHAnsi"/>
                <w:sz w:val="18"/>
                <w:szCs w:val="20"/>
              </w:rPr>
              <w:t>legally binding</w:t>
            </w:r>
            <w:r>
              <w:rPr>
                <w:rFonts w:asciiTheme="minorHAnsi" w:hAnsiTheme="minorHAnsi" w:cstheme="minorHAnsi"/>
                <w:sz w:val="18"/>
                <w:szCs w:val="20"/>
              </w:rPr>
              <w:t>.</w:t>
            </w:r>
          </w:p>
        </w:tc>
      </w:tr>
      <w:tr w:rsidR="007C4C70" w:rsidRPr="00132421" w14:paraId="1BB826A1" w14:textId="77777777" w:rsidTr="00866A63">
        <w:trPr>
          <w:jc w:val="center"/>
        </w:trPr>
        <w:tc>
          <w:tcPr>
            <w:tcW w:w="1090" w:type="pct"/>
          </w:tcPr>
          <w:p w14:paraId="014E80A2" w14:textId="334BB52D" w:rsidR="007C4C70" w:rsidRPr="007C4C70" w:rsidRDefault="007C4C70" w:rsidP="007C4C70">
            <w:pPr>
              <w:rPr>
                <w:rFonts w:ascii="Calibri" w:hAnsi="Calibri" w:cs="Calibri"/>
                <w:sz w:val="18"/>
                <w:szCs w:val="18"/>
              </w:rPr>
            </w:pPr>
            <w:r w:rsidRPr="007C4C70">
              <w:rPr>
                <w:rFonts w:asciiTheme="minorHAnsi" w:hAnsiTheme="minorHAnsi" w:cstheme="minorHAnsi"/>
                <w:sz w:val="18"/>
                <w:szCs w:val="18"/>
              </w:rPr>
              <w:lastRenderedPageBreak/>
              <w:t>DLR 2.5: By December 31, 2020, the terms of any new financing received by BT from the MOF are aligned with the terms in the respective legal documents between the Recipient and the financiers</w:t>
            </w:r>
          </w:p>
        </w:tc>
        <w:tc>
          <w:tcPr>
            <w:tcW w:w="1091" w:type="pct"/>
          </w:tcPr>
          <w:p w14:paraId="3BA96712" w14:textId="77777777" w:rsidR="007C4C70" w:rsidRPr="00132421" w:rsidRDefault="007C4C70" w:rsidP="007C4C70">
            <w:pPr>
              <w:rPr>
                <w:rFonts w:asciiTheme="minorHAnsi" w:hAnsiTheme="minorHAnsi" w:cstheme="minorHAnsi"/>
                <w:b/>
                <w:sz w:val="18"/>
                <w:szCs w:val="18"/>
              </w:rPr>
            </w:pPr>
            <w:r w:rsidRPr="001B1012">
              <w:rPr>
                <w:rFonts w:asciiTheme="minorHAnsi" w:hAnsiTheme="minorHAnsi" w:cstheme="minorHAnsi"/>
                <w:sz w:val="18"/>
                <w:szCs w:val="18"/>
              </w:rPr>
              <w:t>The target will be considered achieved</w:t>
            </w:r>
            <w:r>
              <w:rPr>
                <w:rFonts w:asciiTheme="minorHAnsi" w:hAnsiTheme="minorHAnsi" w:cstheme="minorHAnsi"/>
                <w:sz w:val="18"/>
                <w:szCs w:val="18"/>
              </w:rPr>
              <w:t xml:space="preserve"> if </w:t>
            </w:r>
            <w:r>
              <w:rPr>
                <w:rFonts w:asciiTheme="minorHAnsi" w:hAnsiTheme="minorHAnsi" w:cstheme="minorHAnsi"/>
                <w:sz w:val="18"/>
                <w:szCs w:val="22"/>
              </w:rPr>
              <w:t xml:space="preserve">the terms of any new financing provided to BT by MOF are aligned with the terms in the respective legal documents between the Recipient and the financiers. </w:t>
            </w:r>
            <w:r>
              <w:rPr>
                <w:rFonts w:asciiTheme="minorHAnsi" w:hAnsiTheme="minorHAnsi" w:cstheme="minorHAnsi"/>
                <w:sz w:val="18"/>
                <w:szCs w:val="18"/>
              </w:rPr>
              <w:t>In case of loans received by the Recipient, up to 1% of mark-up by MOF would be considered acceptable.</w:t>
            </w:r>
          </w:p>
        </w:tc>
        <w:tc>
          <w:tcPr>
            <w:tcW w:w="531" w:type="pct"/>
          </w:tcPr>
          <w:p w14:paraId="6CE3FB6C" w14:textId="77777777" w:rsidR="007C4C70" w:rsidRPr="00132421" w:rsidRDefault="007C4C70" w:rsidP="007C4C70">
            <w:pPr>
              <w:rPr>
                <w:rFonts w:asciiTheme="minorHAnsi" w:hAnsiTheme="minorHAnsi" w:cstheme="minorHAnsi"/>
                <w:b/>
                <w:sz w:val="18"/>
                <w:szCs w:val="18"/>
              </w:rPr>
            </w:pPr>
            <w:r w:rsidRPr="00E37668">
              <w:rPr>
                <w:rFonts w:asciiTheme="minorHAnsi" w:hAnsiTheme="minorHAnsi" w:cstheme="minorHAnsi"/>
                <w:sz w:val="18"/>
                <w:szCs w:val="18"/>
              </w:rPr>
              <w:t>No</w:t>
            </w:r>
          </w:p>
        </w:tc>
        <w:tc>
          <w:tcPr>
            <w:tcW w:w="717" w:type="pct"/>
          </w:tcPr>
          <w:p w14:paraId="01315A65"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Data sources:</w:t>
            </w:r>
            <w:r>
              <w:rPr>
                <w:rFonts w:asciiTheme="minorHAnsi" w:hAnsiTheme="minorHAnsi" w:cstheme="minorHAnsi"/>
                <w:sz w:val="18"/>
                <w:szCs w:val="18"/>
              </w:rPr>
              <w:t xml:space="preserve"> New S</w:t>
            </w:r>
            <w:r w:rsidRPr="001B1012">
              <w:rPr>
                <w:rFonts w:asciiTheme="minorHAnsi" w:hAnsiTheme="minorHAnsi" w:cstheme="minorHAnsi"/>
                <w:sz w:val="18"/>
                <w:szCs w:val="18"/>
              </w:rPr>
              <w:t xml:space="preserve">ubsidiary </w:t>
            </w:r>
            <w:r>
              <w:rPr>
                <w:rFonts w:asciiTheme="minorHAnsi" w:hAnsiTheme="minorHAnsi" w:cstheme="minorHAnsi"/>
                <w:sz w:val="18"/>
                <w:szCs w:val="18"/>
              </w:rPr>
              <w:t>A</w:t>
            </w:r>
            <w:r w:rsidRPr="001B1012">
              <w:rPr>
                <w:rFonts w:asciiTheme="minorHAnsi" w:hAnsiTheme="minorHAnsi" w:cstheme="minorHAnsi"/>
                <w:sz w:val="18"/>
                <w:szCs w:val="18"/>
              </w:rPr>
              <w:t>greements</w:t>
            </w:r>
            <w:r>
              <w:rPr>
                <w:rFonts w:asciiTheme="minorHAnsi" w:hAnsiTheme="minorHAnsi" w:cstheme="minorHAnsi"/>
                <w:sz w:val="18"/>
                <w:szCs w:val="18"/>
              </w:rPr>
              <w:t xml:space="preserve"> between the MOF and BT</w:t>
            </w:r>
            <w:r w:rsidRPr="001B1012">
              <w:rPr>
                <w:rFonts w:asciiTheme="minorHAnsi" w:hAnsiTheme="minorHAnsi" w:cstheme="minorHAnsi"/>
                <w:sz w:val="18"/>
                <w:szCs w:val="18"/>
              </w:rPr>
              <w:t>.</w:t>
            </w:r>
          </w:p>
          <w:p w14:paraId="5D65876B" w14:textId="77777777" w:rsidR="007C4C70" w:rsidRPr="00132421" w:rsidRDefault="007C4C70" w:rsidP="007C4C70">
            <w:pPr>
              <w:rPr>
                <w:rFonts w:asciiTheme="minorHAnsi" w:hAnsiTheme="minorHAnsi" w:cstheme="minorHAnsi"/>
                <w:b/>
                <w:sz w:val="18"/>
                <w:szCs w:val="18"/>
              </w:rPr>
            </w:pPr>
            <w:r w:rsidRPr="001B1012">
              <w:rPr>
                <w:rFonts w:asciiTheme="minorHAnsi" w:hAnsiTheme="minorHAnsi" w:cstheme="minorHAnsi"/>
                <w:sz w:val="18"/>
                <w:szCs w:val="18"/>
              </w:rPr>
              <w:t>Agency:</w:t>
            </w:r>
            <w:r>
              <w:rPr>
                <w:rFonts w:asciiTheme="minorHAnsi" w:hAnsiTheme="minorHAnsi" w:cstheme="minorHAnsi"/>
                <w:sz w:val="18"/>
                <w:szCs w:val="18"/>
              </w:rPr>
              <w:t xml:space="preserve"> BT</w:t>
            </w:r>
          </w:p>
        </w:tc>
        <w:tc>
          <w:tcPr>
            <w:tcW w:w="624" w:type="pct"/>
          </w:tcPr>
          <w:p w14:paraId="1B08EC97" w14:textId="77777777" w:rsidR="007C4C70" w:rsidRPr="00132421" w:rsidRDefault="007C4C70" w:rsidP="007C4C70">
            <w:pPr>
              <w:rPr>
                <w:rFonts w:asciiTheme="minorHAnsi" w:hAnsiTheme="minorHAnsi" w:cstheme="minorHAnsi"/>
                <w:b/>
                <w:sz w:val="18"/>
                <w:szCs w:val="18"/>
              </w:rPr>
            </w:pPr>
            <w:r w:rsidRPr="001B1012">
              <w:rPr>
                <w:rFonts w:asciiTheme="minorHAnsi" w:hAnsiTheme="minorHAnsi" w:cstheme="minorHAnsi"/>
                <w:sz w:val="18"/>
                <w:szCs w:val="18"/>
              </w:rPr>
              <w:t xml:space="preserve">TOR </w:t>
            </w:r>
            <w:r>
              <w:rPr>
                <w:rFonts w:asciiTheme="minorHAnsi" w:hAnsiTheme="minorHAnsi" w:cstheme="minorHAnsi"/>
                <w:sz w:val="18"/>
                <w:szCs w:val="18"/>
              </w:rPr>
              <w:t>and a</w:t>
            </w:r>
            <w:r w:rsidRPr="001B1012">
              <w:rPr>
                <w:rFonts w:asciiTheme="minorHAnsi" w:hAnsiTheme="minorHAnsi" w:cstheme="minorHAnsi"/>
                <w:sz w:val="18"/>
                <w:szCs w:val="18"/>
              </w:rPr>
              <w:t xml:space="preserve">udit firm </w:t>
            </w:r>
            <w:r>
              <w:rPr>
                <w:rFonts w:asciiTheme="minorHAnsi" w:hAnsiTheme="minorHAnsi" w:cstheme="minorHAnsi"/>
                <w:sz w:val="18"/>
                <w:szCs w:val="18"/>
              </w:rPr>
              <w:t>and</w:t>
            </w:r>
            <w:r w:rsidRPr="001B1012">
              <w:rPr>
                <w:rFonts w:asciiTheme="minorHAnsi" w:hAnsiTheme="minorHAnsi" w:cstheme="minorHAnsi"/>
                <w:sz w:val="18"/>
                <w:szCs w:val="18"/>
              </w:rPr>
              <w:t xml:space="preserve"> acceptable to the Bank.</w:t>
            </w:r>
          </w:p>
        </w:tc>
        <w:tc>
          <w:tcPr>
            <w:tcW w:w="947" w:type="pct"/>
          </w:tcPr>
          <w:p w14:paraId="40691E31" w14:textId="77777777" w:rsidR="007C4C70" w:rsidRPr="00132421" w:rsidRDefault="007C4C70" w:rsidP="007C4C70">
            <w:pPr>
              <w:rPr>
                <w:rFonts w:asciiTheme="minorHAnsi" w:hAnsiTheme="minorHAnsi" w:cstheme="minorHAnsi"/>
                <w:b/>
                <w:sz w:val="18"/>
                <w:szCs w:val="18"/>
              </w:rPr>
            </w:pPr>
            <w:r w:rsidRPr="001B1012">
              <w:rPr>
                <w:rFonts w:asciiTheme="minorHAnsi" w:hAnsiTheme="minorHAnsi" w:cstheme="minorHAnsi"/>
                <w:sz w:val="18"/>
                <w:szCs w:val="18"/>
              </w:rPr>
              <w:t xml:space="preserve">Verification by IVA </w:t>
            </w:r>
            <w:r>
              <w:rPr>
                <w:rFonts w:asciiTheme="minorHAnsi" w:hAnsiTheme="minorHAnsi" w:cstheme="minorHAnsi"/>
                <w:sz w:val="18"/>
                <w:szCs w:val="18"/>
              </w:rPr>
              <w:t>to confirm whether the terms of new financing received by BT from MOF are aligned with the terms in the respective legal agreements between the Recipient and the financiers.</w:t>
            </w:r>
            <w:r w:rsidRPr="001B1012">
              <w:rPr>
                <w:rFonts w:asciiTheme="minorHAnsi" w:hAnsiTheme="minorHAnsi" w:cstheme="minorHAnsi"/>
                <w:sz w:val="18"/>
                <w:szCs w:val="18"/>
              </w:rPr>
              <w:t xml:space="preserve"> </w:t>
            </w:r>
          </w:p>
        </w:tc>
      </w:tr>
      <w:tr w:rsidR="007C4C70" w:rsidRPr="00132421" w14:paraId="61E5E08E" w14:textId="77777777" w:rsidTr="00866A63">
        <w:trPr>
          <w:jc w:val="center"/>
        </w:trPr>
        <w:tc>
          <w:tcPr>
            <w:tcW w:w="1090" w:type="pct"/>
          </w:tcPr>
          <w:p w14:paraId="02AEA664" w14:textId="3B3B5C78" w:rsidR="007C4C70" w:rsidRPr="007C4C70" w:rsidRDefault="007C4C70" w:rsidP="007C4C70">
            <w:pPr>
              <w:rPr>
                <w:rFonts w:asciiTheme="minorHAnsi" w:hAnsiTheme="minorHAnsi" w:cstheme="minorHAnsi"/>
                <w:sz w:val="18"/>
                <w:szCs w:val="18"/>
              </w:rPr>
            </w:pPr>
            <w:r w:rsidRPr="007C4C70">
              <w:rPr>
                <w:rFonts w:asciiTheme="minorHAnsi" w:hAnsiTheme="minorHAnsi" w:cstheme="minorHAnsi"/>
                <w:sz w:val="18"/>
                <w:szCs w:val="18"/>
              </w:rPr>
              <w:t xml:space="preserve">DLR 2.6: By September 30, 2022, (a) the MOF and BT revise the terms of ten (10) loans under Group 2 Subsidiary Agreements to align those with the terms in respective legal agreements between the Recipient and the financiers; and (b) the Recipient converts into equity the difference between the original and revised interest payable by BT to the MOF under each of the ten (10) loans from Group 2 Subsidiary Agreements, assuming the revised terms of each such loan were in effect since the effectiveness date of the respective Group 2 Subsidiary Agreements </w:t>
            </w:r>
          </w:p>
        </w:tc>
        <w:tc>
          <w:tcPr>
            <w:tcW w:w="1091" w:type="pct"/>
          </w:tcPr>
          <w:p w14:paraId="0131EAC7" w14:textId="77777777" w:rsidR="007C4C70" w:rsidRPr="00132421" w:rsidRDefault="007C4C70" w:rsidP="007C4C70">
            <w:pPr>
              <w:rPr>
                <w:rFonts w:asciiTheme="minorHAnsi" w:hAnsiTheme="minorHAnsi" w:cstheme="minorHAnsi"/>
                <w:b/>
                <w:sz w:val="18"/>
                <w:szCs w:val="18"/>
              </w:rPr>
            </w:pPr>
            <w:r w:rsidRPr="001B1012">
              <w:rPr>
                <w:rFonts w:asciiTheme="minorHAnsi" w:hAnsiTheme="minorHAnsi" w:cstheme="minorHAnsi"/>
                <w:sz w:val="18"/>
                <w:szCs w:val="18"/>
              </w:rPr>
              <w:t>The target will be considered achieved if</w:t>
            </w:r>
            <w:r>
              <w:rPr>
                <w:rFonts w:asciiTheme="minorHAnsi" w:hAnsiTheme="minorHAnsi" w:cstheme="minorHAnsi"/>
                <w:sz w:val="18"/>
                <w:szCs w:val="18"/>
              </w:rPr>
              <w:t>: (a)</w:t>
            </w:r>
            <w:r w:rsidRPr="001B1012">
              <w:rPr>
                <w:rFonts w:asciiTheme="minorHAnsi" w:hAnsiTheme="minorHAnsi" w:cstheme="minorHAnsi"/>
                <w:sz w:val="18"/>
                <w:szCs w:val="18"/>
              </w:rPr>
              <w:t xml:space="preserve"> </w:t>
            </w:r>
            <w:r>
              <w:rPr>
                <w:rFonts w:asciiTheme="minorHAnsi" w:hAnsiTheme="minorHAnsi" w:cstheme="minorHAnsi"/>
                <w:sz w:val="18"/>
                <w:szCs w:val="18"/>
              </w:rPr>
              <w:t>MOF</w:t>
            </w:r>
            <w:r w:rsidRPr="001B1012">
              <w:rPr>
                <w:rFonts w:asciiTheme="minorHAnsi" w:hAnsiTheme="minorHAnsi" w:cstheme="minorHAnsi"/>
                <w:sz w:val="18"/>
                <w:szCs w:val="18"/>
              </w:rPr>
              <w:t xml:space="preserve"> </w:t>
            </w:r>
            <w:r>
              <w:rPr>
                <w:rFonts w:asciiTheme="minorHAnsi" w:hAnsiTheme="minorHAnsi" w:cstheme="minorHAnsi"/>
                <w:sz w:val="18"/>
                <w:szCs w:val="18"/>
              </w:rPr>
              <w:t xml:space="preserve">and BT </w:t>
            </w:r>
            <w:r w:rsidRPr="001B1012">
              <w:rPr>
                <w:rFonts w:asciiTheme="minorHAnsi" w:hAnsiTheme="minorHAnsi" w:cstheme="minorHAnsi"/>
                <w:sz w:val="18"/>
                <w:szCs w:val="18"/>
              </w:rPr>
              <w:t xml:space="preserve">revise any seven </w:t>
            </w:r>
            <w:r>
              <w:rPr>
                <w:rFonts w:asciiTheme="minorHAnsi" w:hAnsiTheme="minorHAnsi" w:cstheme="minorHAnsi"/>
                <w:sz w:val="18"/>
                <w:szCs w:val="18"/>
              </w:rPr>
              <w:t>loans under Group 2 S</w:t>
            </w:r>
            <w:r w:rsidRPr="001B1012">
              <w:rPr>
                <w:rFonts w:asciiTheme="minorHAnsi" w:hAnsiTheme="minorHAnsi" w:cstheme="minorHAnsi"/>
                <w:sz w:val="18"/>
                <w:szCs w:val="18"/>
              </w:rPr>
              <w:t xml:space="preserve">ubsidiary </w:t>
            </w:r>
            <w:r>
              <w:rPr>
                <w:rFonts w:asciiTheme="minorHAnsi" w:hAnsiTheme="minorHAnsi" w:cstheme="minorHAnsi"/>
                <w:sz w:val="18"/>
                <w:szCs w:val="18"/>
              </w:rPr>
              <w:t xml:space="preserve">Agreements; and (b) </w:t>
            </w:r>
            <w:r w:rsidRPr="00E1602F">
              <w:rPr>
                <w:rFonts w:asciiTheme="minorHAnsi" w:hAnsiTheme="minorHAnsi" w:cstheme="minorHAnsi"/>
                <w:sz w:val="18"/>
                <w:szCs w:val="22"/>
              </w:rPr>
              <w:t>the Recipient converts into equity the difference between the original and revised interest payable by BT to the MOF under each of the seven loans from Group 2 Subsidiary Agreements, assuming the revised terms of each such loan were in effect since the effectiveness date of the respective Group 2 Subsidiary Agreements</w:t>
            </w:r>
            <w:r>
              <w:rPr>
                <w:rFonts w:asciiTheme="minorHAnsi" w:hAnsiTheme="minorHAnsi" w:cstheme="minorHAnsi"/>
                <w:sz w:val="18"/>
                <w:szCs w:val="22"/>
              </w:rPr>
              <w:t xml:space="preserve">. </w:t>
            </w:r>
            <w:r>
              <w:rPr>
                <w:rFonts w:asciiTheme="minorHAnsi" w:hAnsiTheme="minorHAnsi" w:cstheme="minorHAnsi"/>
                <w:sz w:val="18"/>
                <w:szCs w:val="18"/>
              </w:rPr>
              <w:t>In case of loans received by the Recipient, up to 1% of mark-up by MOF would be considered.</w:t>
            </w:r>
          </w:p>
        </w:tc>
        <w:tc>
          <w:tcPr>
            <w:tcW w:w="531" w:type="pct"/>
          </w:tcPr>
          <w:p w14:paraId="73087A5B" w14:textId="77777777" w:rsidR="007C4C70" w:rsidRPr="00132421" w:rsidRDefault="007C4C70" w:rsidP="007C4C70">
            <w:pPr>
              <w:rPr>
                <w:rFonts w:asciiTheme="minorHAnsi" w:hAnsiTheme="minorHAnsi" w:cstheme="minorHAnsi"/>
                <w:b/>
                <w:sz w:val="18"/>
                <w:szCs w:val="18"/>
              </w:rPr>
            </w:pPr>
            <w:r w:rsidRPr="00E37668">
              <w:rPr>
                <w:rFonts w:asciiTheme="minorHAnsi" w:hAnsiTheme="minorHAnsi" w:cstheme="minorHAnsi"/>
                <w:sz w:val="18"/>
                <w:szCs w:val="18"/>
              </w:rPr>
              <w:t>No</w:t>
            </w:r>
          </w:p>
        </w:tc>
        <w:tc>
          <w:tcPr>
            <w:tcW w:w="717" w:type="pct"/>
          </w:tcPr>
          <w:p w14:paraId="274AF063"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 xml:space="preserve">Revised </w:t>
            </w:r>
            <w:r>
              <w:rPr>
                <w:rFonts w:asciiTheme="minorHAnsi" w:hAnsiTheme="minorHAnsi" w:cstheme="minorHAnsi"/>
                <w:sz w:val="18"/>
                <w:szCs w:val="18"/>
              </w:rPr>
              <w:t>S</w:t>
            </w:r>
            <w:r w:rsidRPr="001B1012">
              <w:rPr>
                <w:rFonts w:asciiTheme="minorHAnsi" w:hAnsiTheme="minorHAnsi" w:cstheme="minorHAnsi"/>
                <w:sz w:val="18"/>
                <w:szCs w:val="18"/>
              </w:rPr>
              <w:t xml:space="preserve">ubsidiary </w:t>
            </w:r>
            <w:r>
              <w:rPr>
                <w:rFonts w:asciiTheme="minorHAnsi" w:hAnsiTheme="minorHAnsi" w:cstheme="minorHAnsi"/>
                <w:sz w:val="18"/>
                <w:szCs w:val="18"/>
              </w:rPr>
              <w:t>A</w:t>
            </w:r>
            <w:r w:rsidRPr="001B1012">
              <w:rPr>
                <w:rFonts w:asciiTheme="minorHAnsi" w:hAnsiTheme="minorHAnsi" w:cstheme="minorHAnsi"/>
                <w:sz w:val="18"/>
                <w:szCs w:val="18"/>
              </w:rPr>
              <w:t>greements</w:t>
            </w:r>
            <w:r>
              <w:rPr>
                <w:rFonts w:asciiTheme="minorHAnsi" w:hAnsiTheme="minorHAnsi" w:cstheme="minorHAnsi"/>
                <w:sz w:val="18"/>
                <w:szCs w:val="18"/>
              </w:rPr>
              <w:t xml:space="preserve"> and</w:t>
            </w:r>
            <w:r w:rsidRPr="001B1012">
              <w:rPr>
                <w:rFonts w:asciiTheme="minorHAnsi" w:hAnsiTheme="minorHAnsi" w:cstheme="minorHAnsi"/>
                <w:sz w:val="18"/>
                <w:szCs w:val="18"/>
              </w:rPr>
              <w:t xml:space="preserve"> </w:t>
            </w:r>
            <w:r>
              <w:rPr>
                <w:rFonts w:asciiTheme="minorHAnsi" w:hAnsiTheme="minorHAnsi" w:cstheme="minorHAnsi"/>
                <w:sz w:val="18"/>
                <w:szCs w:val="18"/>
              </w:rPr>
              <w:t>f</w:t>
            </w:r>
            <w:r w:rsidRPr="001B1012">
              <w:rPr>
                <w:rFonts w:asciiTheme="minorHAnsi" w:hAnsiTheme="minorHAnsi" w:cstheme="minorHAnsi"/>
                <w:sz w:val="18"/>
                <w:szCs w:val="18"/>
              </w:rPr>
              <w:t xml:space="preserve">inancial and accounting records from BT confirming conversion of </w:t>
            </w:r>
            <w:r>
              <w:rPr>
                <w:rFonts w:asciiTheme="minorHAnsi" w:hAnsiTheme="minorHAnsi" w:cstheme="minorHAnsi"/>
                <w:sz w:val="18"/>
                <w:szCs w:val="18"/>
              </w:rPr>
              <w:t>the difference between the original and revised interest payable by BT to MOF.</w:t>
            </w:r>
          </w:p>
          <w:p w14:paraId="00F4CC07" w14:textId="77777777" w:rsidR="007C4C70" w:rsidRPr="00132421" w:rsidRDefault="007C4C70" w:rsidP="007C4C70">
            <w:pPr>
              <w:rPr>
                <w:rFonts w:asciiTheme="minorHAnsi" w:hAnsiTheme="minorHAnsi" w:cstheme="minorHAnsi"/>
                <w:b/>
                <w:sz w:val="18"/>
                <w:szCs w:val="18"/>
              </w:rPr>
            </w:pPr>
            <w:r w:rsidRPr="001B1012">
              <w:rPr>
                <w:rFonts w:asciiTheme="minorHAnsi" w:hAnsiTheme="minorHAnsi" w:cstheme="minorHAnsi"/>
                <w:sz w:val="18"/>
                <w:szCs w:val="18"/>
              </w:rPr>
              <w:t>Agency:</w:t>
            </w:r>
            <w:r>
              <w:rPr>
                <w:rFonts w:asciiTheme="minorHAnsi" w:hAnsiTheme="minorHAnsi" w:cstheme="minorHAnsi"/>
                <w:sz w:val="18"/>
                <w:szCs w:val="18"/>
              </w:rPr>
              <w:t xml:space="preserve"> BT</w:t>
            </w:r>
          </w:p>
        </w:tc>
        <w:tc>
          <w:tcPr>
            <w:tcW w:w="624" w:type="pct"/>
          </w:tcPr>
          <w:p w14:paraId="4A43D5A6" w14:textId="77777777" w:rsidR="007C4C70" w:rsidRPr="00132421" w:rsidRDefault="007C4C70" w:rsidP="007C4C70">
            <w:pPr>
              <w:rPr>
                <w:rFonts w:asciiTheme="minorHAnsi" w:hAnsiTheme="minorHAnsi" w:cstheme="minorHAnsi"/>
                <w:b/>
                <w:sz w:val="18"/>
                <w:szCs w:val="18"/>
              </w:rPr>
            </w:pPr>
            <w:r w:rsidRPr="001B1012">
              <w:rPr>
                <w:rFonts w:asciiTheme="minorHAnsi" w:hAnsiTheme="minorHAnsi" w:cstheme="minorHAnsi"/>
                <w:sz w:val="18"/>
                <w:szCs w:val="18"/>
              </w:rPr>
              <w:t xml:space="preserve">TOR </w:t>
            </w:r>
            <w:r>
              <w:rPr>
                <w:rFonts w:asciiTheme="minorHAnsi" w:hAnsiTheme="minorHAnsi" w:cstheme="minorHAnsi"/>
                <w:sz w:val="18"/>
                <w:szCs w:val="18"/>
              </w:rPr>
              <w:t>and a</w:t>
            </w:r>
            <w:r w:rsidRPr="001B1012">
              <w:rPr>
                <w:rFonts w:asciiTheme="minorHAnsi" w:hAnsiTheme="minorHAnsi" w:cstheme="minorHAnsi"/>
                <w:sz w:val="18"/>
                <w:szCs w:val="18"/>
              </w:rPr>
              <w:t xml:space="preserve">udit firm </w:t>
            </w:r>
            <w:r>
              <w:rPr>
                <w:rFonts w:asciiTheme="minorHAnsi" w:hAnsiTheme="minorHAnsi" w:cstheme="minorHAnsi"/>
                <w:sz w:val="18"/>
                <w:szCs w:val="18"/>
              </w:rPr>
              <w:t>and</w:t>
            </w:r>
            <w:r w:rsidRPr="001B1012">
              <w:rPr>
                <w:rFonts w:asciiTheme="minorHAnsi" w:hAnsiTheme="minorHAnsi" w:cstheme="minorHAnsi"/>
                <w:sz w:val="18"/>
                <w:szCs w:val="18"/>
              </w:rPr>
              <w:t xml:space="preserve"> acceptable to the Bank.</w:t>
            </w:r>
          </w:p>
        </w:tc>
        <w:tc>
          <w:tcPr>
            <w:tcW w:w="947" w:type="pct"/>
          </w:tcPr>
          <w:p w14:paraId="2768287C" w14:textId="77777777" w:rsidR="007C4C70" w:rsidRPr="00132421" w:rsidRDefault="007C4C70" w:rsidP="007C4C70">
            <w:pPr>
              <w:rPr>
                <w:rFonts w:asciiTheme="minorHAnsi" w:hAnsiTheme="minorHAnsi" w:cstheme="minorHAnsi"/>
                <w:b/>
                <w:sz w:val="18"/>
                <w:szCs w:val="18"/>
              </w:rPr>
            </w:pPr>
            <w:r w:rsidRPr="001B1012">
              <w:rPr>
                <w:rFonts w:asciiTheme="minorHAnsi" w:hAnsiTheme="minorHAnsi" w:cstheme="minorHAnsi"/>
                <w:sz w:val="18"/>
                <w:szCs w:val="18"/>
              </w:rPr>
              <w:t xml:space="preserve">Verification by IVA of the revised </w:t>
            </w:r>
            <w:r>
              <w:rPr>
                <w:rFonts w:asciiTheme="minorHAnsi" w:hAnsiTheme="minorHAnsi" w:cstheme="minorHAnsi"/>
                <w:sz w:val="18"/>
                <w:szCs w:val="18"/>
              </w:rPr>
              <w:t>S</w:t>
            </w:r>
            <w:r w:rsidRPr="001B1012">
              <w:rPr>
                <w:rFonts w:asciiTheme="minorHAnsi" w:hAnsiTheme="minorHAnsi" w:cstheme="minorHAnsi"/>
                <w:sz w:val="18"/>
                <w:szCs w:val="18"/>
              </w:rPr>
              <w:t xml:space="preserve">ubsidiary </w:t>
            </w:r>
            <w:r>
              <w:rPr>
                <w:rFonts w:asciiTheme="minorHAnsi" w:hAnsiTheme="minorHAnsi" w:cstheme="minorHAnsi"/>
                <w:sz w:val="18"/>
                <w:szCs w:val="18"/>
              </w:rPr>
              <w:t>A</w:t>
            </w:r>
            <w:r w:rsidRPr="001B1012">
              <w:rPr>
                <w:rFonts w:asciiTheme="minorHAnsi" w:hAnsiTheme="minorHAnsi" w:cstheme="minorHAnsi"/>
                <w:sz w:val="18"/>
                <w:szCs w:val="18"/>
              </w:rPr>
              <w:t>greements to confirm whether</w:t>
            </w:r>
            <w:r>
              <w:rPr>
                <w:rFonts w:asciiTheme="minorHAnsi" w:hAnsiTheme="minorHAnsi" w:cstheme="minorHAnsi"/>
                <w:sz w:val="18"/>
                <w:szCs w:val="18"/>
              </w:rPr>
              <w:t>: (a) the</w:t>
            </w:r>
            <w:r w:rsidRPr="001B1012">
              <w:rPr>
                <w:rFonts w:asciiTheme="minorHAnsi" w:hAnsiTheme="minorHAnsi" w:cstheme="minorHAnsi"/>
                <w:sz w:val="18"/>
                <w:szCs w:val="18"/>
              </w:rPr>
              <w:t xml:space="preserve"> terms of </w:t>
            </w:r>
            <w:r>
              <w:rPr>
                <w:rFonts w:asciiTheme="minorHAnsi" w:hAnsiTheme="minorHAnsi" w:cstheme="minorHAnsi"/>
                <w:sz w:val="18"/>
                <w:szCs w:val="18"/>
              </w:rPr>
              <w:t>specified loans</w:t>
            </w:r>
            <w:r w:rsidRPr="001B1012">
              <w:rPr>
                <w:rFonts w:asciiTheme="minorHAnsi" w:hAnsiTheme="minorHAnsi" w:cstheme="minorHAnsi"/>
                <w:sz w:val="18"/>
                <w:szCs w:val="18"/>
              </w:rPr>
              <w:t xml:space="preserve"> were aligned with terms of financing as reflected in the relevant </w:t>
            </w:r>
            <w:r>
              <w:rPr>
                <w:rFonts w:asciiTheme="minorHAnsi" w:hAnsiTheme="minorHAnsi" w:cstheme="minorHAnsi"/>
                <w:sz w:val="18"/>
                <w:szCs w:val="18"/>
              </w:rPr>
              <w:t>legal agreements between the Recipient and the financiers; and (b) the difference between the original and revised interest payable by BT to MOF under each of the seven loans from</w:t>
            </w:r>
            <w:r w:rsidRPr="00E1602F">
              <w:rPr>
                <w:rFonts w:asciiTheme="minorHAnsi" w:hAnsiTheme="minorHAnsi" w:cstheme="minorHAnsi"/>
                <w:sz w:val="18"/>
                <w:szCs w:val="22"/>
              </w:rPr>
              <w:t xml:space="preserve"> Group 2 Subsidiary Agreements</w:t>
            </w:r>
            <w:r>
              <w:rPr>
                <w:rFonts w:asciiTheme="minorHAnsi" w:hAnsiTheme="minorHAnsi" w:cstheme="minorHAnsi"/>
                <w:sz w:val="18"/>
                <w:szCs w:val="22"/>
              </w:rPr>
              <w:t xml:space="preserve"> was converted into equity</w:t>
            </w:r>
            <w:r w:rsidRPr="00E1602F">
              <w:rPr>
                <w:rFonts w:asciiTheme="minorHAnsi" w:hAnsiTheme="minorHAnsi" w:cstheme="minorHAnsi"/>
                <w:sz w:val="18"/>
                <w:szCs w:val="22"/>
              </w:rPr>
              <w:t>, assuming the revised terms of each such loan were in effect since the effectiveness date of the respective Group 2 Subsidiary Agreements</w:t>
            </w:r>
            <w:r>
              <w:rPr>
                <w:rFonts w:asciiTheme="minorHAnsi" w:hAnsiTheme="minorHAnsi" w:cstheme="minorHAnsi"/>
                <w:sz w:val="18"/>
                <w:szCs w:val="22"/>
              </w:rPr>
              <w:t>.</w:t>
            </w:r>
          </w:p>
        </w:tc>
      </w:tr>
      <w:tr w:rsidR="007C4C70" w:rsidRPr="00132421" w14:paraId="63DE3F0B" w14:textId="77777777" w:rsidTr="00866A63">
        <w:trPr>
          <w:jc w:val="center"/>
        </w:trPr>
        <w:tc>
          <w:tcPr>
            <w:tcW w:w="1090" w:type="pct"/>
          </w:tcPr>
          <w:p w14:paraId="3F0EB8B0" w14:textId="0A69C9E1" w:rsidR="007C4C70" w:rsidRPr="007C4C70" w:rsidRDefault="007C4C70" w:rsidP="007C4C70">
            <w:pPr>
              <w:rPr>
                <w:rFonts w:asciiTheme="minorHAnsi" w:hAnsiTheme="minorHAnsi" w:cstheme="minorHAnsi"/>
                <w:sz w:val="18"/>
                <w:szCs w:val="18"/>
              </w:rPr>
            </w:pPr>
            <w:r w:rsidRPr="007C4C70">
              <w:rPr>
                <w:rFonts w:asciiTheme="minorHAnsi" w:hAnsiTheme="minorHAnsi" w:cstheme="minorHAnsi"/>
                <w:sz w:val="18"/>
                <w:szCs w:val="18"/>
              </w:rPr>
              <w:t xml:space="preserve">DLR 2.7: By June 30, 2021, the terms of any new financing received by BT from the MOF are aligned with the terms in the respective legal documents </w:t>
            </w:r>
            <w:r w:rsidRPr="007C4C70">
              <w:rPr>
                <w:rFonts w:asciiTheme="minorHAnsi" w:hAnsiTheme="minorHAnsi" w:cstheme="minorHAnsi"/>
                <w:sz w:val="18"/>
                <w:szCs w:val="18"/>
              </w:rPr>
              <w:lastRenderedPageBreak/>
              <w:t xml:space="preserve">between the Recipient and the financiers </w:t>
            </w:r>
          </w:p>
        </w:tc>
        <w:tc>
          <w:tcPr>
            <w:tcW w:w="1091" w:type="pct"/>
          </w:tcPr>
          <w:p w14:paraId="32D0099C" w14:textId="77777777" w:rsidR="007C4C70" w:rsidRPr="00132421" w:rsidRDefault="007C4C70" w:rsidP="007C4C70">
            <w:pPr>
              <w:rPr>
                <w:rFonts w:asciiTheme="minorHAnsi" w:hAnsiTheme="minorHAnsi" w:cstheme="minorHAnsi"/>
                <w:b/>
                <w:sz w:val="18"/>
                <w:szCs w:val="18"/>
              </w:rPr>
            </w:pPr>
            <w:r w:rsidRPr="001B1012">
              <w:rPr>
                <w:rFonts w:asciiTheme="minorHAnsi" w:hAnsiTheme="minorHAnsi" w:cstheme="minorHAnsi"/>
                <w:sz w:val="18"/>
                <w:szCs w:val="18"/>
              </w:rPr>
              <w:lastRenderedPageBreak/>
              <w:t>The target will be considered achieved</w:t>
            </w:r>
            <w:r>
              <w:rPr>
                <w:rFonts w:asciiTheme="minorHAnsi" w:hAnsiTheme="minorHAnsi" w:cstheme="minorHAnsi"/>
                <w:sz w:val="18"/>
                <w:szCs w:val="18"/>
              </w:rPr>
              <w:t xml:space="preserve"> if </w:t>
            </w:r>
            <w:r>
              <w:rPr>
                <w:rFonts w:asciiTheme="minorHAnsi" w:hAnsiTheme="minorHAnsi" w:cstheme="minorHAnsi"/>
                <w:sz w:val="18"/>
                <w:szCs w:val="22"/>
              </w:rPr>
              <w:t xml:space="preserve">the terms of any new financing provided to BT by MOF are aligned with the terms in the respective legal </w:t>
            </w:r>
            <w:r>
              <w:rPr>
                <w:rFonts w:asciiTheme="minorHAnsi" w:hAnsiTheme="minorHAnsi" w:cstheme="minorHAnsi"/>
                <w:sz w:val="18"/>
                <w:szCs w:val="22"/>
              </w:rPr>
              <w:lastRenderedPageBreak/>
              <w:t xml:space="preserve">documents between the Recipient and the financiers. </w:t>
            </w:r>
            <w:r>
              <w:rPr>
                <w:rFonts w:asciiTheme="minorHAnsi" w:hAnsiTheme="minorHAnsi" w:cstheme="minorHAnsi"/>
                <w:sz w:val="18"/>
                <w:szCs w:val="18"/>
              </w:rPr>
              <w:t>In case of loans received by the Recipient, up to 1% of mark-up by MOF would be considered acceptable.</w:t>
            </w:r>
          </w:p>
        </w:tc>
        <w:tc>
          <w:tcPr>
            <w:tcW w:w="531" w:type="pct"/>
          </w:tcPr>
          <w:p w14:paraId="0AD0570B" w14:textId="77777777" w:rsidR="007C4C70" w:rsidRPr="00132421" w:rsidRDefault="007C4C70" w:rsidP="007C4C70">
            <w:pPr>
              <w:rPr>
                <w:rFonts w:asciiTheme="minorHAnsi" w:hAnsiTheme="minorHAnsi" w:cstheme="minorHAnsi"/>
                <w:b/>
                <w:sz w:val="18"/>
                <w:szCs w:val="18"/>
              </w:rPr>
            </w:pPr>
            <w:r w:rsidRPr="00E37668">
              <w:rPr>
                <w:rFonts w:asciiTheme="minorHAnsi" w:hAnsiTheme="minorHAnsi" w:cstheme="minorHAnsi"/>
                <w:sz w:val="18"/>
                <w:szCs w:val="18"/>
              </w:rPr>
              <w:lastRenderedPageBreak/>
              <w:t>No</w:t>
            </w:r>
          </w:p>
        </w:tc>
        <w:tc>
          <w:tcPr>
            <w:tcW w:w="717" w:type="pct"/>
          </w:tcPr>
          <w:p w14:paraId="75A7E662"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Data sources:</w:t>
            </w:r>
            <w:r>
              <w:rPr>
                <w:rFonts w:asciiTheme="minorHAnsi" w:hAnsiTheme="minorHAnsi" w:cstheme="minorHAnsi"/>
                <w:sz w:val="18"/>
                <w:szCs w:val="18"/>
              </w:rPr>
              <w:t xml:space="preserve"> New S</w:t>
            </w:r>
            <w:r w:rsidRPr="001B1012">
              <w:rPr>
                <w:rFonts w:asciiTheme="minorHAnsi" w:hAnsiTheme="minorHAnsi" w:cstheme="minorHAnsi"/>
                <w:sz w:val="18"/>
                <w:szCs w:val="18"/>
              </w:rPr>
              <w:t xml:space="preserve">ubsidiary </w:t>
            </w:r>
            <w:r>
              <w:rPr>
                <w:rFonts w:asciiTheme="minorHAnsi" w:hAnsiTheme="minorHAnsi" w:cstheme="minorHAnsi"/>
                <w:sz w:val="18"/>
                <w:szCs w:val="18"/>
              </w:rPr>
              <w:t>A</w:t>
            </w:r>
            <w:r w:rsidRPr="001B1012">
              <w:rPr>
                <w:rFonts w:asciiTheme="minorHAnsi" w:hAnsiTheme="minorHAnsi" w:cstheme="minorHAnsi"/>
                <w:sz w:val="18"/>
                <w:szCs w:val="18"/>
              </w:rPr>
              <w:t>greements</w:t>
            </w:r>
            <w:r>
              <w:rPr>
                <w:rFonts w:asciiTheme="minorHAnsi" w:hAnsiTheme="minorHAnsi" w:cstheme="minorHAnsi"/>
                <w:sz w:val="18"/>
                <w:szCs w:val="18"/>
              </w:rPr>
              <w:t xml:space="preserve"> between the MOF and BT</w:t>
            </w:r>
            <w:r w:rsidRPr="001B1012">
              <w:rPr>
                <w:rFonts w:asciiTheme="minorHAnsi" w:hAnsiTheme="minorHAnsi" w:cstheme="minorHAnsi"/>
                <w:sz w:val="18"/>
                <w:szCs w:val="18"/>
              </w:rPr>
              <w:t>.</w:t>
            </w:r>
          </w:p>
          <w:p w14:paraId="453E2FF1" w14:textId="77777777" w:rsidR="007C4C70" w:rsidRPr="00132421" w:rsidRDefault="007C4C70" w:rsidP="007C4C70">
            <w:pPr>
              <w:rPr>
                <w:rFonts w:asciiTheme="minorHAnsi" w:hAnsiTheme="minorHAnsi" w:cstheme="minorHAnsi"/>
                <w:b/>
                <w:sz w:val="18"/>
                <w:szCs w:val="18"/>
              </w:rPr>
            </w:pPr>
            <w:r w:rsidRPr="001B1012">
              <w:rPr>
                <w:rFonts w:asciiTheme="minorHAnsi" w:hAnsiTheme="minorHAnsi" w:cstheme="minorHAnsi"/>
                <w:sz w:val="18"/>
                <w:szCs w:val="18"/>
              </w:rPr>
              <w:lastRenderedPageBreak/>
              <w:t>Agency:</w:t>
            </w:r>
            <w:r>
              <w:rPr>
                <w:rFonts w:asciiTheme="minorHAnsi" w:hAnsiTheme="minorHAnsi" w:cstheme="minorHAnsi"/>
                <w:sz w:val="18"/>
                <w:szCs w:val="18"/>
              </w:rPr>
              <w:t xml:space="preserve"> BT</w:t>
            </w:r>
          </w:p>
        </w:tc>
        <w:tc>
          <w:tcPr>
            <w:tcW w:w="624" w:type="pct"/>
          </w:tcPr>
          <w:p w14:paraId="7DC21194" w14:textId="77777777" w:rsidR="007C4C70" w:rsidRPr="00132421" w:rsidRDefault="007C4C70" w:rsidP="007C4C70">
            <w:pPr>
              <w:rPr>
                <w:rFonts w:asciiTheme="minorHAnsi" w:hAnsiTheme="minorHAnsi" w:cstheme="minorHAnsi"/>
                <w:b/>
                <w:sz w:val="18"/>
                <w:szCs w:val="18"/>
              </w:rPr>
            </w:pPr>
            <w:r w:rsidRPr="001B1012">
              <w:rPr>
                <w:rFonts w:asciiTheme="minorHAnsi" w:hAnsiTheme="minorHAnsi" w:cstheme="minorHAnsi"/>
                <w:sz w:val="18"/>
                <w:szCs w:val="18"/>
              </w:rPr>
              <w:lastRenderedPageBreak/>
              <w:t xml:space="preserve">TOR </w:t>
            </w:r>
            <w:r>
              <w:rPr>
                <w:rFonts w:asciiTheme="minorHAnsi" w:hAnsiTheme="minorHAnsi" w:cstheme="minorHAnsi"/>
                <w:sz w:val="18"/>
                <w:szCs w:val="18"/>
              </w:rPr>
              <w:t>and a</w:t>
            </w:r>
            <w:r w:rsidRPr="001B1012">
              <w:rPr>
                <w:rFonts w:asciiTheme="minorHAnsi" w:hAnsiTheme="minorHAnsi" w:cstheme="minorHAnsi"/>
                <w:sz w:val="18"/>
                <w:szCs w:val="18"/>
              </w:rPr>
              <w:t xml:space="preserve">udit firm </w:t>
            </w:r>
            <w:r>
              <w:rPr>
                <w:rFonts w:asciiTheme="minorHAnsi" w:hAnsiTheme="minorHAnsi" w:cstheme="minorHAnsi"/>
                <w:sz w:val="18"/>
                <w:szCs w:val="18"/>
              </w:rPr>
              <w:t>and</w:t>
            </w:r>
            <w:r w:rsidRPr="001B1012">
              <w:rPr>
                <w:rFonts w:asciiTheme="minorHAnsi" w:hAnsiTheme="minorHAnsi" w:cstheme="minorHAnsi"/>
                <w:sz w:val="18"/>
                <w:szCs w:val="18"/>
              </w:rPr>
              <w:t xml:space="preserve"> acceptable to the Bank.</w:t>
            </w:r>
          </w:p>
        </w:tc>
        <w:tc>
          <w:tcPr>
            <w:tcW w:w="947" w:type="pct"/>
          </w:tcPr>
          <w:p w14:paraId="19296396" w14:textId="77777777" w:rsidR="007C4C70" w:rsidRPr="00132421" w:rsidRDefault="007C4C70" w:rsidP="007C4C70">
            <w:pPr>
              <w:rPr>
                <w:rFonts w:asciiTheme="minorHAnsi" w:hAnsiTheme="minorHAnsi" w:cstheme="minorHAnsi"/>
                <w:b/>
                <w:sz w:val="18"/>
                <w:szCs w:val="18"/>
              </w:rPr>
            </w:pPr>
            <w:r w:rsidRPr="001B1012">
              <w:rPr>
                <w:rFonts w:asciiTheme="minorHAnsi" w:hAnsiTheme="minorHAnsi" w:cstheme="minorHAnsi"/>
                <w:sz w:val="18"/>
                <w:szCs w:val="18"/>
              </w:rPr>
              <w:t xml:space="preserve">Verification by IVA </w:t>
            </w:r>
            <w:r>
              <w:rPr>
                <w:rFonts w:asciiTheme="minorHAnsi" w:hAnsiTheme="minorHAnsi" w:cstheme="minorHAnsi"/>
                <w:sz w:val="18"/>
                <w:szCs w:val="18"/>
              </w:rPr>
              <w:t xml:space="preserve">to confirm whether the terms of new financing received by BT from MOF are aligned with the terms in </w:t>
            </w:r>
            <w:r>
              <w:rPr>
                <w:rFonts w:asciiTheme="minorHAnsi" w:hAnsiTheme="minorHAnsi" w:cstheme="minorHAnsi"/>
                <w:sz w:val="18"/>
                <w:szCs w:val="18"/>
              </w:rPr>
              <w:lastRenderedPageBreak/>
              <w:t>the respective legal agreements between the Recipient and the financiers.</w:t>
            </w:r>
            <w:r w:rsidRPr="001B1012">
              <w:rPr>
                <w:rFonts w:asciiTheme="minorHAnsi" w:hAnsiTheme="minorHAnsi" w:cstheme="minorHAnsi"/>
                <w:sz w:val="18"/>
                <w:szCs w:val="18"/>
              </w:rPr>
              <w:t xml:space="preserve"> </w:t>
            </w:r>
          </w:p>
        </w:tc>
      </w:tr>
      <w:tr w:rsidR="007C4C70" w:rsidRPr="00132421" w14:paraId="0D42011B" w14:textId="77777777" w:rsidTr="00866A63">
        <w:trPr>
          <w:jc w:val="center"/>
        </w:trPr>
        <w:tc>
          <w:tcPr>
            <w:tcW w:w="1090" w:type="pct"/>
          </w:tcPr>
          <w:p w14:paraId="154A9D8C" w14:textId="304D73E1" w:rsidR="007C4C70" w:rsidRPr="007C4C70" w:rsidRDefault="007C4C70" w:rsidP="007C4C70">
            <w:pPr>
              <w:rPr>
                <w:rFonts w:asciiTheme="minorHAnsi" w:hAnsiTheme="minorHAnsi" w:cstheme="minorHAnsi"/>
                <w:sz w:val="18"/>
                <w:szCs w:val="18"/>
              </w:rPr>
            </w:pPr>
            <w:r w:rsidRPr="007C4C70">
              <w:rPr>
                <w:rFonts w:asciiTheme="minorHAnsi" w:hAnsiTheme="minorHAnsi" w:cstheme="minorHAnsi"/>
                <w:sz w:val="18"/>
                <w:szCs w:val="18"/>
              </w:rPr>
              <w:lastRenderedPageBreak/>
              <w:t xml:space="preserve">DLR 2.8: By September 30, 2022:  (a) the MOF and BT revise the terms of nine (9) additional loans under Group 2 Subsidiary Agreements to align those with the terms in respective legal documents between the Recipient and the financiers; and (b) the Recipient converts into equity the difference between the original and revised interest payable by BT to MOF under each of the nine (9) loans from  Group 2 Subsidiary Agreements, assuming the revised terms of each such loan were in effect since the effectiveness date of the respective Group 2 Subsidiary Agreements </w:t>
            </w:r>
          </w:p>
        </w:tc>
        <w:tc>
          <w:tcPr>
            <w:tcW w:w="1091" w:type="pct"/>
          </w:tcPr>
          <w:p w14:paraId="6A8ABB01" w14:textId="77777777" w:rsidR="007C4C70" w:rsidRPr="00132421" w:rsidRDefault="007C4C70" w:rsidP="007C4C70">
            <w:pPr>
              <w:rPr>
                <w:rFonts w:asciiTheme="minorHAnsi" w:hAnsiTheme="minorHAnsi" w:cstheme="minorHAnsi"/>
                <w:b/>
                <w:sz w:val="18"/>
                <w:szCs w:val="18"/>
              </w:rPr>
            </w:pPr>
            <w:r w:rsidRPr="001B1012">
              <w:rPr>
                <w:rFonts w:asciiTheme="minorHAnsi" w:hAnsiTheme="minorHAnsi" w:cstheme="minorHAnsi"/>
                <w:sz w:val="18"/>
                <w:szCs w:val="18"/>
              </w:rPr>
              <w:t>The target will be considered achieved if</w:t>
            </w:r>
            <w:r>
              <w:rPr>
                <w:rFonts w:asciiTheme="minorHAnsi" w:hAnsiTheme="minorHAnsi" w:cstheme="minorHAnsi"/>
                <w:sz w:val="18"/>
                <w:szCs w:val="18"/>
              </w:rPr>
              <w:t>: (a)</w:t>
            </w:r>
            <w:r w:rsidRPr="001B1012">
              <w:rPr>
                <w:rFonts w:asciiTheme="minorHAnsi" w:hAnsiTheme="minorHAnsi" w:cstheme="minorHAnsi"/>
                <w:sz w:val="18"/>
                <w:szCs w:val="18"/>
              </w:rPr>
              <w:t xml:space="preserve"> </w:t>
            </w:r>
            <w:r>
              <w:rPr>
                <w:rFonts w:asciiTheme="minorHAnsi" w:hAnsiTheme="minorHAnsi" w:cstheme="minorHAnsi"/>
                <w:sz w:val="18"/>
                <w:szCs w:val="18"/>
              </w:rPr>
              <w:t>MOF</w:t>
            </w:r>
            <w:r w:rsidRPr="001B1012">
              <w:rPr>
                <w:rFonts w:asciiTheme="minorHAnsi" w:hAnsiTheme="minorHAnsi" w:cstheme="minorHAnsi"/>
                <w:sz w:val="18"/>
                <w:szCs w:val="18"/>
              </w:rPr>
              <w:t xml:space="preserve"> </w:t>
            </w:r>
            <w:r>
              <w:rPr>
                <w:rFonts w:asciiTheme="minorHAnsi" w:hAnsiTheme="minorHAnsi" w:cstheme="minorHAnsi"/>
                <w:sz w:val="18"/>
                <w:szCs w:val="18"/>
              </w:rPr>
              <w:t xml:space="preserve">and BT </w:t>
            </w:r>
            <w:r w:rsidRPr="001B1012">
              <w:rPr>
                <w:rFonts w:asciiTheme="minorHAnsi" w:hAnsiTheme="minorHAnsi" w:cstheme="minorHAnsi"/>
                <w:sz w:val="18"/>
                <w:szCs w:val="18"/>
              </w:rPr>
              <w:t xml:space="preserve">revise any seven </w:t>
            </w:r>
            <w:r>
              <w:rPr>
                <w:rFonts w:asciiTheme="minorHAnsi" w:hAnsiTheme="minorHAnsi" w:cstheme="minorHAnsi"/>
                <w:sz w:val="18"/>
                <w:szCs w:val="18"/>
              </w:rPr>
              <w:t>loans under Group 2 S</w:t>
            </w:r>
            <w:r w:rsidRPr="001B1012">
              <w:rPr>
                <w:rFonts w:asciiTheme="minorHAnsi" w:hAnsiTheme="minorHAnsi" w:cstheme="minorHAnsi"/>
                <w:sz w:val="18"/>
                <w:szCs w:val="18"/>
              </w:rPr>
              <w:t xml:space="preserve">ubsidiary </w:t>
            </w:r>
            <w:r>
              <w:rPr>
                <w:rFonts w:asciiTheme="minorHAnsi" w:hAnsiTheme="minorHAnsi" w:cstheme="minorHAnsi"/>
                <w:sz w:val="18"/>
                <w:szCs w:val="18"/>
              </w:rPr>
              <w:t xml:space="preserve">Agreements; and (b) </w:t>
            </w:r>
            <w:r w:rsidRPr="00E1602F">
              <w:rPr>
                <w:rFonts w:asciiTheme="minorHAnsi" w:hAnsiTheme="minorHAnsi" w:cstheme="minorHAnsi"/>
                <w:sz w:val="18"/>
                <w:szCs w:val="22"/>
              </w:rPr>
              <w:t>the Recipient converts into equity the difference between the original and revised interest payable by BT to the MOF under each of the seven loans from Group 2 Subsidiary Agreements, assuming the revised terms of each such loan were in effect since the effectiveness date of the respective Group 2 Subsidiary Agreements</w:t>
            </w:r>
            <w:r>
              <w:rPr>
                <w:rFonts w:asciiTheme="minorHAnsi" w:hAnsiTheme="minorHAnsi" w:cstheme="minorHAnsi"/>
                <w:sz w:val="18"/>
                <w:szCs w:val="22"/>
              </w:rPr>
              <w:t xml:space="preserve">. </w:t>
            </w:r>
            <w:r>
              <w:rPr>
                <w:rFonts w:asciiTheme="minorHAnsi" w:hAnsiTheme="minorHAnsi" w:cstheme="minorHAnsi"/>
                <w:sz w:val="18"/>
                <w:szCs w:val="18"/>
              </w:rPr>
              <w:t>In case of loans received by the Recipient, up to 1% of mark-up by MOF would be considered.</w:t>
            </w:r>
          </w:p>
        </w:tc>
        <w:tc>
          <w:tcPr>
            <w:tcW w:w="531" w:type="pct"/>
          </w:tcPr>
          <w:p w14:paraId="67350993" w14:textId="77777777" w:rsidR="007C4C70" w:rsidRPr="00132421" w:rsidRDefault="007C4C70" w:rsidP="007C4C70">
            <w:pPr>
              <w:rPr>
                <w:rFonts w:asciiTheme="minorHAnsi" w:hAnsiTheme="minorHAnsi" w:cstheme="minorHAnsi"/>
                <w:b/>
                <w:sz w:val="18"/>
                <w:szCs w:val="18"/>
              </w:rPr>
            </w:pPr>
            <w:r w:rsidRPr="00E37668">
              <w:rPr>
                <w:rFonts w:asciiTheme="minorHAnsi" w:hAnsiTheme="minorHAnsi" w:cstheme="minorHAnsi"/>
                <w:sz w:val="18"/>
                <w:szCs w:val="18"/>
              </w:rPr>
              <w:t>No</w:t>
            </w:r>
          </w:p>
        </w:tc>
        <w:tc>
          <w:tcPr>
            <w:tcW w:w="717" w:type="pct"/>
          </w:tcPr>
          <w:p w14:paraId="78BD4209"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 xml:space="preserve">Revised </w:t>
            </w:r>
            <w:r>
              <w:rPr>
                <w:rFonts w:asciiTheme="minorHAnsi" w:hAnsiTheme="minorHAnsi" w:cstheme="minorHAnsi"/>
                <w:sz w:val="18"/>
                <w:szCs w:val="18"/>
              </w:rPr>
              <w:t>S</w:t>
            </w:r>
            <w:r w:rsidRPr="001B1012">
              <w:rPr>
                <w:rFonts w:asciiTheme="minorHAnsi" w:hAnsiTheme="minorHAnsi" w:cstheme="minorHAnsi"/>
                <w:sz w:val="18"/>
                <w:szCs w:val="18"/>
              </w:rPr>
              <w:t xml:space="preserve">ubsidiary </w:t>
            </w:r>
            <w:r>
              <w:rPr>
                <w:rFonts w:asciiTheme="minorHAnsi" w:hAnsiTheme="minorHAnsi" w:cstheme="minorHAnsi"/>
                <w:sz w:val="18"/>
                <w:szCs w:val="18"/>
              </w:rPr>
              <w:t>A</w:t>
            </w:r>
            <w:r w:rsidRPr="001B1012">
              <w:rPr>
                <w:rFonts w:asciiTheme="minorHAnsi" w:hAnsiTheme="minorHAnsi" w:cstheme="minorHAnsi"/>
                <w:sz w:val="18"/>
                <w:szCs w:val="18"/>
              </w:rPr>
              <w:t>greements</w:t>
            </w:r>
            <w:r>
              <w:rPr>
                <w:rFonts w:asciiTheme="minorHAnsi" w:hAnsiTheme="minorHAnsi" w:cstheme="minorHAnsi"/>
                <w:sz w:val="18"/>
                <w:szCs w:val="18"/>
              </w:rPr>
              <w:t xml:space="preserve"> and</w:t>
            </w:r>
            <w:r w:rsidRPr="001B1012">
              <w:rPr>
                <w:rFonts w:asciiTheme="minorHAnsi" w:hAnsiTheme="minorHAnsi" w:cstheme="minorHAnsi"/>
                <w:sz w:val="18"/>
                <w:szCs w:val="18"/>
              </w:rPr>
              <w:t xml:space="preserve"> </w:t>
            </w:r>
            <w:r>
              <w:rPr>
                <w:rFonts w:asciiTheme="minorHAnsi" w:hAnsiTheme="minorHAnsi" w:cstheme="minorHAnsi"/>
                <w:sz w:val="18"/>
                <w:szCs w:val="18"/>
              </w:rPr>
              <w:t>f</w:t>
            </w:r>
            <w:r w:rsidRPr="001B1012">
              <w:rPr>
                <w:rFonts w:asciiTheme="minorHAnsi" w:hAnsiTheme="minorHAnsi" w:cstheme="minorHAnsi"/>
                <w:sz w:val="18"/>
                <w:szCs w:val="18"/>
              </w:rPr>
              <w:t xml:space="preserve">inancial and accounting records from BT confirming conversion of </w:t>
            </w:r>
            <w:r>
              <w:rPr>
                <w:rFonts w:asciiTheme="minorHAnsi" w:hAnsiTheme="minorHAnsi" w:cstheme="minorHAnsi"/>
                <w:sz w:val="18"/>
                <w:szCs w:val="18"/>
              </w:rPr>
              <w:t>the difference between the original and revised interest payable by BT to MOF.</w:t>
            </w:r>
          </w:p>
          <w:p w14:paraId="0F9B5A38" w14:textId="77777777" w:rsidR="007C4C70" w:rsidRPr="00132421" w:rsidRDefault="007C4C70" w:rsidP="007C4C70">
            <w:pPr>
              <w:rPr>
                <w:rFonts w:asciiTheme="minorHAnsi" w:hAnsiTheme="minorHAnsi" w:cstheme="minorHAnsi"/>
                <w:b/>
                <w:sz w:val="18"/>
                <w:szCs w:val="18"/>
              </w:rPr>
            </w:pPr>
            <w:r w:rsidRPr="001B1012">
              <w:rPr>
                <w:rFonts w:asciiTheme="minorHAnsi" w:hAnsiTheme="minorHAnsi" w:cstheme="minorHAnsi"/>
                <w:sz w:val="18"/>
                <w:szCs w:val="18"/>
              </w:rPr>
              <w:t>Agency:</w:t>
            </w:r>
            <w:r>
              <w:rPr>
                <w:rFonts w:asciiTheme="minorHAnsi" w:hAnsiTheme="minorHAnsi" w:cstheme="minorHAnsi"/>
                <w:sz w:val="18"/>
                <w:szCs w:val="18"/>
              </w:rPr>
              <w:t xml:space="preserve"> BT</w:t>
            </w:r>
          </w:p>
        </w:tc>
        <w:tc>
          <w:tcPr>
            <w:tcW w:w="624" w:type="pct"/>
          </w:tcPr>
          <w:p w14:paraId="55E0CF10" w14:textId="77777777" w:rsidR="007C4C70" w:rsidRPr="00132421" w:rsidRDefault="007C4C70" w:rsidP="007C4C70">
            <w:pPr>
              <w:rPr>
                <w:rFonts w:asciiTheme="minorHAnsi" w:hAnsiTheme="minorHAnsi" w:cstheme="minorHAnsi"/>
                <w:b/>
                <w:sz w:val="18"/>
                <w:szCs w:val="18"/>
              </w:rPr>
            </w:pPr>
            <w:r w:rsidRPr="001B1012">
              <w:rPr>
                <w:rFonts w:asciiTheme="minorHAnsi" w:hAnsiTheme="minorHAnsi" w:cstheme="minorHAnsi"/>
                <w:sz w:val="18"/>
                <w:szCs w:val="18"/>
              </w:rPr>
              <w:t xml:space="preserve">TOR </w:t>
            </w:r>
            <w:r>
              <w:rPr>
                <w:rFonts w:asciiTheme="minorHAnsi" w:hAnsiTheme="minorHAnsi" w:cstheme="minorHAnsi"/>
                <w:sz w:val="18"/>
                <w:szCs w:val="18"/>
              </w:rPr>
              <w:t>and a</w:t>
            </w:r>
            <w:r w:rsidRPr="001B1012">
              <w:rPr>
                <w:rFonts w:asciiTheme="minorHAnsi" w:hAnsiTheme="minorHAnsi" w:cstheme="minorHAnsi"/>
                <w:sz w:val="18"/>
                <w:szCs w:val="18"/>
              </w:rPr>
              <w:t xml:space="preserve">udit firm </w:t>
            </w:r>
            <w:r>
              <w:rPr>
                <w:rFonts w:asciiTheme="minorHAnsi" w:hAnsiTheme="minorHAnsi" w:cstheme="minorHAnsi"/>
                <w:sz w:val="18"/>
                <w:szCs w:val="18"/>
              </w:rPr>
              <w:t>and</w:t>
            </w:r>
            <w:r w:rsidRPr="001B1012">
              <w:rPr>
                <w:rFonts w:asciiTheme="minorHAnsi" w:hAnsiTheme="minorHAnsi" w:cstheme="minorHAnsi"/>
                <w:sz w:val="18"/>
                <w:szCs w:val="18"/>
              </w:rPr>
              <w:t xml:space="preserve"> acceptable to the Bank.</w:t>
            </w:r>
          </w:p>
        </w:tc>
        <w:tc>
          <w:tcPr>
            <w:tcW w:w="947" w:type="pct"/>
          </w:tcPr>
          <w:p w14:paraId="2C7485E9" w14:textId="77777777" w:rsidR="007C4C70" w:rsidRPr="00132421" w:rsidRDefault="007C4C70" w:rsidP="007C4C70">
            <w:pPr>
              <w:rPr>
                <w:rFonts w:asciiTheme="minorHAnsi" w:hAnsiTheme="minorHAnsi" w:cstheme="minorHAnsi"/>
                <w:b/>
                <w:sz w:val="18"/>
                <w:szCs w:val="18"/>
              </w:rPr>
            </w:pPr>
            <w:r w:rsidRPr="001B1012">
              <w:rPr>
                <w:rFonts w:asciiTheme="minorHAnsi" w:hAnsiTheme="minorHAnsi" w:cstheme="minorHAnsi"/>
                <w:sz w:val="18"/>
                <w:szCs w:val="18"/>
              </w:rPr>
              <w:t xml:space="preserve">Verification by IVA of the revised </w:t>
            </w:r>
            <w:r>
              <w:rPr>
                <w:rFonts w:asciiTheme="minorHAnsi" w:hAnsiTheme="minorHAnsi" w:cstheme="minorHAnsi"/>
                <w:sz w:val="18"/>
                <w:szCs w:val="18"/>
              </w:rPr>
              <w:t>S</w:t>
            </w:r>
            <w:r w:rsidRPr="001B1012">
              <w:rPr>
                <w:rFonts w:asciiTheme="minorHAnsi" w:hAnsiTheme="minorHAnsi" w:cstheme="minorHAnsi"/>
                <w:sz w:val="18"/>
                <w:szCs w:val="18"/>
              </w:rPr>
              <w:t xml:space="preserve">ubsidiary </w:t>
            </w:r>
            <w:r>
              <w:rPr>
                <w:rFonts w:asciiTheme="minorHAnsi" w:hAnsiTheme="minorHAnsi" w:cstheme="minorHAnsi"/>
                <w:sz w:val="18"/>
                <w:szCs w:val="18"/>
              </w:rPr>
              <w:t>A</w:t>
            </w:r>
            <w:r w:rsidRPr="001B1012">
              <w:rPr>
                <w:rFonts w:asciiTheme="minorHAnsi" w:hAnsiTheme="minorHAnsi" w:cstheme="minorHAnsi"/>
                <w:sz w:val="18"/>
                <w:szCs w:val="18"/>
              </w:rPr>
              <w:t>greements to confirm whether</w:t>
            </w:r>
            <w:r>
              <w:rPr>
                <w:rFonts w:asciiTheme="minorHAnsi" w:hAnsiTheme="minorHAnsi" w:cstheme="minorHAnsi"/>
                <w:sz w:val="18"/>
                <w:szCs w:val="18"/>
              </w:rPr>
              <w:t>: (a) the</w:t>
            </w:r>
            <w:r w:rsidRPr="001B1012">
              <w:rPr>
                <w:rFonts w:asciiTheme="minorHAnsi" w:hAnsiTheme="minorHAnsi" w:cstheme="minorHAnsi"/>
                <w:sz w:val="18"/>
                <w:szCs w:val="18"/>
              </w:rPr>
              <w:t xml:space="preserve"> terms of </w:t>
            </w:r>
            <w:r>
              <w:rPr>
                <w:rFonts w:asciiTheme="minorHAnsi" w:hAnsiTheme="minorHAnsi" w:cstheme="minorHAnsi"/>
                <w:sz w:val="18"/>
                <w:szCs w:val="18"/>
              </w:rPr>
              <w:t>specified loans</w:t>
            </w:r>
            <w:r w:rsidRPr="001B1012">
              <w:rPr>
                <w:rFonts w:asciiTheme="minorHAnsi" w:hAnsiTheme="minorHAnsi" w:cstheme="minorHAnsi"/>
                <w:sz w:val="18"/>
                <w:szCs w:val="18"/>
              </w:rPr>
              <w:t xml:space="preserve"> were aligned with terms of financing as reflected in the relevant </w:t>
            </w:r>
            <w:r>
              <w:rPr>
                <w:rFonts w:asciiTheme="minorHAnsi" w:hAnsiTheme="minorHAnsi" w:cstheme="minorHAnsi"/>
                <w:sz w:val="18"/>
                <w:szCs w:val="18"/>
              </w:rPr>
              <w:t>legal agreements between the Recipient and the financiers; and (b) the difference between the original and revised interest payable by BT to MOF under each of the seven loans from</w:t>
            </w:r>
            <w:r w:rsidRPr="00E1602F">
              <w:rPr>
                <w:rFonts w:asciiTheme="minorHAnsi" w:hAnsiTheme="minorHAnsi" w:cstheme="minorHAnsi"/>
                <w:sz w:val="18"/>
                <w:szCs w:val="22"/>
              </w:rPr>
              <w:t xml:space="preserve"> Group 2 Subsidiary Agreements</w:t>
            </w:r>
            <w:r>
              <w:rPr>
                <w:rFonts w:asciiTheme="minorHAnsi" w:hAnsiTheme="minorHAnsi" w:cstheme="minorHAnsi"/>
                <w:sz w:val="18"/>
                <w:szCs w:val="22"/>
              </w:rPr>
              <w:t xml:space="preserve"> was converted into equity</w:t>
            </w:r>
            <w:r w:rsidRPr="00E1602F">
              <w:rPr>
                <w:rFonts w:asciiTheme="minorHAnsi" w:hAnsiTheme="minorHAnsi" w:cstheme="minorHAnsi"/>
                <w:sz w:val="18"/>
                <w:szCs w:val="22"/>
              </w:rPr>
              <w:t>, assuming the revised terms of each such loan were in effect since the effectiveness date of the respective Group 2 Subsidiary Agreements</w:t>
            </w:r>
            <w:r>
              <w:rPr>
                <w:rFonts w:asciiTheme="minorHAnsi" w:hAnsiTheme="minorHAnsi" w:cstheme="minorHAnsi"/>
                <w:sz w:val="18"/>
                <w:szCs w:val="22"/>
              </w:rPr>
              <w:t>.</w:t>
            </w:r>
          </w:p>
        </w:tc>
      </w:tr>
      <w:tr w:rsidR="007C4C70" w:rsidRPr="001B1012" w14:paraId="6FEF30E9" w14:textId="77777777" w:rsidTr="00866A63">
        <w:trPr>
          <w:jc w:val="center"/>
        </w:trPr>
        <w:tc>
          <w:tcPr>
            <w:tcW w:w="1090" w:type="pct"/>
          </w:tcPr>
          <w:p w14:paraId="514774F9" w14:textId="7CEAE139" w:rsidR="007C4C70" w:rsidRPr="007C4C70" w:rsidRDefault="007C4C70" w:rsidP="007C4C70">
            <w:pPr>
              <w:rPr>
                <w:rFonts w:asciiTheme="minorHAnsi" w:hAnsiTheme="minorHAnsi" w:cstheme="minorHAnsi"/>
                <w:sz w:val="18"/>
                <w:szCs w:val="18"/>
              </w:rPr>
            </w:pPr>
            <w:r w:rsidRPr="007C4C70">
              <w:rPr>
                <w:rFonts w:asciiTheme="minorHAnsi" w:hAnsiTheme="minorHAnsi" w:cstheme="minorHAnsi"/>
                <w:sz w:val="18"/>
                <w:szCs w:val="18"/>
              </w:rPr>
              <w:t xml:space="preserve">DLR 2.9: By December 31, 2021, the terms of any new financing received by BT from the MOF are aligned with the terms in the respective legal documents between the Recipient and the financiers </w:t>
            </w:r>
          </w:p>
        </w:tc>
        <w:tc>
          <w:tcPr>
            <w:tcW w:w="1091" w:type="pct"/>
          </w:tcPr>
          <w:p w14:paraId="3D5F4FDF"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The target will be considered achieved</w:t>
            </w:r>
            <w:r>
              <w:rPr>
                <w:rFonts w:asciiTheme="minorHAnsi" w:hAnsiTheme="minorHAnsi" w:cstheme="minorHAnsi"/>
                <w:sz w:val="18"/>
                <w:szCs w:val="18"/>
              </w:rPr>
              <w:t xml:space="preserve"> if </w:t>
            </w:r>
            <w:r>
              <w:rPr>
                <w:rFonts w:asciiTheme="minorHAnsi" w:hAnsiTheme="minorHAnsi" w:cstheme="minorHAnsi"/>
                <w:sz w:val="18"/>
                <w:szCs w:val="22"/>
              </w:rPr>
              <w:t xml:space="preserve">the terms of any new financing provided to BT by MOF are aligned with the terms in the respective legal documents between the Recipient and the financiers. </w:t>
            </w:r>
            <w:r>
              <w:rPr>
                <w:rFonts w:asciiTheme="minorHAnsi" w:hAnsiTheme="minorHAnsi" w:cstheme="minorHAnsi"/>
                <w:sz w:val="18"/>
                <w:szCs w:val="18"/>
              </w:rPr>
              <w:t>In case of loans received by the Recipient, up to 1% of mark-up by MOF would be considered acceptable.</w:t>
            </w:r>
          </w:p>
        </w:tc>
        <w:tc>
          <w:tcPr>
            <w:tcW w:w="531" w:type="pct"/>
          </w:tcPr>
          <w:p w14:paraId="0C87E892" w14:textId="77777777" w:rsidR="007C4C70" w:rsidRPr="001B1012" w:rsidRDefault="007C4C70" w:rsidP="007C4C70">
            <w:pPr>
              <w:rPr>
                <w:rFonts w:asciiTheme="minorHAnsi" w:hAnsiTheme="minorHAnsi" w:cstheme="minorHAnsi"/>
                <w:sz w:val="18"/>
                <w:szCs w:val="18"/>
              </w:rPr>
            </w:pPr>
            <w:r w:rsidRPr="00E37668">
              <w:rPr>
                <w:rFonts w:asciiTheme="minorHAnsi" w:hAnsiTheme="minorHAnsi" w:cstheme="minorHAnsi"/>
                <w:sz w:val="18"/>
                <w:szCs w:val="18"/>
              </w:rPr>
              <w:t>No</w:t>
            </w:r>
          </w:p>
        </w:tc>
        <w:tc>
          <w:tcPr>
            <w:tcW w:w="717" w:type="pct"/>
          </w:tcPr>
          <w:p w14:paraId="54F1D240"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Data sources:</w:t>
            </w:r>
            <w:r>
              <w:rPr>
                <w:rFonts w:asciiTheme="minorHAnsi" w:hAnsiTheme="minorHAnsi" w:cstheme="minorHAnsi"/>
                <w:sz w:val="18"/>
                <w:szCs w:val="18"/>
              </w:rPr>
              <w:t xml:space="preserve"> New S</w:t>
            </w:r>
            <w:r w:rsidRPr="001B1012">
              <w:rPr>
                <w:rFonts w:asciiTheme="minorHAnsi" w:hAnsiTheme="minorHAnsi" w:cstheme="minorHAnsi"/>
                <w:sz w:val="18"/>
                <w:szCs w:val="18"/>
              </w:rPr>
              <w:t xml:space="preserve">ubsidiary </w:t>
            </w:r>
            <w:r>
              <w:rPr>
                <w:rFonts w:asciiTheme="minorHAnsi" w:hAnsiTheme="minorHAnsi" w:cstheme="minorHAnsi"/>
                <w:sz w:val="18"/>
                <w:szCs w:val="18"/>
              </w:rPr>
              <w:t>A</w:t>
            </w:r>
            <w:r w:rsidRPr="001B1012">
              <w:rPr>
                <w:rFonts w:asciiTheme="minorHAnsi" w:hAnsiTheme="minorHAnsi" w:cstheme="minorHAnsi"/>
                <w:sz w:val="18"/>
                <w:szCs w:val="18"/>
              </w:rPr>
              <w:t>greements</w:t>
            </w:r>
            <w:r>
              <w:rPr>
                <w:rFonts w:asciiTheme="minorHAnsi" w:hAnsiTheme="minorHAnsi" w:cstheme="minorHAnsi"/>
                <w:sz w:val="18"/>
                <w:szCs w:val="18"/>
              </w:rPr>
              <w:t xml:space="preserve"> between the MOF and BT</w:t>
            </w:r>
            <w:r w:rsidRPr="001B1012">
              <w:rPr>
                <w:rFonts w:asciiTheme="minorHAnsi" w:hAnsiTheme="minorHAnsi" w:cstheme="minorHAnsi"/>
                <w:sz w:val="18"/>
                <w:szCs w:val="18"/>
              </w:rPr>
              <w:t>.</w:t>
            </w:r>
          </w:p>
          <w:p w14:paraId="5C1BB757"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Agency:</w:t>
            </w:r>
            <w:r>
              <w:rPr>
                <w:rFonts w:asciiTheme="minorHAnsi" w:hAnsiTheme="minorHAnsi" w:cstheme="minorHAnsi"/>
                <w:sz w:val="18"/>
                <w:szCs w:val="18"/>
              </w:rPr>
              <w:t xml:space="preserve"> BT.</w:t>
            </w:r>
          </w:p>
        </w:tc>
        <w:tc>
          <w:tcPr>
            <w:tcW w:w="624" w:type="pct"/>
          </w:tcPr>
          <w:p w14:paraId="2E55797F"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 xml:space="preserve">TOR </w:t>
            </w:r>
            <w:r>
              <w:rPr>
                <w:rFonts w:asciiTheme="minorHAnsi" w:hAnsiTheme="minorHAnsi" w:cstheme="minorHAnsi"/>
                <w:sz w:val="18"/>
                <w:szCs w:val="18"/>
              </w:rPr>
              <w:t>and a</w:t>
            </w:r>
            <w:r w:rsidRPr="001B1012">
              <w:rPr>
                <w:rFonts w:asciiTheme="minorHAnsi" w:hAnsiTheme="minorHAnsi" w:cstheme="minorHAnsi"/>
                <w:sz w:val="18"/>
                <w:szCs w:val="18"/>
              </w:rPr>
              <w:t xml:space="preserve">udit firm </w:t>
            </w:r>
            <w:r>
              <w:rPr>
                <w:rFonts w:asciiTheme="minorHAnsi" w:hAnsiTheme="minorHAnsi" w:cstheme="minorHAnsi"/>
                <w:sz w:val="18"/>
                <w:szCs w:val="18"/>
              </w:rPr>
              <w:t>and</w:t>
            </w:r>
            <w:r w:rsidRPr="001B1012">
              <w:rPr>
                <w:rFonts w:asciiTheme="minorHAnsi" w:hAnsiTheme="minorHAnsi" w:cstheme="minorHAnsi"/>
                <w:sz w:val="18"/>
                <w:szCs w:val="18"/>
              </w:rPr>
              <w:t xml:space="preserve"> acceptable to the Bank.</w:t>
            </w:r>
          </w:p>
        </w:tc>
        <w:tc>
          <w:tcPr>
            <w:tcW w:w="947" w:type="pct"/>
          </w:tcPr>
          <w:p w14:paraId="2022BE67"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 xml:space="preserve">Verification by IVA </w:t>
            </w:r>
            <w:r>
              <w:rPr>
                <w:rFonts w:asciiTheme="minorHAnsi" w:hAnsiTheme="minorHAnsi" w:cstheme="minorHAnsi"/>
                <w:sz w:val="18"/>
                <w:szCs w:val="18"/>
              </w:rPr>
              <w:t>to confirm whether the terms of new financing received by BT from MOF are aligned with the terms in the respective legal agreements between the Recipient and the financiers.</w:t>
            </w:r>
            <w:r w:rsidRPr="001B1012">
              <w:rPr>
                <w:rFonts w:asciiTheme="minorHAnsi" w:hAnsiTheme="minorHAnsi" w:cstheme="minorHAnsi"/>
                <w:sz w:val="18"/>
                <w:szCs w:val="18"/>
              </w:rPr>
              <w:t xml:space="preserve"> </w:t>
            </w:r>
          </w:p>
        </w:tc>
      </w:tr>
      <w:tr w:rsidR="007C4C70" w:rsidRPr="00132421" w14:paraId="721129B7" w14:textId="77777777" w:rsidTr="00866A63">
        <w:trPr>
          <w:jc w:val="center"/>
        </w:trPr>
        <w:tc>
          <w:tcPr>
            <w:tcW w:w="1090" w:type="pct"/>
          </w:tcPr>
          <w:p w14:paraId="46343D06" w14:textId="77777777" w:rsidR="007C4C70" w:rsidRPr="00132421" w:rsidRDefault="007C4C70" w:rsidP="007C4C70">
            <w:pPr>
              <w:rPr>
                <w:rFonts w:asciiTheme="minorHAnsi" w:eastAsia="Times New Roman" w:hAnsiTheme="minorHAnsi" w:cstheme="minorHAnsi"/>
                <w:b/>
                <w:bCs/>
                <w:sz w:val="18"/>
                <w:szCs w:val="18"/>
              </w:rPr>
            </w:pPr>
            <w:r w:rsidRPr="00132421">
              <w:rPr>
                <w:rFonts w:asciiTheme="minorHAnsi" w:eastAsia="Times New Roman" w:hAnsiTheme="minorHAnsi" w:cstheme="minorHAnsi"/>
                <w:b/>
                <w:bCs/>
                <w:sz w:val="18"/>
                <w:szCs w:val="18"/>
              </w:rPr>
              <w:t xml:space="preserve">DLI </w:t>
            </w:r>
            <w:r>
              <w:rPr>
                <w:rFonts w:asciiTheme="minorHAnsi" w:eastAsia="Times New Roman" w:hAnsiTheme="minorHAnsi" w:cstheme="minorHAnsi"/>
                <w:b/>
                <w:bCs/>
                <w:sz w:val="18"/>
                <w:szCs w:val="18"/>
              </w:rPr>
              <w:t>3</w:t>
            </w:r>
            <w:r w:rsidRPr="00132421">
              <w:rPr>
                <w:rFonts w:asciiTheme="minorHAnsi" w:eastAsia="Times New Roman" w:hAnsiTheme="minorHAnsi" w:cstheme="minorHAnsi"/>
                <w:b/>
                <w:bCs/>
                <w:sz w:val="18"/>
                <w:szCs w:val="18"/>
              </w:rPr>
              <w:t xml:space="preserve">: </w:t>
            </w:r>
            <w:r>
              <w:rPr>
                <w:rFonts w:ascii="Calibri" w:eastAsia="Times New Roman" w:hAnsi="Calibri" w:cs="Calibri"/>
                <w:b/>
                <w:color w:val="auto"/>
                <w:sz w:val="18"/>
                <w:szCs w:val="18"/>
              </w:rPr>
              <w:t>Electricity sector’s cash deficit</w:t>
            </w:r>
            <w:r w:rsidRPr="00C71DE1">
              <w:rPr>
                <w:rFonts w:ascii="Calibri" w:eastAsia="Times New Roman" w:hAnsi="Calibri" w:cs="Calibri"/>
                <w:b/>
                <w:color w:val="auto"/>
                <w:sz w:val="18"/>
                <w:szCs w:val="18"/>
              </w:rPr>
              <w:t xml:space="preserve"> </w:t>
            </w:r>
          </w:p>
        </w:tc>
        <w:tc>
          <w:tcPr>
            <w:tcW w:w="1091" w:type="pct"/>
          </w:tcPr>
          <w:p w14:paraId="5D15FC0D" w14:textId="77777777" w:rsidR="007C4C70" w:rsidRPr="00275ACD" w:rsidRDefault="007C4C70" w:rsidP="007C4C70">
            <w:pPr>
              <w:rPr>
                <w:rFonts w:asciiTheme="minorHAnsi" w:hAnsiTheme="minorHAnsi" w:cstheme="minorHAnsi"/>
                <w:sz w:val="18"/>
                <w:szCs w:val="18"/>
              </w:rPr>
            </w:pPr>
            <w:r w:rsidRPr="00275ACD">
              <w:rPr>
                <w:rFonts w:asciiTheme="minorHAnsi" w:hAnsiTheme="minorHAnsi" w:cstheme="minorHAnsi"/>
                <w:sz w:val="18"/>
                <w:szCs w:val="18"/>
              </w:rPr>
              <w:t xml:space="preserve">The target will be considered achieved if </w:t>
            </w:r>
            <w:r>
              <w:rPr>
                <w:rFonts w:asciiTheme="minorHAnsi" w:hAnsiTheme="minorHAnsi" w:cstheme="minorHAnsi"/>
                <w:sz w:val="18"/>
                <w:szCs w:val="18"/>
              </w:rPr>
              <w:t>the electricity sector</w:t>
            </w:r>
            <w:r w:rsidRPr="00275ACD">
              <w:rPr>
                <w:rFonts w:asciiTheme="minorHAnsi" w:hAnsiTheme="minorHAnsi" w:cstheme="minorHAnsi"/>
                <w:sz w:val="18"/>
                <w:szCs w:val="18"/>
              </w:rPr>
              <w:t xml:space="preserve"> reduces the cash deficit</w:t>
            </w:r>
            <w:r>
              <w:rPr>
                <w:rFonts w:asciiTheme="minorHAnsi" w:hAnsiTheme="minorHAnsi" w:cstheme="minorHAnsi"/>
                <w:sz w:val="18"/>
                <w:szCs w:val="18"/>
              </w:rPr>
              <w:t xml:space="preserve"> as per targets specified under </w:t>
            </w:r>
            <w:proofErr w:type="spellStart"/>
            <w:r>
              <w:rPr>
                <w:rFonts w:asciiTheme="minorHAnsi" w:hAnsiTheme="minorHAnsi" w:cstheme="minorHAnsi"/>
                <w:sz w:val="18"/>
                <w:szCs w:val="18"/>
              </w:rPr>
              <w:t>DLRs</w:t>
            </w:r>
            <w:r w:rsidRPr="00275ACD">
              <w:rPr>
                <w:rFonts w:asciiTheme="minorHAnsi" w:hAnsiTheme="minorHAnsi" w:cstheme="minorHAnsi"/>
                <w:sz w:val="18"/>
                <w:szCs w:val="18"/>
              </w:rPr>
              <w:t>.</w:t>
            </w:r>
            <w:proofErr w:type="spellEnd"/>
            <w:r w:rsidRPr="00275ACD">
              <w:rPr>
                <w:rFonts w:asciiTheme="minorHAnsi" w:hAnsiTheme="minorHAnsi" w:cstheme="minorHAnsi"/>
                <w:sz w:val="18"/>
                <w:szCs w:val="18"/>
              </w:rPr>
              <w:t xml:space="preserve"> </w:t>
            </w:r>
          </w:p>
        </w:tc>
        <w:tc>
          <w:tcPr>
            <w:tcW w:w="531" w:type="pct"/>
          </w:tcPr>
          <w:p w14:paraId="2F7355A4" w14:textId="77777777" w:rsidR="007C4C70" w:rsidRPr="00275ACD" w:rsidRDefault="007C4C70" w:rsidP="007C4C70">
            <w:pPr>
              <w:rPr>
                <w:rFonts w:asciiTheme="minorHAnsi" w:hAnsiTheme="minorHAnsi" w:cstheme="minorHAnsi"/>
                <w:sz w:val="18"/>
                <w:szCs w:val="18"/>
              </w:rPr>
            </w:pPr>
            <w:r w:rsidRPr="00275ACD">
              <w:rPr>
                <w:rFonts w:asciiTheme="minorHAnsi" w:hAnsiTheme="minorHAnsi" w:cstheme="minorHAnsi"/>
                <w:sz w:val="18"/>
                <w:szCs w:val="18"/>
              </w:rPr>
              <w:t>Yes</w:t>
            </w:r>
          </w:p>
        </w:tc>
        <w:tc>
          <w:tcPr>
            <w:tcW w:w="717" w:type="pct"/>
          </w:tcPr>
          <w:p w14:paraId="76A94306" w14:textId="77777777" w:rsidR="007C4C70" w:rsidRPr="00275ACD" w:rsidRDefault="007C4C70" w:rsidP="007C4C70">
            <w:pPr>
              <w:rPr>
                <w:rFonts w:asciiTheme="minorHAnsi" w:hAnsiTheme="minorHAnsi" w:cstheme="minorHAnsi"/>
                <w:sz w:val="18"/>
                <w:szCs w:val="18"/>
              </w:rPr>
            </w:pPr>
            <w:r w:rsidRPr="00275ACD">
              <w:rPr>
                <w:rFonts w:asciiTheme="minorHAnsi" w:hAnsiTheme="minorHAnsi" w:cstheme="minorHAnsi"/>
                <w:sz w:val="18"/>
                <w:szCs w:val="18"/>
              </w:rPr>
              <w:t>Data source: Financial statements and other accounting records and information of BT</w:t>
            </w:r>
            <w:r>
              <w:rPr>
                <w:rFonts w:asciiTheme="minorHAnsi" w:hAnsiTheme="minorHAnsi" w:cstheme="minorHAnsi"/>
                <w:sz w:val="18"/>
                <w:szCs w:val="18"/>
              </w:rPr>
              <w:t xml:space="preserve">, SIB, </w:t>
            </w:r>
            <w:r>
              <w:rPr>
                <w:rFonts w:asciiTheme="minorHAnsi" w:hAnsiTheme="minorHAnsi" w:cstheme="minorHAnsi"/>
                <w:sz w:val="18"/>
                <w:szCs w:val="18"/>
              </w:rPr>
              <w:lastRenderedPageBreak/>
              <w:t>and STB</w:t>
            </w:r>
            <w:r w:rsidRPr="00275ACD">
              <w:rPr>
                <w:rFonts w:asciiTheme="minorHAnsi" w:hAnsiTheme="minorHAnsi" w:cstheme="minorHAnsi"/>
                <w:sz w:val="18"/>
                <w:szCs w:val="18"/>
              </w:rPr>
              <w:t>.</w:t>
            </w:r>
          </w:p>
          <w:p w14:paraId="567D4433" w14:textId="77777777" w:rsidR="007C4C70" w:rsidRPr="00275ACD" w:rsidRDefault="007C4C70" w:rsidP="007C4C70">
            <w:pPr>
              <w:rPr>
                <w:rFonts w:asciiTheme="minorHAnsi" w:hAnsiTheme="minorHAnsi" w:cstheme="minorHAnsi"/>
                <w:sz w:val="18"/>
                <w:szCs w:val="18"/>
              </w:rPr>
            </w:pPr>
            <w:r w:rsidRPr="00275ACD">
              <w:rPr>
                <w:rFonts w:asciiTheme="minorHAnsi" w:hAnsiTheme="minorHAnsi" w:cstheme="minorHAnsi"/>
                <w:sz w:val="18"/>
                <w:szCs w:val="18"/>
              </w:rPr>
              <w:t>Agency: BT</w:t>
            </w:r>
            <w:r>
              <w:rPr>
                <w:rFonts w:asciiTheme="minorHAnsi" w:hAnsiTheme="minorHAnsi" w:cstheme="minorHAnsi"/>
                <w:sz w:val="18"/>
                <w:szCs w:val="18"/>
              </w:rPr>
              <w:t>.</w:t>
            </w:r>
          </w:p>
        </w:tc>
        <w:tc>
          <w:tcPr>
            <w:tcW w:w="624" w:type="pct"/>
          </w:tcPr>
          <w:p w14:paraId="1EAE3EA8" w14:textId="77777777" w:rsidR="007C4C70" w:rsidRPr="00275ACD" w:rsidRDefault="007C4C70" w:rsidP="007C4C70">
            <w:pPr>
              <w:rPr>
                <w:rFonts w:asciiTheme="minorHAnsi" w:hAnsiTheme="minorHAnsi" w:cstheme="minorHAnsi"/>
                <w:sz w:val="18"/>
                <w:szCs w:val="18"/>
              </w:rPr>
            </w:pPr>
            <w:r w:rsidRPr="00275ACD">
              <w:rPr>
                <w:rFonts w:asciiTheme="minorHAnsi" w:hAnsiTheme="minorHAnsi" w:cstheme="minorHAnsi"/>
                <w:sz w:val="18"/>
                <w:szCs w:val="18"/>
              </w:rPr>
              <w:lastRenderedPageBreak/>
              <w:t xml:space="preserve">Audit firm </w:t>
            </w:r>
            <w:r>
              <w:rPr>
                <w:rFonts w:asciiTheme="minorHAnsi" w:hAnsiTheme="minorHAnsi" w:cstheme="minorHAnsi"/>
                <w:sz w:val="18"/>
                <w:szCs w:val="18"/>
              </w:rPr>
              <w:t xml:space="preserve">under </w:t>
            </w:r>
            <w:r w:rsidRPr="00275ACD">
              <w:rPr>
                <w:rFonts w:asciiTheme="minorHAnsi" w:hAnsiTheme="minorHAnsi" w:cstheme="minorHAnsi"/>
                <w:sz w:val="18"/>
                <w:szCs w:val="18"/>
              </w:rPr>
              <w:t>TOR acceptable to the Bank.</w:t>
            </w:r>
          </w:p>
        </w:tc>
        <w:tc>
          <w:tcPr>
            <w:tcW w:w="947" w:type="pct"/>
          </w:tcPr>
          <w:p w14:paraId="1DA67C9D" w14:textId="77777777" w:rsidR="007C4C70" w:rsidRPr="00275ACD" w:rsidRDefault="007C4C70" w:rsidP="007C4C70">
            <w:pPr>
              <w:rPr>
                <w:rFonts w:asciiTheme="minorHAnsi" w:hAnsiTheme="minorHAnsi" w:cstheme="minorHAnsi"/>
                <w:sz w:val="18"/>
                <w:szCs w:val="18"/>
              </w:rPr>
            </w:pPr>
            <w:r w:rsidRPr="00275ACD">
              <w:rPr>
                <w:rFonts w:asciiTheme="minorHAnsi" w:hAnsiTheme="minorHAnsi" w:cstheme="minorHAnsi"/>
                <w:sz w:val="18"/>
                <w:szCs w:val="18"/>
              </w:rPr>
              <w:t>Review by IVA of the cash deficit computation</w:t>
            </w:r>
            <w:r>
              <w:rPr>
                <w:rFonts w:asciiTheme="minorHAnsi" w:hAnsiTheme="minorHAnsi" w:cstheme="minorHAnsi"/>
                <w:sz w:val="18"/>
                <w:szCs w:val="18"/>
              </w:rPr>
              <w:t xml:space="preserve"> for the electricity sector for each year covered by DLRs </w:t>
            </w:r>
            <w:r w:rsidRPr="00275ACD">
              <w:rPr>
                <w:rFonts w:asciiTheme="minorHAnsi" w:hAnsiTheme="minorHAnsi" w:cstheme="minorHAnsi"/>
                <w:sz w:val="18"/>
                <w:szCs w:val="18"/>
              </w:rPr>
              <w:t>to confirm that</w:t>
            </w:r>
            <w:r>
              <w:rPr>
                <w:rFonts w:asciiTheme="minorHAnsi" w:hAnsiTheme="minorHAnsi" w:cstheme="minorHAnsi"/>
                <w:sz w:val="18"/>
                <w:szCs w:val="18"/>
              </w:rPr>
              <w:t xml:space="preserve"> the specified </w:t>
            </w:r>
            <w:r>
              <w:rPr>
                <w:rFonts w:asciiTheme="minorHAnsi" w:hAnsiTheme="minorHAnsi" w:cstheme="minorHAnsi"/>
                <w:sz w:val="18"/>
                <w:szCs w:val="18"/>
              </w:rPr>
              <w:lastRenderedPageBreak/>
              <w:t>target for each DLR is met.</w:t>
            </w:r>
            <w:r w:rsidRPr="00275ACD">
              <w:rPr>
                <w:rFonts w:asciiTheme="minorHAnsi" w:hAnsiTheme="minorHAnsi" w:cstheme="minorHAnsi"/>
                <w:sz w:val="18"/>
                <w:szCs w:val="18"/>
              </w:rPr>
              <w:t xml:space="preserve"> </w:t>
            </w:r>
            <w:r>
              <w:rPr>
                <w:rFonts w:asciiTheme="minorHAnsi" w:hAnsiTheme="minorHAnsi" w:cstheme="minorHAnsi"/>
                <w:sz w:val="18"/>
                <w:szCs w:val="18"/>
              </w:rPr>
              <w:t>The IVA should verify that the computation of the cash deficit was carried out according to the</w:t>
            </w:r>
            <w:r w:rsidRPr="00275ACD">
              <w:rPr>
                <w:rFonts w:asciiTheme="minorHAnsi" w:hAnsiTheme="minorHAnsi" w:cstheme="minorHAnsi"/>
                <w:sz w:val="18"/>
                <w:szCs w:val="18"/>
              </w:rPr>
              <w:t xml:space="preserve"> following formula: </w:t>
            </w:r>
            <w:r>
              <w:rPr>
                <w:rFonts w:asciiTheme="minorHAnsi" w:hAnsiTheme="minorHAnsi" w:cstheme="minorHAnsi"/>
                <w:sz w:val="18"/>
                <w:szCs w:val="18"/>
              </w:rPr>
              <w:t>Ca</w:t>
            </w:r>
            <w:r w:rsidRPr="00275ACD">
              <w:rPr>
                <w:rFonts w:asciiTheme="minorHAnsi" w:hAnsiTheme="minorHAnsi" w:cstheme="minorHAnsi"/>
                <w:sz w:val="18"/>
                <w:szCs w:val="18"/>
              </w:rPr>
              <w:t xml:space="preserve">sh </w:t>
            </w:r>
            <w:r>
              <w:rPr>
                <w:rFonts w:asciiTheme="minorHAnsi" w:hAnsiTheme="minorHAnsi" w:cstheme="minorHAnsi"/>
                <w:sz w:val="18"/>
                <w:szCs w:val="18"/>
              </w:rPr>
              <w:t>R</w:t>
            </w:r>
            <w:r w:rsidRPr="00275ACD">
              <w:rPr>
                <w:rFonts w:asciiTheme="minorHAnsi" w:hAnsiTheme="minorHAnsi" w:cstheme="minorHAnsi"/>
                <w:sz w:val="18"/>
                <w:szCs w:val="18"/>
              </w:rPr>
              <w:t xml:space="preserve">evenues minus sum of all </w:t>
            </w:r>
            <w:r>
              <w:rPr>
                <w:rFonts w:asciiTheme="minorHAnsi" w:hAnsiTheme="minorHAnsi" w:cstheme="minorHAnsi"/>
                <w:sz w:val="18"/>
                <w:szCs w:val="18"/>
              </w:rPr>
              <w:t>A</w:t>
            </w:r>
            <w:r w:rsidRPr="00275ACD">
              <w:rPr>
                <w:rFonts w:asciiTheme="minorHAnsi" w:hAnsiTheme="minorHAnsi" w:cstheme="minorHAnsi"/>
                <w:sz w:val="18"/>
                <w:szCs w:val="18"/>
              </w:rPr>
              <w:t xml:space="preserve">ccrual based </w:t>
            </w:r>
            <w:r>
              <w:rPr>
                <w:rFonts w:asciiTheme="minorHAnsi" w:hAnsiTheme="minorHAnsi" w:cstheme="minorHAnsi"/>
                <w:sz w:val="18"/>
                <w:szCs w:val="18"/>
              </w:rPr>
              <w:t>costs of the electricity sector.</w:t>
            </w:r>
          </w:p>
          <w:p w14:paraId="170754C0" w14:textId="77777777" w:rsidR="007C4C70" w:rsidRPr="00275ACD" w:rsidRDefault="007C4C70" w:rsidP="007C4C70">
            <w:pPr>
              <w:rPr>
                <w:rFonts w:asciiTheme="minorHAnsi" w:hAnsiTheme="minorHAnsi" w:cstheme="minorHAnsi"/>
                <w:sz w:val="18"/>
                <w:szCs w:val="18"/>
              </w:rPr>
            </w:pPr>
          </w:p>
          <w:p w14:paraId="0F4B08B1" w14:textId="77777777" w:rsidR="007C4C70" w:rsidRPr="00275ACD" w:rsidRDefault="007C4C70" w:rsidP="007C4C70">
            <w:pPr>
              <w:rPr>
                <w:rFonts w:asciiTheme="minorHAnsi" w:hAnsiTheme="minorHAnsi" w:cstheme="minorHAnsi"/>
                <w:sz w:val="18"/>
                <w:szCs w:val="18"/>
              </w:rPr>
            </w:pPr>
            <w:r w:rsidRPr="00275ACD">
              <w:rPr>
                <w:rFonts w:asciiTheme="minorHAnsi" w:hAnsiTheme="minorHAnsi" w:cstheme="minorHAnsi"/>
                <w:sz w:val="18"/>
                <w:szCs w:val="18"/>
              </w:rPr>
              <w:t>Cash Revenues should include: (a) cash collected from sales</w:t>
            </w:r>
            <w:r>
              <w:rPr>
                <w:rFonts w:asciiTheme="minorHAnsi" w:hAnsiTheme="minorHAnsi" w:cstheme="minorHAnsi"/>
                <w:sz w:val="18"/>
                <w:szCs w:val="18"/>
              </w:rPr>
              <w:t xml:space="preserve"> of electricity</w:t>
            </w:r>
            <w:r w:rsidRPr="00275ACD">
              <w:rPr>
                <w:rFonts w:asciiTheme="minorHAnsi" w:hAnsiTheme="minorHAnsi" w:cstheme="minorHAnsi"/>
                <w:sz w:val="18"/>
                <w:szCs w:val="18"/>
              </w:rPr>
              <w:t xml:space="preserve"> to domestic consumers </w:t>
            </w:r>
            <w:proofErr w:type="gramStart"/>
            <w:r w:rsidRPr="00275ACD">
              <w:rPr>
                <w:rFonts w:asciiTheme="minorHAnsi" w:hAnsiTheme="minorHAnsi" w:cstheme="minorHAnsi"/>
                <w:sz w:val="18"/>
                <w:szCs w:val="18"/>
              </w:rPr>
              <w:t>and;</w:t>
            </w:r>
            <w:proofErr w:type="gramEnd"/>
            <w:r w:rsidRPr="00275ACD">
              <w:rPr>
                <w:rFonts w:asciiTheme="minorHAnsi" w:hAnsiTheme="minorHAnsi" w:cstheme="minorHAnsi"/>
                <w:sz w:val="18"/>
                <w:szCs w:val="18"/>
              </w:rPr>
              <w:t xml:space="preserve"> (b) cash collected from exports</w:t>
            </w:r>
            <w:r>
              <w:rPr>
                <w:rFonts w:asciiTheme="minorHAnsi" w:hAnsiTheme="minorHAnsi" w:cstheme="minorHAnsi"/>
                <w:sz w:val="18"/>
                <w:szCs w:val="18"/>
              </w:rPr>
              <w:t xml:space="preserve"> of electricity.</w:t>
            </w:r>
          </w:p>
          <w:p w14:paraId="4C9937F4" w14:textId="77777777" w:rsidR="007C4C70" w:rsidRPr="00275ACD" w:rsidRDefault="007C4C70" w:rsidP="007C4C70">
            <w:pPr>
              <w:rPr>
                <w:rFonts w:asciiTheme="minorHAnsi" w:hAnsiTheme="minorHAnsi" w:cstheme="minorHAnsi"/>
                <w:sz w:val="18"/>
                <w:szCs w:val="18"/>
              </w:rPr>
            </w:pPr>
          </w:p>
          <w:p w14:paraId="2D047AB0" w14:textId="77777777" w:rsidR="007C4C70" w:rsidRPr="00275ACD" w:rsidRDefault="007C4C70" w:rsidP="007C4C70">
            <w:pPr>
              <w:rPr>
                <w:rFonts w:asciiTheme="minorHAnsi" w:hAnsiTheme="minorHAnsi" w:cstheme="minorHAnsi"/>
                <w:sz w:val="18"/>
                <w:szCs w:val="18"/>
              </w:rPr>
            </w:pPr>
            <w:r w:rsidRPr="00275ACD">
              <w:rPr>
                <w:rFonts w:asciiTheme="minorHAnsi" w:hAnsiTheme="minorHAnsi" w:cstheme="minorHAnsi"/>
                <w:sz w:val="18"/>
                <w:szCs w:val="18"/>
              </w:rPr>
              <w:t>Accrual based costs should in</w:t>
            </w:r>
            <w:r>
              <w:rPr>
                <w:rFonts w:asciiTheme="minorHAnsi" w:hAnsiTheme="minorHAnsi" w:cstheme="minorHAnsi"/>
                <w:sz w:val="18"/>
                <w:szCs w:val="18"/>
              </w:rPr>
              <w:t>cl</w:t>
            </w:r>
            <w:r w:rsidRPr="00275ACD">
              <w:rPr>
                <w:rFonts w:asciiTheme="minorHAnsi" w:hAnsiTheme="minorHAnsi" w:cstheme="minorHAnsi"/>
                <w:sz w:val="18"/>
                <w:szCs w:val="18"/>
              </w:rPr>
              <w:t xml:space="preserve">ude: </w:t>
            </w:r>
          </w:p>
          <w:p w14:paraId="1FE36CC2" w14:textId="77777777" w:rsidR="007C4C70" w:rsidRPr="00275ACD" w:rsidRDefault="007C4C70" w:rsidP="00CB0465">
            <w:pPr>
              <w:pStyle w:val="ListParagraph"/>
              <w:numPr>
                <w:ilvl w:val="0"/>
                <w:numId w:val="27"/>
              </w:numPr>
              <w:ind w:left="250" w:hanging="270"/>
              <w:rPr>
                <w:rFonts w:asciiTheme="minorHAnsi" w:hAnsiTheme="minorHAnsi" w:cstheme="minorHAnsi"/>
                <w:sz w:val="18"/>
                <w:szCs w:val="18"/>
              </w:rPr>
            </w:pPr>
            <w:r w:rsidRPr="00275ACD">
              <w:rPr>
                <w:rFonts w:asciiTheme="minorHAnsi" w:hAnsiTheme="minorHAnsi" w:cstheme="minorHAnsi"/>
                <w:sz w:val="18"/>
                <w:szCs w:val="18"/>
              </w:rPr>
              <w:t xml:space="preserve">Direct </w:t>
            </w:r>
            <w:r>
              <w:rPr>
                <w:rFonts w:asciiTheme="minorHAnsi" w:hAnsiTheme="minorHAnsi" w:cstheme="minorHAnsi"/>
                <w:sz w:val="18"/>
                <w:szCs w:val="18"/>
              </w:rPr>
              <w:t xml:space="preserve">Production </w:t>
            </w:r>
            <w:r w:rsidRPr="00275ACD">
              <w:rPr>
                <w:rFonts w:asciiTheme="minorHAnsi" w:hAnsiTheme="minorHAnsi" w:cstheme="minorHAnsi"/>
                <w:sz w:val="18"/>
                <w:szCs w:val="18"/>
              </w:rPr>
              <w:t>Costs comprised of</w:t>
            </w:r>
          </w:p>
          <w:p w14:paraId="72D01881" w14:textId="77777777" w:rsidR="007C4C70" w:rsidRPr="00275ACD" w:rsidRDefault="007C4C70" w:rsidP="007C4C70">
            <w:pPr>
              <w:ind w:left="250" w:hanging="250"/>
              <w:rPr>
                <w:rFonts w:asciiTheme="minorHAnsi" w:hAnsiTheme="minorHAnsi" w:cstheme="minorHAnsi"/>
                <w:sz w:val="18"/>
                <w:szCs w:val="18"/>
              </w:rPr>
            </w:pPr>
            <w:r w:rsidRPr="00275ACD">
              <w:rPr>
                <w:rFonts w:asciiTheme="minorHAnsi" w:hAnsiTheme="minorHAnsi" w:cstheme="minorHAnsi"/>
                <w:sz w:val="18"/>
                <w:szCs w:val="18"/>
              </w:rPr>
              <w:t xml:space="preserve">      purchased electricity; materials, </w:t>
            </w:r>
            <w:proofErr w:type="gramStart"/>
            <w:r w:rsidRPr="00275ACD">
              <w:rPr>
                <w:rFonts w:asciiTheme="minorHAnsi" w:hAnsiTheme="minorHAnsi" w:cstheme="minorHAnsi"/>
                <w:sz w:val="18"/>
                <w:szCs w:val="18"/>
              </w:rPr>
              <w:t>salary</w:t>
            </w:r>
            <w:proofErr w:type="gramEnd"/>
            <w:r w:rsidRPr="00275ACD">
              <w:rPr>
                <w:rFonts w:asciiTheme="minorHAnsi" w:hAnsiTheme="minorHAnsi" w:cstheme="minorHAnsi"/>
                <w:sz w:val="18"/>
                <w:szCs w:val="18"/>
              </w:rPr>
              <w:t xml:space="preserve"> and related expenses; income taxes, and other direct costs.</w:t>
            </w:r>
          </w:p>
          <w:p w14:paraId="3448F863" w14:textId="77777777" w:rsidR="007C4C70" w:rsidRPr="00275ACD" w:rsidRDefault="007C4C70" w:rsidP="00CB0465">
            <w:pPr>
              <w:pStyle w:val="ListParagraph"/>
              <w:numPr>
                <w:ilvl w:val="0"/>
                <w:numId w:val="27"/>
              </w:numPr>
              <w:ind w:left="250" w:hanging="250"/>
              <w:rPr>
                <w:rFonts w:asciiTheme="minorHAnsi" w:hAnsiTheme="minorHAnsi" w:cstheme="minorHAnsi"/>
                <w:sz w:val="18"/>
                <w:szCs w:val="18"/>
              </w:rPr>
            </w:pPr>
            <w:r w:rsidRPr="00275ACD">
              <w:rPr>
                <w:rFonts w:asciiTheme="minorHAnsi" w:hAnsiTheme="minorHAnsi" w:cstheme="minorHAnsi"/>
                <w:sz w:val="18"/>
                <w:szCs w:val="18"/>
              </w:rPr>
              <w:t>Selling Costs comprised of salary and related expenses; inventory; services expenses; other selling costs.</w:t>
            </w:r>
          </w:p>
          <w:p w14:paraId="6E6DBA9D" w14:textId="77777777" w:rsidR="007C4C70" w:rsidRPr="00275ACD" w:rsidRDefault="007C4C70" w:rsidP="00CB0465">
            <w:pPr>
              <w:pStyle w:val="ListParagraph"/>
              <w:numPr>
                <w:ilvl w:val="0"/>
                <w:numId w:val="27"/>
              </w:numPr>
              <w:ind w:left="250" w:hanging="250"/>
              <w:rPr>
                <w:rFonts w:asciiTheme="minorHAnsi" w:hAnsiTheme="minorHAnsi" w:cstheme="minorHAnsi"/>
                <w:sz w:val="18"/>
                <w:szCs w:val="18"/>
              </w:rPr>
            </w:pPr>
            <w:r w:rsidRPr="00275ACD">
              <w:rPr>
                <w:rFonts w:asciiTheme="minorHAnsi" w:hAnsiTheme="minorHAnsi" w:cstheme="minorHAnsi"/>
                <w:sz w:val="18"/>
                <w:szCs w:val="18"/>
              </w:rPr>
              <w:t>General and Administrative Costs comprised of salary and related expenses; professional expenditures; commissions for banking services; fines and penalties; and taxes other than income tax.</w:t>
            </w:r>
          </w:p>
          <w:p w14:paraId="029D1246" w14:textId="77777777" w:rsidR="007C4C70" w:rsidRDefault="007C4C70" w:rsidP="00CB0465">
            <w:pPr>
              <w:pStyle w:val="ListParagraph"/>
              <w:numPr>
                <w:ilvl w:val="0"/>
                <w:numId w:val="27"/>
              </w:numPr>
              <w:ind w:left="250" w:hanging="250"/>
              <w:rPr>
                <w:rFonts w:asciiTheme="minorHAnsi" w:hAnsiTheme="minorHAnsi" w:cstheme="minorHAnsi"/>
                <w:sz w:val="18"/>
                <w:szCs w:val="18"/>
              </w:rPr>
            </w:pPr>
            <w:r>
              <w:rPr>
                <w:rFonts w:asciiTheme="minorHAnsi" w:hAnsiTheme="minorHAnsi" w:cstheme="minorHAnsi"/>
                <w:sz w:val="18"/>
                <w:szCs w:val="18"/>
              </w:rPr>
              <w:t>C</w:t>
            </w:r>
            <w:r w:rsidRPr="00275ACD">
              <w:rPr>
                <w:rFonts w:asciiTheme="minorHAnsi" w:hAnsiTheme="minorHAnsi" w:cstheme="minorHAnsi"/>
                <w:sz w:val="18"/>
                <w:szCs w:val="18"/>
              </w:rPr>
              <w:t xml:space="preserve">urrent portion of </w:t>
            </w:r>
            <w:r>
              <w:rPr>
                <w:rFonts w:asciiTheme="minorHAnsi" w:hAnsiTheme="minorHAnsi" w:cstheme="minorHAnsi"/>
                <w:sz w:val="18"/>
                <w:szCs w:val="18"/>
              </w:rPr>
              <w:t xml:space="preserve">outstanding principal amounts of </w:t>
            </w:r>
            <w:r w:rsidRPr="00275ACD">
              <w:rPr>
                <w:rFonts w:asciiTheme="minorHAnsi" w:hAnsiTheme="minorHAnsi" w:cstheme="minorHAnsi"/>
                <w:sz w:val="18"/>
                <w:szCs w:val="18"/>
              </w:rPr>
              <w:t>long-term debts</w:t>
            </w:r>
            <w:r>
              <w:rPr>
                <w:rFonts w:asciiTheme="minorHAnsi" w:hAnsiTheme="minorHAnsi" w:cstheme="minorHAnsi"/>
                <w:sz w:val="18"/>
                <w:szCs w:val="18"/>
              </w:rPr>
              <w:t xml:space="preserve"> to MOF; </w:t>
            </w:r>
            <w:r w:rsidRPr="00275ACD">
              <w:rPr>
                <w:rFonts w:asciiTheme="minorHAnsi" w:hAnsiTheme="minorHAnsi" w:cstheme="minorHAnsi"/>
                <w:sz w:val="18"/>
                <w:szCs w:val="18"/>
              </w:rPr>
              <w:t xml:space="preserve">interest </w:t>
            </w:r>
            <w:r w:rsidRPr="00275ACD">
              <w:rPr>
                <w:rFonts w:asciiTheme="minorHAnsi" w:hAnsiTheme="minorHAnsi" w:cstheme="minorHAnsi"/>
                <w:sz w:val="18"/>
                <w:szCs w:val="18"/>
              </w:rPr>
              <w:lastRenderedPageBreak/>
              <w:t>payable</w:t>
            </w:r>
            <w:r>
              <w:rPr>
                <w:rFonts w:asciiTheme="minorHAnsi" w:hAnsiTheme="minorHAnsi" w:cstheme="minorHAnsi"/>
                <w:sz w:val="18"/>
                <w:szCs w:val="18"/>
              </w:rPr>
              <w:t xml:space="preserve"> MOF</w:t>
            </w:r>
            <w:r w:rsidRPr="00275ACD">
              <w:rPr>
                <w:rFonts w:asciiTheme="minorHAnsi" w:hAnsiTheme="minorHAnsi" w:cstheme="minorHAnsi"/>
                <w:sz w:val="18"/>
                <w:szCs w:val="18"/>
              </w:rPr>
              <w:t>;</w:t>
            </w:r>
            <w:r>
              <w:rPr>
                <w:rFonts w:asciiTheme="minorHAnsi" w:hAnsiTheme="minorHAnsi" w:cstheme="minorHAnsi"/>
                <w:sz w:val="18"/>
                <w:szCs w:val="18"/>
              </w:rPr>
              <w:t xml:space="preserve"> </w:t>
            </w:r>
            <w:r w:rsidRPr="00275ACD">
              <w:rPr>
                <w:rFonts w:asciiTheme="minorHAnsi" w:hAnsiTheme="minorHAnsi" w:cstheme="minorHAnsi"/>
                <w:sz w:val="18"/>
                <w:szCs w:val="18"/>
              </w:rPr>
              <w:t>and penalties on overdue debt service</w:t>
            </w:r>
            <w:r>
              <w:rPr>
                <w:rFonts w:asciiTheme="minorHAnsi" w:hAnsiTheme="minorHAnsi" w:cstheme="minorHAnsi"/>
                <w:sz w:val="18"/>
                <w:szCs w:val="18"/>
              </w:rPr>
              <w:t xml:space="preserve"> to MOF.</w:t>
            </w:r>
          </w:p>
          <w:p w14:paraId="5ED2B702" w14:textId="77777777" w:rsidR="007C4C70" w:rsidRDefault="007C4C70" w:rsidP="00CB0465">
            <w:pPr>
              <w:pStyle w:val="ListParagraph"/>
              <w:numPr>
                <w:ilvl w:val="0"/>
                <w:numId w:val="27"/>
              </w:numPr>
              <w:ind w:left="250" w:hanging="250"/>
              <w:rPr>
                <w:rFonts w:asciiTheme="minorHAnsi" w:hAnsiTheme="minorHAnsi" w:cstheme="minorHAnsi"/>
                <w:sz w:val="18"/>
                <w:szCs w:val="18"/>
              </w:rPr>
            </w:pPr>
            <w:r>
              <w:rPr>
                <w:rFonts w:asciiTheme="minorHAnsi" w:hAnsiTheme="minorHAnsi" w:cstheme="minorHAnsi"/>
                <w:sz w:val="18"/>
                <w:szCs w:val="18"/>
              </w:rPr>
              <w:t>Overdue payables</w:t>
            </w:r>
            <w:r w:rsidRPr="00275ACD">
              <w:rPr>
                <w:rFonts w:asciiTheme="minorHAnsi" w:hAnsiTheme="minorHAnsi" w:cstheme="minorHAnsi"/>
                <w:sz w:val="18"/>
                <w:szCs w:val="18"/>
              </w:rPr>
              <w:t>;</w:t>
            </w:r>
            <w:r>
              <w:rPr>
                <w:rFonts w:asciiTheme="minorHAnsi" w:hAnsiTheme="minorHAnsi" w:cstheme="minorHAnsi"/>
                <w:sz w:val="18"/>
                <w:szCs w:val="18"/>
              </w:rPr>
              <w:t xml:space="preserve"> </w:t>
            </w:r>
            <w:r w:rsidRPr="00275ACD">
              <w:rPr>
                <w:rFonts w:asciiTheme="minorHAnsi" w:hAnsiTheme="minorHAnsi" w:cstheme="minorHAnsi"/>
                <w:sz w:val="18"/>
                <w:szCs w:val="18"/>
              </w:rPr>
              <w:t>and</w:t>
            </w:r>
          </w:p>
          <w:p w14:paraId="54C3AEAE" w14:textId="77777777" w:rsidR="007C4C70" w:rsidRPr="00275ACD" w:rsidRDefault="007C4C70" w:rsidP="00CB0465">
            <w:pPr>
              <w:pStyle w:val="ListParagraph"/>
              <w:numPr>
                <w:ilvl w:val="0"/>
                <w:numId w:val="27"/>
              </w:numPr>
              <w:ind w:left="250" w:hanging="250"/>
              <w:rPr>
                <w:rFonts w:asciiTheme="minorHAnsi" w:hAnsiTheme="minorHAnsi" w:cstheme="minorHAnsi"/>
                <w:sz w:val="18"/>
                <w:szCs w:val="18"/>
              </w:rPr>
            </w:pPr>
            <w:r>
              <w:rPr>
                <w:rFonts w:asciiTheme="minorHAnsi" w:hAnsiTheme="minorHAnsi" w:cstheme="minorHAnsi"/>
                <w:sz w:val="18"/>
                <w:szCs w:val="18"/>
              </w:rPr>
              <w:t>P</w:t>
            </w:r>
            <w:r w:rsidRPr="00275ACD">
              <w:rPr>
                <w:rFonts w:asciiTheme="minorHAnsi" w:hAnsiTheme="minorHAnsi" w:cstheme="minorHAnsi"/>
                <w:sz w:val="18"/>
                <w:szCs w:val="18"/>
              </w:rPr>
              <w:t>enalties on overdue debt service</w:t>
            </w:r>
            <w:r>
              <w:rPr>
                <w:rFonts w:asciiTheme="minorHAnsi" w:hAnsiTheme="minorHAnsi" w:cstheme="minorHAnsi"/>
                <w:sz w:val="18"/>
                <w:szCs w:val="18"/>
              </w:rPr>
              <w:t xml:space="preserve"> and payables.</w:t>
            </w:r>
          </w:p>
        </w:tc>
      </w:tr>
      <w:tr w:rsidR="007C4C70" w:rsidRPr="000F2697" w14:paraId="59BCE40F" w14:textId="77777777" w:rsidTr="00866A63">
        <w:trPr>
          <w:jc w:val="center"/>
        </w:trPr>
        <w:tc>
          <w:tcPr>
            <w:tcW w:w="1090" w:type="pct"/>
          </w:tcPr>
          <w:p w14:paraId="177A4FE3" w14:textId="6682144C" w:rsidR="007C4C70" w:rsidRPr="000F2697" w:rsidRDefault="007C4C70" w:rsidP="007C4C70">
            <w:pPr>
              <w:rPr>
                <w:rFonts w:ascii="Calibri" w:hAnsi="Calibri" w:cs="Calibri"/>
                <w:b/>
                <w:sz w:val="18"/>
                <w:szCs w:val="20"/>
              </w:rPr>
            </w:pPr>
            <w:r w:rsidRPr="000F2697">
              <w:rPr>
                <w:rFonts w:ascii="Calibri" w:hAnsi="Calibri" w:cs="Calibri"/>
                <w:b/>
                <w:sz w:val="18"/>
                <w:szCs w:val="20"/>
              </w:rPr>
              <w:lastRenderedPageBreak/>
              <w:t xml:space="preserve">DLI 5: </w:t>
            </w:r>
            <w:r w:rsidRPr="00E927F5">
              <w:rPr>
                <w:rFonts w:asciiTheme="minorHAnsi" w:eastAsia="Times New Roman" w:hAnsiTheme="minorHAnsi" w:cstheme="minorHAnsi"/>
                <w:b/>
                <w:color w:val="auto"/>
                <w:sz w:val="18"/>
                <w:szCs w:val="18"/>
              </w:rPr>
              <w:t xml:space="preserve">Adequate electricity supply </w:t>
            </w:r>
            <w:r>
              <w:rPr>
                <w:rFonts w:asciiTheme="minorHAnsi" w:eastAsia="Times New Roman" w:hAnsiTheme="minorHAnsi" w:cstheme="minorHAnsi"/>
                <w:b/>
                <w:color w:val="auto"/>
                <w:sz w:val="18"/>
                <w:szCs w:val="18"/>
              </w:rPr>
              <w:t xml:space="preserve">is received by </w:t>
            </w:r>
            <w:proofErr w:type="gramStart"/>
            <w:r>
              <w:rPr>
                <w:rFonts w:asciiTheme="minorHAnsi" w:eastAsia="Times New Roman" w:hAnsiTheme="minorHAnsi" w:cstheme="minorHAnsi"/>
                <w:b/>
                <w:color w:val="auto"/>
                <w:sz w:val="18"/>
                <w:szCs w:val="18"/>
              </w:rPr>
              <w:t>BT</w:t>
            </w:r>
            <w:proofErr w:type="gramEnd"/>
            <w:r>
              <w:rPr>
                <w:rFonts w:asciiTheme="minorHAnsi" w:eastAsia="Times New Roman" w:hAnsiTheme="minorHAnsi" w:cstheme="minorHAnsi"/>
                <w:b/>
                <w:color w:val="auto"/>
                <w:sz w:val="18"/>
                <w:szCs w:val="18"/>
              </w:rPr>
              <w:t xml:space="preserve"> or the Designated Off-taker from Sangtuda-1 power plant</w:t>
            </w:r>
          </w:p>
        </w:tc>
        <w:tc>
          <w:tcPr>
            <w:tcW w:w="1091" w:type="pct"/>
          </w:tcPr>
          <w:p w14:paraId="4A577B6D" w14:textId="77777777" w:rsidR="007C4C70" w:rsidRPr="00F975C6" w:rsidRDefault="007C4C70" w:rsidP="007C4C70">
            <w:pPr>
              <w:rPr>
                <w:rFonts w:asciiTheme="minorHAnsi" w:hAnsiTheme="minorHAnsi" w:cstheme="minorHAnsi"/>
                <w:sz w:val="18"/>
                <w:szCs w:val="18"/>
              </w:rPr>
            </w:pPr>
            <w:r w:rsidRPr="00F975C6">
              <w:rPr>
                <w:rFonts w:asciiTheme="minorHAnsi" w:hAnsiTheme="minorHAnsi" w:cstheme="minorHAnsi"/>
                <w:sz w:val="18"/>
                <w:szCs w:val="18"/>
              </w:rPr>
              <w:t xml:space="preserve">The target will be considered achieved if </w:t>
            </w:r>
            <w:r>
              <w:rPr>
                <w:rFonts w:asciiTheme="minorHAnsi" w:hAnsiTheme="minorHAnsi" w:cstheme="minorHAnsi"/>
                <w:sz w:val="18"/>
                <w:szCs w:val="18"/>
              </w:rPr>
              <w:t>BT receives</w:t>
            </w:r>
            <w:r w:rsidRPr="00F975C6">
              <w:rPr>
                <w:rFonts w:asciiTheme="minorHAnsi" w:hAnsiTheme="minorHAnsi" w:cstheme="minorHAnsi"/>
                <w:sz w:val="18"/>
                <w:szCs w:val="18"/>
              </w:rPr>
              <w:t xml:space="preserve"> at least 1,800 GWh of electricity/year for</w:t>
            </w:r>
            <w:r>
              <w:rPr>
                <w:rFonts w:asciiTheme="minorHAnsi" w:hAnsiTheme="minorHAnsi" w:cstheme="minorHAnsi"/>
                <w:sz w:val="18"/>
                <w:szCs w:val="18"/>
              </w:rPr>
              <w:t xml:space="preserve"> the purposes </w:t>
            </w:r>
            <w:proofErr w:type="gramStart"/>
            <w:r>
              <w:rPr>
                <w:rFonts w:asciiTheme="minorHAnsi" w:hAnsiTheme="minorHAnsi" w:cstheme="minorHAnsi"/>
                <w:sz w:val="18"/>
                <w:szCs w:val="18"/>
              </w:rPr>
              <w:t xml:space="preserve">of </w:t>
            </w:r>
            <w:r w:rsidRPr="00F975C6">
              <w:rPr>
                <w:rFonts w:asciiTheme="minorHAnsi" w:hAnsiTheme="minorHAnsi" w:cstheme="minorHAnsi"/>
                <w:sz w:val="18"/>
                <w:szCs w:val="18"/>
              </w:rPr>
              <w:t xml:space="preserve"> domestic</w:t>
            </w:r>
            <w:proofErr w:type="gramEnd"/>
            <w:r w:rsidRPr="00F975C6">
              <w:rPr>
                <w:rFonts w:asciiTheme="minorHAnsi" w:hAnsiTheme="minorHAnsi" w:cstheme="minorHAnsi"/>
                <w:sz w:val="18"/>
                <w:szCs w:val="18"/>
              </w:rPr>
              <w:t xml:space="preserve"> </w:t>
            </w:r>
            <w:r>
              <w:rPr>
                <w:rFonts w:asciiTheme="minorHAnsi" w:hAnsiTheme="minorHAnsi" w:cstheme="minorHAnsi"/>
                <w:sz w:val="18"/>
                <w:szCs w:val="18"/>
              </w:rPr>
              <w:t>supply</w:t>
            </w:r>
            <w:r w:rsidRPr="00F975C6">
              <w:rPr>
                <w:rFonts w:asciiTheme="minorHAnsi" w:hAnsiTheme="minorHAnsi" w:cstheme="minorHAnsi"/>
                <w:sz w:val="18"/>
                <w:szCs w:val="18"/>
              </w:rPr>
              <w:t>. Lower level of supply will be considered acceptable if it is a result of technical failure caused by reasons not related to BT</w:t>
            </w:r>
            <w:r>
              <w:rPr>
                <w:rFonts w:asciiTheme="minorHAnsi" w:hAnsiTheme="minorHAnsi" w:cstheme="minorHAnsi"/>
                <w:sz w:val="18"/>
                <w:szCs w:val="18"/>
              </w:rPr>
              <w:t>, hydrology conditions,</w:t>
            </w:r>
            <w:r w:rsidRPr="00F975C6">
              <w:rPr>
                <w:rFonts w:asciiTheme="minorHAnsi" w:hAnsiTheme="minorHAnsi" w:cstheme="minorHAnsi"/>
                <w:sz w:val="18"/>
                <w:szCs w:val="18"/>
              </w:rPr>
              <w:t xml:space="preserve"> or lower electricity demand.</w:t>
            </w:r>
          </w:p>
        </w:tc>
        <w:tc>
          <w:tcPr>
            <w:tcW w:w="531" w:type="pct"/>
          </w:tcPr>
          <w:p w14:paraId="1926D4C6" w14:textId="77777777" w:rsidR="007C4C70" w:rsidRPr="00F975C6" w:rsidRDefault="007C4C70" w:rsidP="007C4C70">
            <w:pPr>
              <w:rPr>
                <w:rFonts w:asciiTheme="minorHAnsi" w:hAnsiTheme="minorHAnsi" w:cstheme="minorHAnsi"/>
                <w:sz w:val="18"/>
                <w:szCs w:val="18"/>
              </w:rPr>
            </w:pPr>
            <w:r w:rsidRPr="00F975C6">
              <w:rPr>
                <w:rFonts w:asciiTheme="minorHAnsi" w:hAnsiTheme="minorHAnsi" w:cstheme="minorHAnsi"/>
                <w:sz w:val="18"/>
                <w:szCs w:val="18"/>
              </w:rPr>
              <w:t>No</w:t>
            </w:r>
          </w:p>
        </w:tc>
        <w:tc>
          <w:tcPr>
            <w:tcW w:w="717" w:type="pct"/>
          </w:tcPr>
          <w:p w14:paraId="01BD710C" w14:textId="77777777" w:rsidR="007C4C70" w:rsidRPr="00F975C6" w:rsidRDefault="007C4C70" w:rsidP="007C4C70">
            <w:pPr>
              <w:rPr>
                <w:rFonts w:asciiTheme="minorHAnsi" w:hAnsiTheme="minorHAnsi" w:cstheme="minorHAnsi"/>
                <w:sz w:val="18"/>
                <w:szCs w:val="18"/>
              </w:rPr>
            </w:pPr>
            <w:r w:rsidRPr="00F975C6">
              <w:rPr>
                <w:rFonts w:asciiTheme="minorHAnsi" w:hAnsiTheme="minorHAnsi" w:cstheme="minorHAnsi"/>
                <w:sz w:val="18"/>
                <w:szCs w:val="18"/>
              </w:rPr>
              <w:t>Data source: Copies of invoices submitted by Sangtuda-1 HPP for electricity supplied; and data from BT on meter reading at acceptance point of electricity in BT’s network.</w:t>
            </w:r>
          </w:p>
          <w:p w14:paraId="5BA686EA" w14:textId="77777777" w:rsidR="007C4C70" w:rsidRPr="00F975C6" w:rsidRDefault="007C4C70" w:rsidP="007C4C70">
            <w:pPr>
              <w:rPr>
                <w:rFonts w:asciiTheme="minorHAnsi" w:hAnsiTheme="minorHAnsi" w:cstheme="minorHAnsi"/>
                <w:sz w:val="18"/>
                <w:szCs w:val="18"/>
              </w:rPr>
            </w:pPr>
            <w:r w:rsidRPr="00F975C6">
              <w:rPr>
                <w:rFonts w:asciiTheme="minorHAnsi" w:hAnsiTheme="minorHAnsi" w:cstheme="minorHAnsi"/>
                <w:sz w:val="18"/>
                <w:szCs w:val="18"/>
              </w:rPr>
              <w:t>Agency: BT</w:t>
            </w:r>
            <w:r>
              <w:rPr>
                <w:rFonts w:asciiTheme="minorHAnsi" w:hAnsiTheme="minorHAnsi" w:cstheme="minorHAnsi"/>
                <w:sz w:val="18"/>
                <w:szCs w:val="18"/>
              </w:rPr>
              <w:t>.</w:t>
            </w:r>
          </w:p>
        </w:tc>
        <w:tc>
          <w:tcPr>
            <w:tcW w:w="624" w:type="pct"/>
          </w:tcPr>
          <w:p w14:paraId="1E92A9A3" w14:textId="77777777" w:rsidR="007C4C70" w:rsidRPr="00F975C6" w:rsidRDefault="007C4C70" w:rsidP="007C4C70">
            <w:pPr>
              <w:rPr>
                <w:rFonts w:asciiTheme="minorHAnsi" w:hAnsiTheme="minorHAnsi" w:cstheme="minorHAnsi"/>
                <w:sz w:val="18"/>
                <w:szCs w:val="18"/>
              </w:rPr>
            </w:pPr>
            <w:r w:rsidRPr="00F975C6">
              <w:rPr>
                <w:rFonts w:asciiTheme="minorHAnsi" w:hAnsiTheme="minorHAnsi" w:cstheme="minorHAnsi"/>
                <w:sz w:val="18"/>
                <w:szCs w:val="18"/>
              </w:rPr>
              <w:t>The Bank.</w:t>
            </w:r>
          </w:p>
        </w:tc>
        <w:tc>
          <w:tcPr>
            <w:tcW w:w="947" w:type="pct"/>
          </w:tcPr>
          <w:p w14:paraId="7B828889" w14:textId="77777777" w:rsidR="007C4C70" w:rsidRPr="00F975C6" w:rsidRDefault="007C4C70" w:rsidP="007C4C70">
            <w:pPr>
              <w:rPr>
                <w:rFonts w:asciiTheme="minorHAnsi" w:hAnsiTheme="minorHAnsi" w:cstheme="minorHAnsi"/>
                <w:sz w:val="18"/>
                <w:szCs w:val="18"/>
              </w:rPr>
            </w:pPr>
            <w:r w:rsidRPr="00F975C6">
              <w:rPr>
                <w:rFonts w:asciiTheme="minorHAnsi" w:hAnsiTheme="minorHAnsi" w:cstheme="minorHAnsi"/>
                <w:sz w:val="18"/>
                <w:szCs w:val="18"/>
              </w:rPr>
              <w:t>The IVA will review the invoices and cross-check with meter readings to be submitted by BT generation company to confirm the amount of electricity supplied to electricity transmission network of BT for domestic consumption purposes.</w:t>
            </w:r>
          </w:p>
        </w:tc>
      </w:tr>
      <w:tr w:rsidR="007C4C70" w:rsidRPr="00132421" w14:paraId="69F3A8FA" w14:textId="77777777" w:rsidTr="00866A63">
        <w:trPr>
          <w:jc w:val="center"/>
        </w:trPr>
        <w:tc>
          <w:tcPr>
            <w:tcW w:w="1090" w:type="pct"/>
          </w:tcPr>
          <w:p w14:paraId="3B360E2B" w14:textId="77777777" w:rsidR="007C4C70" w:rsidRPr="00133DF2" w:rsidRDefault="007C4C70" w:rsidP="007C4C70">
            <w:pPr>
              <w:rPr>
                <w:rFonts w:asciiTheme="minorHAnsi" w:eastAsia="Times New Roman" w:hAnsiTheme="minorHAnsi" w:cstheme="minorHAnsi"/>
                <w:b/>
                <w:sz w:val="18"/>
                <w:szCs w:val="18"/>
              </w:rPr>
            </w:pPr>
            <w:r w:rsidRPr="00133DF2">
              <w:rPr>
                <w:rFonts w:asciiTheme="minorHAnsi" w:eastAsia="Times New Roman" w:hAnsiTheme="minorHAnsi" w:cstheme="minorHAnsi"/>
                <w:b/>
                <w:sz w:val="18"/>
                <w:szCs w:val="18"/>
              </w:rPr>
              <w:t xml:space="preserve">DLI 7: </w:t>
            </w:r>
            <w:r w:rsidRPr="00133DF2">
              <w:rPr>
                <w:rFonts w:asciiTheme="minorHAnsi" w:hAnsiTheme="minorHAnsi" w:cstheme="minorHAnsi"/>
                <w:b/>
                <w:sz w:val="18"/>
                <w:szCs w:val="18"/>
              </w:rPr>
              <w:t>Use of technically, economically, and financially sound principles for the Recipient’s investment decision-making in electricity generation, transmission, and distribution</w:t>
            </w:r>
          </w:p>
        </w:tc>
        <w:tc>
          <w:tcPr>
            <w:tcW w:w="1091" w:type="pct"/>
          </w:tcPr>
          <w:p w14:paraId="23CA59AB" w14:textId="77777777" w:rsidR="007C4C70" w:rsidRPr="00132421" w:rsidRDefault="007C4C70" w:rsidP="007C4C70">
            <w:pPr>
              <w:rPr>
                <w:rFonts w:asciiTheme="minorHAnsi" w:hAnsiTheme="minorHAnsi" w:cstheme="minorHAnsi"/>
                <w:b/>
                <w:sz w:val="18"/>
                <w:szCs w:val="18"/>
              </w:rPr>
            </w:pPr>
          </w:p>
        </w:tc>
        <w:tc>
          <w:tcPr>
            <w:tcW w:w="531" w:type="pct"/>
          </w:tcPr>
          <w:p w14:paraId="24DECAFE" w14:textId="77777777" w:rsidR="007C4C70" w:rsidRPr="00132421" w:rsidRDefault="007C4C70" w:rsidP="007C4C70">
            <w:pPr>
              <w:rPr>
                <w:rFonts w:asciiTheme="minorHAnsi" w:hAnsiTheme="minorHAnsi" w:cstheme="minorHAnsi"/>
                <w:b/>
                <w:sz w:val="18"/>
                <w:szCs w:val="18"/>
              </w:rPr>
            </w:pPr>
          </w:p>
        </w:tc>
        <w:tc>
          <w:tcPr>
            <w:tcW w:w="717" w:type="pct"/>
          </w:tcPr>
          <w:p w14:paraId="121E2BE5" w14:textId="77777777" w:rsidR="007C4C70" w:rsidRPr="00132421" w:rsidRDefault="007C4C70" w:rsidP="007C4C70">
            <w:pPr>
              <w:rPr>
                <w:rFonts w:asciiTheme="minorHAnsi" w:hAnsiTheme="minorHAnsi" w:cstheme="minorHAnsi"/>
                <w:b/>
                <w:sz w:val="18"/>
                <w:szCs w:val="18"/>
              </w:rPr>
            </w:pPr>
          </w:p>
        </w:tc>
        <w:tc>
          <w:tcPr>
            <w:tcW w:w="624" w:type="pct"/>
          </w:tcPr>
          <w:p w14:paraId="2A86BDD2" w14:textId="77777777" w:rsidR="007C4C70" w:rsidRPr="00132421" w:rsidRDefault="007C4C70" w:rsidP="007C4C70">
            <w:pPr>
              <w:rPr>
                <w:rFonts w:asciiTheme="minorHAnsi" w:hAnsiTheme="minorHAnsi" w:cstheme="minorHAnsi"/>
                <w:b/>
                <w:sz w:val="18"/>
                <w:szCs w:val="18"/>
              </w:rPr>
            </w:pPr>
          </w:p>
        </w:tc>
        <w:tc>
          <w:tcPr>
            <w:tcW w:w="947" w:type="pct"/>
          </w:tcPr>
          <w:p w14:paraId="0E2CDBA9" w14:textId="77777777" w:rsidR="007C4C70" w:rsidRPr="00132421" w:rsidRDefault="007C4C70" w:rsidP="007C4C70">
            <w:pPr>
              <w:rPr>
                <w:rFonts w:asciiTheme="minorHAnsi" w:hAnsiTheme="minorHAnsi" w:cstheme="minorHAnsi"/>
                <w:b/>
                <w:sz w:val="18"/>
                <w:szCs w:val="18"/>
              </w:rPr>
            </w:pPr>
          </w:p>
        </w:tc>
      </w:tr>
      <w:tr w:rsidR="007C4C70" w:rsidRPr="001B1012" w14:paraId="2B9F1A77" w14:textId="77777777" w:rsidTr="00866A63">
        <w:trPr>
          <w:jc w:val="center"/>
        </w:trPr>
        <w:tc>
          <w:tcPr>
            <w:tcW w:w="1090" w:type="pct"/>
          </w:tcPr>
          <w:p w14:paraId="603F5615" w14:textId="533E195A" w:rsidR="007C4C70" w:rsidRPr="00133DF2" w:rsidRDefault="007C4C70" w:rsidP="007C4C70">
            <w:pPr>
              <w:rPr>
                <w:rFonts w:asciiTheme="minorHAnsi" w:eastAsia="Times New Roman" w:hAnsiTheme="minorHAnsi" w:cstheme="minorHAnsi"/>
                <w:bCs/>
                <w:sz w:val="18"/>
                <w:szCs w:val="18"/>
              </w:rPr>
            </w:pPr>
            <w:r w:rsidRPr="00133DF2">
              <w:rPr>
                <w:rFonts w:asciiTheme="minorHAnsi" w:hAnsiTheme="minorHAnsi" w:cstheme="minorHAnsi"/>
                <w:sz w:val="18"/>
                <w:szCs w:val="18"/>
              </w:rPr>
              <w:t>DLR 7.1: By October 30, 2022, MEWR completes the update of GEP</w:t>
            </w:r>
          </w:p>
        </w:tc>
        <w:tc>
          <w:tcPr>
            <w:tcW w:w="1091" w:type="pct"/>
          </w:tcPr>
          <w:p w14:paraId="78D644A8"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 xml:space="preserve">The target will be considered achieved if </w:t>
            </w:r>
            <w:r>
              <w:rPr>
                <w:rFonts w:asciiTheme="minorHAnsi" w:hAnsiTheme="minorHAnsi" w:cstheme="minorHAnsi"/>
                <w:sz w:val="18"/>
                <w:szCs w:val="18"/>
              </w:rPr>
              <w:t>MEWR</w:t>
            </w:r>
            <w:r w:rsidRPr="001B1012">
              <w:rPr>
                <w:rFonts w:asciiTheme="minorHAnsi" w:hAnsiTheme="minorHAnsi" w:cstheme="minorHAnsi"/>
                <w:sz w:val="18"/>
                <w:szCs w:val="18"/>
              </w:rPr>
              <w:t xml:space="preserve"> </w:t>
            </w:r>
            <w:r>
              <w:rPr>
                <w:rFonts w:asciiTheme="minorHAnsi" w:hAnsiTheme="minorHAnsi" w:cstheme="minorHAnsi"/>
                <w:sz w:val="18"/>
                <w:szCs w:val="18"/>
              </w:rPr>
              <w:t>updates the GEP.</w:t>
            </w:r>
          </w:p>
        </w:tc>
        <w:tc>
          <w:tcPr>
            <w:tcW w:w="531" w:type="pct"/>
          </w:tcPr>
          <w:p w14:paraId="4F14E9DA"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No</w:t>
            </w:r>
          </w:p>
        </w:tc>
        <w:tc>
          <w:tcPr>
            <w:tcW w:w="717" w:type="pct"/>
          </w:tcPr>
          <w:p w14:paraId="705C1DBE"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 xml:space="preserve">Data source: Copy of the </w:t>
            </w:r>
            <w:r>
              <w:rPr>
                <w:rFonts w:asciiTheme="minorHAnsi" w:hAnsiTheme="minorHAnsi" w:cstheme="minorHAnsi"/>
                <w:sz w:val="18"/>
                <w:szCs w:val="18"/>
              </w:rPr>
              <w:t>GEP</w:t>
            </w:r>
            <w:r w:rsidRPr="001B1012">
              <w:rPr>
                <w:rFonts w:asciiTheme="minorHAnsi" w:hAnsiTheme="minorHAnsi" w:cstheme="minorHAnsi"/>
                <w:sz w:val="18"/>
                <w:szCs w:val="18"/>
              </w:rPr>
              <w:t>.</w:t>
            </w:r>
          </w:p>
          <w:p w14:paraId="18EE0227"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 xml:space="preserve">Agency: </w:t>
            </w:r>
            <w:r>
              <w:rPr>
                <w:rFonts w:asciiTheme="minorHAnsi" w:hAnsiTheme="minorHAnsi" w:cstheme="minorHAnsi"/>
                <w:sz w:val="18"/>
                <w:szCs w:val="18"/>
              </w:rPr>
              <w:t>MEWR.</w:t>
            </w:r>
          </w:p>
        </w:tc>
        <w:tc>
          <w:tcPr>
            <w:tcW w:w="624" w:type="pct"/>
          </w:tcPr>
          <w:p w14:paraId="7DD55D05"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Energy economics and engineering consultant under TOR acceptable to the Bank.</w:t>
            </w:r>
          </w:p>
        </w:tc>
        <w:tc>
          <w:tcPr>
            <w:tcW w:w="947" w:type="pct"/>
          </w:tcPr>
          <w:p w14:paraId="7D5E7443" w14:textId="77777777" w:rsidR="007C4C70" w:rsidRPr="001B1012" w:rsidRDefault="007C4C70" w:rsidP="007C4C70">
            <w:pPr>
              <w:rPr>
                <w:rFonts w:asciiTheme="minorHAnsi" w:hAnsiTheme="minorHAnsi" w:cstheme="minorHAnsi"/>
                <w:sz w:val="18"/>
                <w:szCs w:val="18"/>
              </w:rPr>
            </w:pPr>
            <w:r>
              <w:rPr>
                <w:rFonts w:asciiTheme="minorHAnsi" w:hAnsiTheme="minorHAnsi" w:cstheme="minorHAnsi"/>
                <w:sz w:val="18"/>
                <w:szCs w:val="18"/>
              </w:rPr>
              <w:t>MEWR to submit to the Bank the updated GEP, which will be validated by the Bank to confirm</w:t>
            </w:r>
            <w:r w:rsidRPr="001B1012">
              <w:rPr>
                <w:rFonts w:asciiTheme="minorHAnsi" w:hAnsiTheme="minorHAnsi" w:cstheme="minorHAnsi"/>
                <w:sz w:val="18"/>
                <w:szCs w:val="18"/>
              </w:rPr>
              <w:t xml:space="preserve">: (a) it is based on robust base case domestic electricity demand projection; (b) </w:t>
            </w:r>
            <w:r>
              <w:rPr>
                <w:rFonts w:asciiTheme="minorHAnsi" w:hAnsiTheme="minorHAnsi" w:cstheme="minorHAnsi"/>
                <w:sz w:val="18"/>
                <w:szCs w:val="18"/>
              </w:rPr>
              <w:t>inputs and assumptions are reasonable</w:t>
            </w:r>
            <w:r w:rsidRPr="001B1012">
              <w:rPr>
                <w:rFonts w:asciiTheme="minorHAnsi" w:hAnsiTheme="minorHAnsi" w:cstheme="minorHAnsi"/>
                <w:sz w:val="18"/>
                <w:szCs w:val="18"/>
              </w:rPr>
              <w:t>; (c) it is consistent with the principle of minimizing total economic cost of generation; and (d) it is technically and financially feasible.</w:t>
            </w:r>
          </w:p>
        </w:tc>
      </w:tr>
      <w:tr w:rsidR="007C4C70" w:rsidRPr="001B1012" w14:paraId="6B42BD36" w14:textId="77777777" w:rsidTr="00866A63">
        <w:trPr>
          <w:jc w:val="center"/>
        </w:trPr>
        <w:tc>
          <w:tcPr>
            <w:tcW w:w="1090" w:type="pct"/>
          </w:tcPr>
          <w:p w14:paraId="1A2DBC30" w14:textId="2019D2C9" w:rsidR="007C4C70" w:rsidRPr="00133DF2" w:rsidRDefault="007C4C70" w:rsidP="007C4C70">
            <w:pPr>
              <w:rPr>
                <w:rFonts w:asciiTheme="minorHAnsi" w:eastAsia="Times New Roman" w:hAnsiTheme="minorHAnsi" w:cstheme="minorHAnsi"/>
                <w:bCs/>
                <w:sz w:val="18"/>
                <w:szCs w:val="18"/>
              </w:rPr>
            </w:pPr>
            <w:r w:rsidRPr="00133DF2">
              <w:rPr>
                <w:rFonts w:asciiTheme="minorHAnsi" w:hAnsiTheme="minorHAnsi" w:cstheme="minorHAnsi"/>
                <w:sz w:val="18"/>
                <w:szCs w:val="18"/>
              </w:rPr>
              <w:t xml:space="preserve">DLR 7.2:  By February 28, 2023, MEWR approves the updated GEP </w:t>
            </w:r>
          </w:p>
        </w:tc>
        <w:tc>
          <w:tcPr>
            <w:tcW w:w="1091" w:type="pct"/>
          </w:tcPr>
          <w:p w14:paraId="67992FDD"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The target will be considered achieved if MEWR formally approves it as a guiding document for new investments into electricity generation.</w:t>
            </w:r>
          </w:p>
        </w:tc>
        <w:tc>
          <w:tcPr>
            <w:tcW w:w="531" w:type="pct"/>
          </w:tcPr>
          <w:p w14:paraId="7ACE147D"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No</w:t>
            </w:r>
          </w:p>
        </w:tc>
        <w:tc>
          <w:tcPr>
            <w:tcW w:w="717" w:type="pct"/>
          </w:tcPr>
          <w:p w14:paraId="4EF4EC21"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Data source: Copy of the MEWR decision to approve LCP.</w:t>
            </w:r>
          </w:p>
          <w:p w14:paraId="25139D69"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Agency: MEWR</w:t>
            </w:r>
            <w:r>
              <w:rPr>
                <w:rFonts w:asciiTheme="minorHAnsi" w:hAnsiTheme="minorHAnsi" w:cstheme="minorHAnsi"/>
                <w:sz w:val="18"/>
                <w:szCs w:val="18"/>
              </w:rPr>
              <w:t>.</w:t>
            </w:r>
          </w:p>
        </w:tc>
        <w:tc>
          <w:tcPr>
            <w:tcW w:w="624" w:type="pct"/>
          </w:tcPr>
          <w:p w14:paraId="7C8A7C70" w14:textId="77777777" w:rsidR="007C4C70" w:rsidRPr="001B1012" w:rsidRDefault="007C4C70" w:rsidP="007C4C70">
            <w:pPr>
              <w:rPr>
                <w:rFonts w:asciiTheme="minorHAnsi" w:hAnsiTheme="minorHAnsi" w:cstheme="minorHAnsi"/>
                <w:sz w:val="18"/>
                <w:szCs w:val="18"/>
              </w:rPr>
            </w:pPr>
            <w:r>
              <w:rPr>
                <w:rFonts w:asciiTheme="minorHAnsi" w:hAnsiTheme="minorHAnsi" w:cstheme="minorHAnsi"/>
                <w:sz w:val="18"/>
                <w:szCs w:val="18"/>
              </w:rPr>
              <w:t>Legal</w:t>
            </w:r>
            <w:r w:rsidRPr="001B1012">
              <w:rPr>
                <w:rFonts w:asciiTheme="minorHAnsi" w:hAnsiTheme="minorHAnsi" w:cstheme="minorHAnsi"/>
                <w:sz w:val="18"/>
                <w:szCs w:val="18"/>
              </w:rPr>
              <w:t xml:space="preserve"> consultant under TOR acceptable to the Bank</w:t>
            </w:r>
            <w:r>
              <w:rPr>
                <w:rFonts w:asciiTheme="minorHAnsi" w:hAnsiTheme="minorHAnsi" w:cstheme="minorHAnsi"/>
                <w:sz w:val="18"/>
                <w:szCs w:val="18"/>
              </w:rPr>
              <w:t>.</w:t>
            </w:r>
          </w:p>
        </w:tc>
        <w:tc>
          <w:tcPr>
            <w:tcW w:w="947" w:type="pct"/>
          </w:tcPr>
          <w:p w14:paraId="67D4D6D6"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Review by IVA of the MEWR decision to confirm it is consistent with requirements of applicable legislation and is binding on BT.</w:t>
            </w:r>
          </w:p>
        </w:tc>
      </w:tr>
      <w:tr w:rsidR="007C4C70" w:rsidRPr="001B1012" w14:paraId="3F080C7B" w14:textId="77777777" w:rsidTr="00866A63">
        <w:trPr>
          <w:jc w:val="center"/>
        </w:trPr>
        <w:tc>
          <w:tcPr>
            <w:tcW w:w="1090" w:type="pct"/>
          </w:tcPr>
          <w:p w14:paraId="7A61A8EA" w14:textId="0F69BFED" w:rsidR="007C4C70" w:rsidRPr="00133DF2" w:rsidRDefault="007C4C70" w:rsidP="007C4C70">
            <w:pPr>
              <w:rPr>
                <w:rFonts w:asciiTheme="minorHAnsi" w:eastAsia="Times New Roman" w:hAnsiTheme="minorHAnsi" w:cstheme="minorHAnsi"/>
                <w:bCs/>
                <w:sz w:val="18"/>
                <w:szCs w:val="18"/>
              </w:rPr>
            </w:pPr>
            <w:r w:rsidRPr="00133DF2">
              <w:rPr>
                <w:rFonts w:asciiTheme="minorHAnsi" w:hAnsiTheme="minorHAnsi" w:cstheme="minorHAnsi"/>
                <w:sz w:val="18"/>
                <w:szCs w:val="18"/>
              </w:rPr>
              <w:lastRenderedPageBreak/>
              <w:t>DLR 7.3: By December 31, 2023, new generation investment decisions are made by the Recipient in accordance with the updated GEP, and transmission and distribution network development plans based on the GEP are prepared by SIB and STB respectively, and are approved by MEWR</w:t>
            </w:r>
          </w:p>
        </w:tc>
        <w:tc>
          <w:tcPr>
            <w:tcW w:w="1091" w:type="pct"/>
          </w:tcPr>
          <w:p w14:paraId="0F9A1338"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The target would be considered achieved if: (a) capital investments (and investment decisions) into electricity generation are consistent with priorities and projects identified in generation LCP; and (b) MEWR formally approves the T&amp;D network development plans.</w:t>
            </w:r>
          </w:p>
        </w:tc>
        <w:tc>
          <w:tcPr>
            <w:tcW w:w="531" w:type="pct"/>
          </w:tcPr>
          <w:p w14:paraId="24E008B6"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No</w:t>
            </w:r>
          </w:p>
        </w:tc>
        <w:tc>
          <w:tcPr>
            <w:tcW w:w="717" w:type="pct"/>
          </w:tcPr>
          <w:p w14:paraId="41BAFEE4"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Data source: Data on new generation project started (or investment decisions made); copy of approved T&amp;D network development plan.</w:t>
            </w:r>
          </w:p>
          <w:p w14:paraId="3DD14353"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Agency: MEWR and BT</w:t>
            </w:r>
            <w:r>
              <w:rPr>
                <w:rFonts w:asciiTheme="minorHAnsi" w:hAnsiTheme="minorHAnsi" w:cstheme="minorHAnsi"/>
                <w:sz w:val="18"/>
                <w:szCs w:val="18"/>
              </w:rPr>
              <w:t>.</w:t>
            </w:r>
          </w:p>
        </w:tc>
        <w:tc>
          <w:tcPr>
            <w:tcW w:w="624" w:type="pct"/>
          </w:tcPr>
          <w:p w14:paraId="2010A078"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Energy economics and engineering consultant under TOR acceptable to the Bank.</w:t>
            </w:r>
          </w:p>
        </w:tc>
        <w:tc>
          <w:tcPr>
            <w:tcW w:w="947" w:type="pct"/>
          </w:tcPr>
          <w:p w14:paraId="38E8E2DA" w14:textId="77777777" w:rsidR="007C4C70" w:rsidRDefault="007C4C70" w:rsidP="00CB0465">
            <w:pPr>
              <w:pStyle w:val="ListParagraph"/>
              <w:numPr>
                <w:ilvl w:val="0"/>
                <w:numId w:val="21"/>
              </w:numPr>
              <w:ind w:left="160" w:hanging="160"/>
              <w:rPr>
                <w:rFonts w:asciiTheme="minorHAnsi" w:hAnsiTheme="minorHAnsi" w:cstheme="minorHAnsi"/>
                <w:sz w:val="18"/>
                <w:szCs w:val="18"/>
              </w:rPr>
            </w:pPr>
            <w:r w:rsidRPr="0067506F">
              <w:rPr>
                <w:rFonts w:asciiTheme="minorHAnsi" w:hAnsiTheme="minorHAnsi" w:cstheme="minorHAnsi"/>
                <w:sz w:val="18"/>
                <w:szCs w:val="18"/>
              </w:rPr>
              <w:t xml:space="preserve">MEWR to submit to the Bank the list of all new electricity generation projects (approved for preparation and implementation) so that the Bank can validate those are consistent with approved </w:t>
            </w:r>
            <w:proofErr w:type="gramStart"/>
            <w:r w:rsidRPr="0067506F">
              <w:rPr>
                <w:rFonts w:asciiTheme="minorHAnsi" w:hAnsiTheme="minorHAnsi" w:cstheme="minorHAnsi"/>
                <w:sz w:val="18"/>
                <w:szCs w:val="18"/>
              </w:rPr>
              <w:t>GEP;</w:t>
            </w:r>
            <w:proofErr w:type="gramEnd"/>
          </w:p>
          <w:p w14:paraId="59539511" w14:textId="77777777" w:rsidR="007C4C70" w:rsidRDefault="007C4C70" w:rsidP="00CB0465">
            <w:pPr>
              <w:pStyle w:val="ListParagraph"/>
              <w:numPr>
                <w:ilvl w:val="0"/>
                <w:numId w:val="21"/>
              </w:numPr>
              <w:ind w:left="160" w:hanging="160"/>
              <w:rPr>
                <w:rFonts w:asciiTheme="minorHAnsi" w:hAnsiTheme="minorHAnsi" w:cstheme="minorHAnsi"/>
                <w:sz w:val="18"/>
                <w:szCs w:val="18"/>
              </w:rPr>
            </w:pPr>
            <w:r>
              <w:rPr>
                <w:rFonts w:asciiTheme="minorHAnsi" w:hAnsiTheme="minorHAnsi" w:cstheme="minorHAnsi"/>
                <w:sz w:val="18"/>
                <w:szCs w:val="18"/>
              </w:rPr>
              <w:t xml:space="preserve">MEWR to submit to the Bank </w:t>
            </w:r>
            <w:r w:rsidRPr="0067506F">
              <w:rPr>
                <w:rFonts w:asciiTheme="minorHAnsi" w:hAnsiTheme="minorHAnsi" w:cstheme="minorHAnsi"/>
                <w:sz w:val="18"/>
                <w:szCs w:val="18"/>
              </w:rPr>
              <w:t>T&amp;D network development plan</w:t>
            </w:r>
            <w:r>
              <w:rPr>
                <w:rFonts w:asciiTheme="minorHAnsi" w:hAnsiTheme="minorHAnsi" w:cstheme="minorHAnsi"/>
                <w:sz w:val="18"/>
                <w:szCs w:val="18"/>
              </w:rPr>
              <w:t>s for the Bank to validate those</w:t>
            </w:r>
            <w:r w:rsidRPr="0067506F">
              <w:rPr>
                <w:rFonts w:asciiTheme="minorHAnsi" w:hAnsiTheme="minorHAnsi" w:cstheme="minorHAnsi"/>
                <w:sz w:val="18"/>
                <w:szCs w:val="18"/>
              </w:rPr>
              <w:t xml:space="preserve"> </w:t>
            </w:r>
            <w:r>
              <w:rPr>
                <w:rFonts w:asciiTheme="minorHAnsi" w:hAnsiTheme="minorHAnsi" w:cstheme="minorHAnsi"/>
                <w:sz w:val="18"/>
                <w:szCs w:val="18"/>
              </w:rPr>
              <w:t>are</w:t>
            </w:r>
            <w:r w:rsidRPr="0067506F">
              <w:rPr>
                <w:rFonts w:asciiTheme="minorHAnsi" w:hAnsiTheme="minorHAnsi" w:cstheme="minorHAnsi"/>
                <w:sz w:val="18"/>
                <w:szCs w:val="18"/>
              </w:rPr>
              <w:t xml:space="preserve"> economically and technically </w:t>
            </w:r>
            <w:proofErr w:type="gramStart"/>
            <w:r w:rsidRPr="0067506F">
              <w:rPr>
                <w:rFonts w:asciiTheme="minorHAnsi" w:hAnsiTheme="minorHAnsi" w:cstheme="minorHAnsi"/>
                <w:sz w:val="18"/>
                <w:szCs w:val="18"/>
              </w:rPr>
              <w:t>justified;</w:t>
            </w:r>
            <w:proofErr w:type="gramEnd"/>
          </w:p>
          <w:p w14:paraId="768A9F24" w14:textId="77777777" w:rsidR="007C4C70" w:rsidRPr="0067506F" w:rsidRDefault="007C4C70" w:rsidP="00CB0465">
            <w:pPr>
              <w:pStyle w:val="ListParagraph"/>
              <w:numPr>
                <w:ilvl w:val="0"/>
                <w:numId w:val="21"/>
              </w:numPr>
              <w:ind w:left="160" w:hanging="160"/>
              <w:rPr>
                <w:rFonts w:asciiTheme="minorHAnsi" w:hAnsiTheme="minorHAnsi" w:cstheme="minorHAnsi"/>
                <w:sz w:val="18"/>
                <w:szCs w:val="18"/>
              </w:rPr>
            </w:pPr>
            <w:r>
              <w:rPr>
                <w:rFonts w:asciiTheme="minorHAnsi" w:hAnsiTheme="minorHAnsi" w:cstheme="minorHAnsi"/>
                <w:sz w:val="18"/>
                <w:szCs w:val="18"/>
              </w:rPr>
              <w:t>Review by IVA</w:t>
            </w:r>
            <w:r w:rsidRPr="0067506F">
              <w:rPr>
                <w:rFonts w:asciiTheme="minorHAnsi" w:hAnsiTheme="minorHAnsi" w:cstheme="minorHAnsi"/>
                <w:sz w:val="18"/>
                <w:szCs w:val="18"/>
              </w:rPr>
              <w:t xml:space="preserve"> </w:t>
            </w:r>
            <w:r>
              <w:rPr>
                <w:rFonts w:asciiTheme="minorHAnsi" w:hAnsiTheme="minorHAnsi" w:cstheme="minorHAnsi"/>
                <w:sz w:val="18"/>
                <w:szCs w:val="18"/>
              </w:rPr>
              <w:t>of</w:t>
            </w:r>
            <w:r w:rsidRPr="0067506F">
              <w:rPr>
                <w:rFonts w:asciiTheme="minorHAnsi" w:hAnsiTheme="minorHAnsi" w:cstheme="minorHAnsi"/>
                <w:sz w:val="18"/>
                <w:szCs w:val="18"/>
              </w:rPr>
              <w:t xml:space="preserve"> MEWR decision on approval of T&amp;D network plans to confirm it is consistent with requirements of applicable legislation and is binding on transmission and distribution companies.</w:t>
            </w:r>
          </w:p>
        </w:tc>
      </w:tr>
      <w:tr w:rsidR="007C4C70" w:rsidRPr="001B1012" w14:paraId="05401868" w14:textId="77777777" w:rsidTr="00866A63">
        <w:trPr>
          <w:jc w:val="center"/>
        </w:trPr>
        <w:tc>
          <w:tcPr>
            <w:tcW w:w="1090" w:type="pct"/>
          </w:tcPr>
          <w:p w14:paraId="32D3B3CF" w14:textId="77777777" w:rsidR="007C4C70" w:rsidRPr="00133DF2" w:rsidRDefault="007C4C70" w:rsidP="007C4C70">
            <w:pPr>
              <w:widowControl/>
              <w:tabs>
                <w:tab w:val="left" w:pos="1640"/>
              </w:tabs>
              <w:autoSpaceDE/>
              <w:autoSpaceDN/>
              <w:adjustRightInd/>
              <w:rPr>
                <w:rFonts w:ascii="Calibri" w:eastAsia="Times New Roman" w:hAnsi="Calibri" w:cs="Calibri"/>
                <w:sz w:val="18"/>
                <w:szCs w:val="18"/>
              </w:rPr>
            </w:pPr>
            <w:r w:rsidRPr="00133DF2">
              <w:rPr>
                <w:rFonts w:asciiTheme="minorHAnsi" w:eastAsia="Times New Roman" w:hAnsiTheme="minorHAnsi" w:cstheme="minorHAnsi"/>
                <w:sz w:val="18"/>
                <w:szCs w:val="18"/>
              </w:rPr>
              <w:t xml:space="preserve">DLRs 7.4-7.10: </w:t>
            </w:r>
            <w:r w:rsidRPr="00133DF2">
              <w:rPr>
                <w:rFonts w:ascii="Calibri" w:eastAsia="Times New Roman" w:hAnsi="Calibri" w:cs="Calibri"/>
                <w:sz w:val="18"/>
                <w:szCs w:val="18"/>
              </w:rPr>
              <w:t>New generation, transmission, and distribution projects initiated by BT, SIB, STB respectively or the Recipient’s government are consistent with the approved plans.</w:t>
            </w:r>
          </w:p>
          <w:p w14:paraId="7EA5DFF7" w14:textId="77777777" w:rsidR="007C4C70" w:rsidRPr="00133DF2" w:rsidRDefault="007C4C70" w:rsidP="007C4C70">
            <w:pPr>
              <w:widowControl/>
              <w:autoSpaceDE/>
              <w:autoSpaceDN/>
              <w:adjustRightInd/>
              <w:rPr>
                <w:rFonts w:asciiTheme="minorHAnsi" w:hAnsiTheme="minorHAnsi" w:cstheme="minorHAnsi"/>
                <w:sz w:val="18"/>
                <w:szCs w:val="18"/>
              </w:rPr>
            </w:pPr>
          </w:p>
        </w:tc>
        <w:tc>
          <w:tcPr>
            <w:tcW w:w="1091" w:type="pct"/>
          </w:tcPr>
          <w:p w14:paraId="3C8E09C8"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The target will be considered achieved if capital investments and investment decisions into electricity generation and T&amp;D are consistent with priorities and projects identified in generation LCP and T&amp;D network development plans.</w:t>
            </w:r>
          </w:p>
        </w:tc>
        <w:tc>
          <w:tcPr>
            <w:tcW w:w="531" w:type="pct"/>
          </w:tcPr>
          <w:p w14:paraId="301A0BA8"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No</w:t>
            </w:r>
          </w:p>
        </w:tc>
        <w:tc>
          <w:tcPr>
            <w:tcW w:w="717" w:type="pct"/>
          </w:tcPr>
          <w:p w14:paraId="723E093D"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Data source: Data on capital expenditures of BT</w:t>
            </w:r>
            <w:r>
              <w:rPr>
                <w:rFonts w:asciiTheme="minorHAnsi" w:hAnsiTheme="minorHAnsi" w:cstheme="minorHAnsi"/>
                <w:sz w:val="18"/>
                <w:szCs w:val="18"/>
              </w:rPr>
              <w:t>, SIB, and STB</w:t>
            </w:r>
            <w:r w:rsidRPr="001B1012">
              <w:rPr>
                <w:rFonts w:asciiTheme="minorHAnsi" w:hAnsiTheme="minorHAnsi" w:cstheme="minorHAnsi"/>
                <w:sz w:val="18"/>
                <w:szCs w:val="18"/>
              </w:rPr>
              <w:t>, the state budget, and decisions on priority projects and pipelines</w:t>
            </w:r>
          </w:p>
          <w:p w14:paraId="50F567DD"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 xml:space="preserve">Agency: </w:t>
            </w:r>
            <w:r>
              <w:rPr>
                <w:rFonts w:asciiTheme="minorHAnsi" w:hAnsiTheme="minorHAnsi" w:cstheme="minorHAnsi"/>
                <w:sz w:val="18"/>
                <w:szCs w:val="18"/>
              </w:rPr>
              <w:t>MEWR and BT.</w:t>
            </w:r>
          </w:p>
        </w:tc>
        <w:tc>
          <w:tcPr>
            <w:tcW w:w="624" w:type="pct"/>
          </w:tcPr>
          <w:p w14:paraId="719E691E"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Energy economics consultant under the TOR acceptable to the Bank.</w:t>
            </w:r>
          </w:p>
        </w:tc>
        <w:tc>
          <w:tcPr>
            <w:tcW w:w="947" w:type="pct"/>
          </w:tcPr>
          <w:p w14:paraId="653389F3" w14:textId="77777777" w:rsidR="007C4C70" w:rsidRPr="001B1012" w:rsidRDefault="007C4C70" w:rsidP="007C4C70">
            <w:pPr>
              <w:rPr>
                <w:rFonts w:asciiTheme="minorHAnsi" w:hAnsiTheme="minorHAnsi" w:cstheme="minorHAnsi"/>
                <w:sz w:val="18"/>
                <w:szCs w:val="18"/>
              </w:rPr>
            </w:pPr>
            <w:r w:rsidRPr="0067506F">
              <w:rPr>
                <w:rFonts w:asciiTheme="minorHAnsi" w:hAnsiTheme="minorHAnsi" w:cstheme="minorHAnsi"/>
                <w:sz w:val="18"/>
                <w:szCs w:val="18"/>
              </w:rPr>
              <w:t>MEWR to submit to the Bank the list of all new electricity generation</w:t>
            </w:r>
            <w:r>
              <w:rPr>
                <w:rFonts w:asciiTheme="minorHAnsi" w:hAnsiTheme="minorHAnsi" w:cstheme="minorHAnsi"/>
                <w:sz w:val="18"/>
                <w:szCs w:val="18"/>
              </w:rPr>
              <w:t>, transmission, and distribution</w:t>
            </w:r>
            <w:r w:rsidRPr="0067506F">
              <w:rPr>
                <w:rFonts w:asciiTheme="minorHAnsi" w:hAnsiTheme="minorHAnsi" w:cstheme="minorHAnsi"/>
                <w:sz w:val="18"/>
                <w:szCs w:val="18"/>
              </w:rPr>
              <w:t xml:space="preserve"> projects (approved for preparation and implementation) so that the Bank can validate those are consistent with approved GEP</w:t>
            </w:r>
            <w:r>
              <w:rPr>
                <w:rFonts w:asciiTheme="minorHAnsi" w:hAnsiTheme="minorHAnsi" w:cstheme="minorHAnsi"/>
                <w:sz w:val="18"/>
                <w:szCs w:val="18"/>
              </w:rPr>
              <w:t xml:space="preserve"> and T&amp;D network development plans.</w:t>
            </w:r>
          </w:p>
        </w:tc>
      </w:tr>
      <w:tr w:rsidR="007C4C70" w:rsidRPr="00132421" w14:paraId="3884BAEC" w14:textId="77777777" w:rsidTr="00866A63">
        <w:trPr>
          <w:jc w:val="center"/>
        </w:trPr>
        <w:tc>
          <w:tcPr>
            <w:tcW w:w="1090" w:type="pct"/>
          </w:tcPr>
          <w:p w14:paraId="06F4FB31" w14:textId="77777777" w:rsidR="007C4C70" w:rsidRPr="00133DF2" w:rsidRDefault="007C4C70" w:rsidP="007C4C70">
            <w:pPr>
              <w:rPr>
                <w:rFonts w:asciiTheme="minorHAnsi" w:eastAsia="Times New Roman" w:hAnsiTheme="minorHAnsi" w:cstheme="minorHAnsi"/>
                <w:b/>
                <w:sz w:val="18"/>
                <w:szCs w:val="18"/>
              </w:rPr>
            </w:pPr>
            <w:r w:rsidRPr="00133DF2">
              <w:rPr>
                <w:rFonts w:asciiTheme="minorHAnsi" w:eastAsia="Times New Roman" w:hAnsiTheme="minorHAnsi" w:cstheme="minorHAnsi"/>
                <w:b/>
                <w:sz w:val="18"/>
                <w:szCs w:val="18"/>
              </w:rPr>
              <w:t xml:space="preserve">DLI 8: </w:t>
            </w:r>
            <w:r w:rsidRPr="00133DF2">
              <w:rPr>
                <w:rFonts w:ascii="Calibri" w:eastAsia="Times New Roman" w:hAnsi="Calibri" w:cs="Calibri"/>
                <w:b/>
                <w:sz w:val="18"/>
                <w:szCs w:val="18"/>
              </w:rPr>
              <w:t>Improvement of operational and financial transparency of BT, SIB, and STB</w:t>
            </w:r>
          </w:p>
        </w:tc>
        <w:tc>
          <w:tcPr>
            <w:tcW w:w="1091" w:type="pct"/>
          </w:tcPr>
          <w:p w14:paraId="7F553D1F" w14:textId="77777777" w:rsidR="007C4C70" w:rsidRPr="00132421" w:rsidRDefault="007C4C70" w:rsidP="007C4C70">
            <w:pPr>
              <w:rPr>
                <w:rFonts w:asciiTheme="minorHAnsi" w:hAnsiTheme="minorHAnsi" w:cstheme="minorHAnsi"/>
                <w:b/>
                <w:sz w:val="18"/>
                <w:szCs w:val="18"/>
              </w:rPr>
            </w:pPr>
          </w:p>
        </w:tc>
        <w:tc>
          <w:tcPr>
            <w:tcW w:w="531" w:type="pct"/>
          </w:tcPr>
          <w:p w14:paraId="0416C28E" w14:textId="77777777" w:rsidR="007C4C70" w:rsidRPr="00132421" w:rsidRDefault="007C4C70" w:rsidP="007C4C70">
            <w:pPr>
              <w:rPr>
                <w:rFonts w:asciiTheme="minorHAnsi" w:hAnsiTheme="minorHAnsi" w:cstheme="minorHAnsi"/>
                <w:b/>
                <w:sz w:val="18"/>
                <w:szCs w:val="18"/>
              </w:rPr>
            </w:pPr>
          </w:p>
        </w:tc>
        <w:tc>
          <w:tcPr>
            <w:tcW w:w="717" w:type="pct"/>
          </w:tcPr>
          <w:p w14:paraId="78327176" w14:textId="77777777" w:rsidR="007C4C70" w:rsidRPr="00132421" w:rsidRDefault="007C4C70" w:rsidP="007C4C70">
            <w:pPr>
              <w:rPr>
                <w:rFonts w:asciiTheme="minorHAnsi" w:hAnsiTheme="minorHAnsi" w:cstheme="minorHAnsi"/>
                <w:b/>
                <w:sz w:val="18"/>
                <w:szCs w:val="18"/>
              </w:rPr>
            </w:pPr>
          </w:p>
        </w:tc>
        <w:tc>
          <w:tcPr>
            <w:tcW w:w="624" w:type="pct"/>
          </w:tcPr>
          <w:p w14:paraId="4237BEB1" w14:textId="77777777" w:rsidR="007C4C70" w:rsidRPr="00132421" w:rsidRDefault="007C4C70" w:rsidP="007C4C70">
            <w:pPr>
              <w:rPr>
                <w:rFonts w:asciiTheme="minorHAnsi" w:hAnsiTheme="minorHAnsi" w:cstheme="minorHAnsi"/>
                <w:b/>
                <w:sz w:val="18"/>
                <w:szCs w:val="18"/>
              </w:rPr>
            </w:pPr>
          </w:p>
        </w:tc>
        <w:tc>
          <w:tcPr>
            <w:tcW w:w="947" w:type="pct"/>
          </w:tcPr>
          <w:p w14:paraId="6F9B6BD5" w14:textId="77777777" w:rsidR="007C4C70" w:rsidRPr="00132421" w:rsidRDefault="007C4C70" w:rsidP="007C4C70">
            <w:pPr>
              <w:rPr>
                <w:rFonts w:asciiTheme="minorHAnsi" w:hAnsiTheme="minorHAnsi" w:cstheme="minorHAnsi"/>
                <w:b/>
                <w:sz w:val="18"/>
                <w:szCs w:val="18"/>
              </w:rPr>
            </w:pPr>
          </w:p>
        </w:tc>
      </w:tr>
      <w:tr w:rsidR="007C4C70" w:rsidRPr="001B1012" w14:paraId="2F90A23C" w14:textId="77777777" w:rsidTr="00866A63">
        <w:trPr>
          <w:jc w:val="center"/>
        </w:trPr>
        <w:tc>
          <w:tcPr>
            <w:tcW w:w="1090" w:type="pct"/>
          </w:tcPr>
          <w:p w14:paraId="5703C2FB" w14:textId="77777777" w:rsidR="007C4C70" w:rsidRPr="00133DF2" w:rsidRDefault="007C4C70" w:rsidP="007C4C70">
            <w:pPr>
              <w:rPr>
                <w:rFonts w:asciiTheme="minorHAnsi" w:eastAsia="Times New Roman" w:hAnsiTheme="minorHAnsi" w:cstheme="minorHAnsi"/>
                <w:sz w:val="18"/>
                <w:szCs w:val="18"/>
              </w:rPr>
            </w:pPr>
            <w:r w:rsidRPr="00133DF2">
              <w:rPr>
                <w:rFonts w:asciiTheme="minorHAnsi" w:eastAsia="Times New Roman" w:hAnsiTheme="minorHAnsi" w:cstheme="minorHAnsi"/>
                <w:color w:val="auto"/>
                <w:sz w:val="18"/>
                <w:szCs w:val="18"/>
              </w:rPr>
              <w:t xml:space="preserve">DLR 8.1: SBs are functional and formed the specialized committees (audit and compensation committees) at formed at BT, SIB, and STB comprising of members of SBs and chaired by </w:t>
            </w:r>
            <w:r w:rsidRPr="00133DF2">
              <w:rPr>
                <w:rFonts w:asciiTheme="minorHAnsi" w:eastAsia="Times New Roman" w:hAnsiTheme="minorHAnsi" w:cstheme="minorHAnsi"/>
                <w:color w:val="auto"/>
                <w:sz w:val="18"/>
                <w:szCs w:val="18"/>
              </w:rPr>
              <w:lastRenderedPageBreak/>
              <w:t>independent supervisory board members</w:t>
            </w:r>
          </w:p>
        </w:tc>
        <w:tc>
          <w:tcPr>
            <w:tcW w:w="1091" w:type="pct"/>
          </w:tcPr>
          <w:p w14:paraId="465BE974"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lastRenderedPageBreak/>
              <w:t xml:space="preserve">The target will be considered achieved if SBs at </w:t>
            </w:r>
            <w:r>
              <w:rPr>
                <w:rFonts w:asciiTheme="minorHAnsi" w:hAnsiTheme="minorHAnsi" w:cstheme="minorHAnsi"/>
                <w:sz w:val="18"/>
                <w:szCs w:val="18"/>
              </w:rPr>
              <w:t>BT, SIB, and STB</w:t>
            </w:r>
            <w:r w:rsidRPr="001B1012">
              <w:rPr>
                <w:rFonts w:asciiTheme="minorHAnsi" w:hAnsiTheme="minorHAnsi" w:cstheme="minorHAnsi"/>
                <w:sz w:val="18"/>
                <w:szCs w:val="18"/>
              </w:rPr>
              <w:t xml:space="preserve"> are functional and specialized committees were established.</w:t>
            </w:r>
          </w:p>
        </w:tc>
        <w:tc>
          <w:tcPr>
            <w:tcW w:w="531" w:type="pct"/>
          </w:tcPr>
          <w:p w14:paraId="4F17F1EA"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No</w:t>
            </w:r>
          </w:p>
        </w:tc>
        <w:tc>
          <w:tcPr>
            <w:tcW w:w="717" w:type="pct"/>
          </w:tcPr>
          <w:p w14:paraId="64A871A0"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 xml:space="preserve">Data source: Corporate charters and bylaws of generation, transmission, and distribution companies </w:t>
            </w:r>
            <w:r w:rsidRPr="001B1012">
              <w:rPr>
                <w:rFonts w:asciiTheme="minorHAnsi" w:hAnsiTheme="minorHAnsi" w:cstheme="minorHAnsi"/>
                <w:sz w:val="18"/>
                <w:szCs w:val="18"/>
              </w:rPr>
              <w:lastRenderedPageBreak/>
              <w:t>and other corporate governance related documents.</w:t>
            </w:r>
          </w:p>
          <w:p w14:paraId="2D1BFC3D"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 xml:space="preserve">Agency: </w:t>
            </w:r>
            <w:r>
              <w:rPr>
                <w:rFonts w:asciiTheme="minorHAnsi" w:hAnsiTheme="minorHAnsi" w:cstheme="minorHAnsi"/>
                <w:sz w:val="18"/>
                <w:szCs w:val="18"/>
              </w:rPr>
              <w:t>MEWR.</w:t>
            </w:r>
          </w:p>
        </w:tc>
        <w:tc>
          <w:tcPr>
            <w:tcW w:w="624" w:type="pct"/>
          </w:tcPr>
          <w:p w14:paraId="25A88654"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lastRenderedPageBreak/>
              <w:t>Audit firm and TOR acceptable to the Bank.</w:t>
            </w:r>
          </w:p>
        </w:tc>
        <w:tc>
          <w:tcPr>
            <w:tcW w:w="947" w:type="pct"/>
          </w:tcPr>
          <w:p w14:paraId="4D361A02"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 xml:space="preserve">Review by IVA of: (a) corporate charters, bylaws, decisions, and other relevant documents of generation, transmission, and distribution companies to confirm </w:t>
            </w:r>
            <w:r w:rsidRPr="001B1012">
              <w:rPr>
                <w:rFonts w:asciiTheme="minorHAnsi" w:hAnsiTheme="minorHAnsi" w:cstheme="minorHAnsi"/>
                <w:sz w:val="18"/>
                <w:szCs w:val="18"/>
              </w:rPr>
              <w:lastRenderedPageBreak/>
              <w:t>good-practice corporate governance structures were retained; SB committee members comply with adopted job description; and (b) legislative evidence on creation of specialized committees and assessment whether the staff qualifications are compliant with requirements in job description; the functional responsibilities are clear and consistent with adopted corporate governance structure; and the reporting arrangements are clear.</w:t>
            </w:r>
          </w:p>
        </w:tc>
      </w:tr>
      <w:tr w:rsidR="007C4C70" w:rsidRPr="001B1012" w14:paraId="2734456E" w14:textId="77777777" w:rsidTr="00866A63">
        <w:trPr>
          <w:jc w:val="center"/>
        </w:trPr>
        <w:tc>
          <w:tcPr>
            <w:tcW w:w="1090" w:type="pct"/>
          </w:tcPr>
          <w:p w14:paraId="5AAC93AA" w14:textId="77777777" w:rsidR="007C4C70" w:rsidRPr="00133DF2" w:rsidRDefault="007C4C70" w:rsidP="007C4C70">
            <w:pPr>
              <w:rPr>
                <w:rFonts w:asciiTheme="minorHAnsi" w:eastAsia="Times New Roman" w:hAnsiTheme="minorHAnsi" w:cstheme="minorHAnsi"/>
                <w:sz w:val="18"/>
                <w:szCs w:val="18"/>
              </w:rPr>
            </w:pPr>
            <w:r w:rsidRPr="00133DF2">
              <w:rPr>
                <w:rFonts w:asciiTheme="minorHAnsi" w:eastAsia="Times New Roman" w:hAnsiTheme="minorHAnsi" w:cstheme="minorHAnsi"/>
                <w:sz w:val="18"/>
                <w:szCs w:val="18"/>
              </w:rPr>
              <w:lastRenderedPageBreak/>
              <w:t>DLR 8.2-8.11: SBs and specialized committees are functional.</w:t>
            </w:r>
          </w:p>
        </w:tc>
        <w:tc>
          <w:tcPr>
            <w:tcW w:w="1091" w:type="pct"/>
          </w:tcPr>
          <w:p w14:paraId="29A9BF9E"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The target will be considered achieved if SBs and specialized committees (</w:t>
            </w:r>
            <w:proofErr w:type="gramStart"/>
            <w:r w:rsidRPr="001B1012">
              <w:rPr>
                <w:rFonts w:asciiTheme="minorHAnsi" w:hAnsiTheme="minorHAnsi" w:cstheme="minorHAnsi"/>
                <w:sz w:val="18"/>
                <w:szCs w:val="18"/>
              </w:rPr>
              <w:t>e.g.</w:t>
            </w:r>
            <w:proofErr w:type="gramEnd"/>
            <w:r w:rsidRPr="001B1012">
              <w:rPr>
                <w:rFonts w:asciiTheme="minorHAnsi" w:hAnsiTheme="minorHAnsi" w:cstheme="minorHAnsi"/>
                <w:sz w:val="18"/>
                <w:szCs w:val="18"/>
              </w:rPr>
              <w:t xml:space="preserve"> audit and compensation) at generation, transmission, and distribution companies are functional.</w:t>
            </w:r>
          </w:p>
        </w:tc>
        <w:tc>
          <w:tcPr>
            <w:tcW w:w="531" w:type="pct"/>
          </w:tcPr>
          <w:p w14:paraId="7028E896"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No</w:t>
            </w:r>
          </w:p>
        </w:tc>
        <w:tc>
          <w:tcPr>
            <w:tcW w:w="717" w:type="pct"/>
          </w:tcPr>
          <w:p w14:paraId="6C6FBAAD"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Data source: Corporate charters and bylaws of generation, transmission, and distribution companies and other corporate governance related documents.</w:t>
            </w:r>
          </w:p>
          <w:p w14:paraId="1559662D"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 xml:space="preserve">Agency: </w:t>
            </w:r>
            <w:r>
              <w:rPr>
                <w:rFonts w:asciiTheme="minorHAnsi" w:hAnsiTheme="minorHAnsi" w:cstheme="minorHAnsi"/>
                <w:sz w:val="18"/>
                <w:szCs w:val="18"/>
              </w:rPr>
              <w:t>MEWR.</w:t>
            </w:r>
          </w:p>
        </w:tc>
        <w:tc>
          <w:tcPr>
            <w:tcW w:w="624" w:type="pct"/>
          </w:tcPr>
          <w:p w14:paraId="21B19268"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Audit firm and TOR acceptable to the Bank.</w:t>
            </w:r>
          </w:p>
        </w:tc>
        <w:tc>
          <w:tcPr>
            <w:tcW w:w="947" w:type="pct"/>
          </w:tcPr>
          <w:p w14:paraId="344A7341"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 xml:space="preserve">Review by IVA of: (a) corporate charters, bylaws, decisions, and other relevant documents of generation, transmission, and distribution companies to confirm good-practice corporate governance structures were retained, i.e. no abrogation of corporate level regulations; revisions to the charters, bylaws, and other legal documents or legislation reversing the earlier decisions; loosening of qualification requirements for SB and specialized committee members, etc.; and (b) actual evidence of performance of SBs and specialized committees based on the minutes of meetings and other documents to confirm. </w:t>
            </w:r>
          </w:p>
        </w:tc>
      </w:tr>
      <w:tr w:rsidR="007C4C70" w:rsidRPr="00132421" w14:paraId="1BFF04D0" w14:textId="77777777" w:rsidTr="00866A63">
        <w:trPr>
          <w:jc w:val="center"/>
        </w:trPr>
        <w:tc>
          <w:tcPr>
            <w:tcW w:w="1090" w:type="pct"/>
          </w:tcPr>
          <w:p w14:paraId="1B584503" w14:textId="77777777" w:rsidR="007C4C70" w:rsidRPr="00133DF2" w:rsidRDefault="007C4C70" w:rsidP="007C4C70">
            <w:pPr>
              <w:rPr>
                <w:rFonts w:asciiTheme="minorHAnsi" w:eastAsia="Times New Roman" w:hAnsiTheme="minorHAnsi" w:cstheme="minorHAnsi"/>
                <w:b/>
                <w:sz w:val="18"/>
                <w:szCs w:val="18"/>
              </w:rPr>
            </w:pPr>
            <w:r w:rsidRPr="00133DF2">
              <w:rPr>
                <w:rFonts w:asciiTheme="minorHAnsi" w:eastAsia="Times New Roman" w:hAnsiTheme="minorHAnsi" w:cstheme="minorHAnsi"/>
                <w:b/>
                <w:sz w:val="18"/>
                <w:szCs w:val="18"/>
              </w:rPr>
              <w:t xml:space="preserve">DLI 9: </w:t>
            </w:r>
            <w:r w:rsidRPr="00133DF2">
              <w:rPr>
                <w:rFonts w:ascii="Calibri" w:eastAsia="Times New Roman" w:hAnsi="Calibri" w:cs="Calibri"/>
                <w:b/>
                <w:sz w:val="18"/>
                <w:szCs w:val="18"/>
              </w:rPr>
              <w:t xml:space="preserve">Improvement of operational and </w:t>
            </w:r>
            <w:r w:rsidRPr="00133DF2">
              <w:rPr>
                <w:rFonts w:ascii="Calibri" w:eastAsia="Times New Roman" w:hAnsi="Calibri" w:cs="Calibri"/>
                <w:b/>
                <w:sz w:val="18"/>
                <w:szCs w:val="18"/>
              </w:rPr>
              <w:lastRenderedPageBreak/>
              <w:t>financial transparency of BT, SIB, and STB</w:t>
            </w:r>
          </w:p>
        </w:tc>
        <w:tc>
          <w:tcPr>
            <w:tcW w:w="1091" w:type="pct"/>
          </w:tcPr>
          <w:p w14:paraId="245C3279" w14:textId="77777777" w:rsidR="007C4C70" w:rsidRPr="00132421" w:rsidRDefault="007C4C70" w:rsidP="007C4C70">
            <w:pPr>
              <w:rPr>
                <w:rFonts w:asciiTheme="minorHAnsi" w:hAnsiTheme="minorHAnsi" w:cstheme="minorHAnsi"/>
                <w:b/>
                <w:sz w:val="18"/>
                <w:szCs w:val="18"/>
              </w:rPr>
            </w:pPr>
          </w:p>
        </w:tc>
        <w:tc>
          <w:tcPr>
            <w:tcW w:w="531" w:type="pct"/>
          </w:tcPr>
          <w:p w14:paraId="00091025" w14:textId="77777777" w:rsidR="007C4C70" w:rsidRPr="00132421" w:rsidRDefault="007C4C70" w:rsidP="007C4C70">
            <w:pPr>
              <w:rPr>
                <w:rFonts w:asciiTheme="minorHAnsi" w:hAnsiTheme="minorHAnsi" w:cstheme="minorHAnsi"/>
                <w:b/>
                <w:sz w:val="18"/>
                <w:szCs w:val="18"/>
              </w:rPr>
            </w:pPr>
          </w:p>
        </w:tc>
        <w:tc>
          <w:tcPr>
            <w:tcW w:w="717" w:type="pct"/>
          </w:tcPr>
          <w:p w14:paraId="76BD1A27" w14:textId="77777777" w:rsidR="007C4C70" w:rsidRPr="00132421" w:rsidRDefault="007C4C70" w:rsidP="007C4C70">
            <w:pPr>
              <w:rPr>
                <w:rFonts w:asciiTheme="minorHAnsi" w:hAnsiTheme="minorHAnsi" w:cstheme="minorHAnsi"/>
                <w:b/>
                <w:sz w:val="18"/>
                <w:szCs w:val="18"/>
              </w:rPr>
            </w:pPr>
          </w:p>
        </w:tc>
        <w:tc>
          <w:tcPr>
            <w:tcW w:w="624" w:type="pct"/>
          </w:tcPr>
          <w:p w14:paraId="4FA14BA5" w14:textId="77777777" w:rsidR="007C4C70" w:rsidRPr="00132421" w:rsidRDefault="007C4C70" w:rsidP="007C4C70">
            <w:pPr>
              <w:rPr>
                <w:rFonts w:asciiTheme="minorHAnsi" w:hAnsiTheme="minorHAnsi" w:cstheme="minorHAnsi"/>
                <w:b/>
                <w:sz w:val="18"/>
                <w:szCs w:val="18"/>
              </w:rPr>
            </w:pPr>
          </w:p>
        </w:tc>
        <w:tc>
          <w:tcPr>
            <w:tcW w:w="947" w:type="pct"/>
          </w:tcPr>
          <w:p w14:paraId="79DFDBC5" w14:textId="77777777" w:rsidR="007C4C70" w:rsidRPr="00132421" w:rsidRDefault="007C4C70" w:rsidP="007C4C70">
            <w:pPr>
              <w:rPr>
                <w:rFonts w:asciiTheme="minorHAnsi" w:hAnsiTheme="minorHAnsi" w:cstheme="minorHAnsi"/>
                <w:b/>
                <w:sz w:val="18"/>
                <w:szCs w:val="18"/>
              </w:rPr>
            </w:pPr>
          </w:p>
        </w:tc>
      </w:tr>
      <w:tr w:rsidR="007C4C70" w:rsidRPr="001B1012" w14:paraId="274E333B" w14:textId="77777777" w:rsidTr="00866A63">
        <w:trPr>
          <w:jc w:val="center"/>
        </w:trPr>
        <w:tc>
          <w:tcPr>
            <w:tcW w:w="1090" w:type="pct"/>
          </w:tcPr>
          <w:p w14:paraId="216856F0" w14:textId="468183CB" w:rsidR="007C4C70" w:rsidRPr="00133DF2" w:rsidRDefault="007C4C70" w:rsidP="007C4C70">
            <w:pPr>
              <w:widowControl/>
              <w:autoSpaceDE/>
              <w:autoSpaceDN/>
              <w:adjustRightInd/>
              <w:rPr>
                <w:rFonts w:asciiTheme="minorHAnsi" w:eastAsia="Times New Roman" w:hAnsiTheme="minorHAnsi" w:cstheme="minorHAnsi"/>
                <w:sz w:val="18"/>
                <w:szCs w:val="18"/>
              </w:rPr>
            </w:pPr>
            <w:r w:rsidRPr="00133DF2">
              <w:rPr>
                <w:rFonts w:asciiTheme="minorHAnsi" w:hAnsiTheme="minorHAnsi" w:cstheme="minorHAnsi"/>
                <w:sz w:val="18"/>
                <w:szCs w:val="18"/>
              </w:rPr>
              <w:t xml:space="preserve">DLR 9.1-9.11: </w:t>
            </w:r>
            <w:r w:rsidRPr="00133DF2">
              <w:rPr>
                <w:rFonts w:asciiTheme="minorHAnsi" w:eastAsia="Times New Roman" w:hAnsiTheme="minorHAnsi" w:cstheme="minorHAnsi"/>
                <w:sz w:val="18"/>
                <w:szCs w:val="18"/>
              </w:rPr>
              <w:t>publish on their websites the key quarterly operational data and quarterly un-audited financial statements.</w:t>
            </w:r>
          </w:p>
        </w:tc>
        <w:tc>
          <w:tcPr>
            <w:tcW w:w="1091" w:type="pct"/>
          </w:tcPr>
          <w:p w14:paraId="3ADBF195"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 xml:space="preserve">The target will be considered achieved if </w:t>
            </w:r>
            <w:r>
              <w:rPr>
                <w:rFonts w:asciiTheme="minorHAnsi" w:hAnsiTheme="minorHAnsi" w:cstheme="minorHAnsi"/>
                <w:sz w:val="18"/>
                <w:szCs w:val="18"/>
              </w:rPr>
              <w:t>Uniform Resource Locator (URL) link</w:t>
            </w:r>
            <w:r w:rsidRPr="001B1012">
              <w:rPr>
                <w:rFonts w:asciiTheme="minorHAnsi" w:hAnsiTheme="minorHAnsi" w:cstheme="minorHAnsi"/>
                <w:sz w:val="18"/>
                <w:szCs w:val="18"/>
              </w:rPr>
              <w:t xml:space="preserve"> is submitted to the Bank to confirm that BT</w:t>
            </w:r>
            <w:r>
              <w:rPr>
                <w:rFonts w:asciiTheme="minorHAnsi" w:hAnsiTheme="minorHAnsi" w:cstheme="minorHAnsi"/>
                <w:sz w:val="18"/>
                <w:szCs w:val="18"/>
              </w:rPr>
              <w:t>, SIB, and STB</w:t>
            </w:r>
            <w:r w:rsidRPr="001B1012">
              <w:rPr>
                <w:rFonts w:asciiTheme="minorHAnsi" w:hAnsiTheme="minorHAnsi" w:cstheme="minorHAnsi"/>
                <w:sz w:val="18"/>
                <w:szCs w:val="18"/>
              </w:rPr>
              <w:t xml:space="preserve"> published </w:t>
            </w:r>
            <w:r>
              <w:rPr>
                <w:rFonts w:asciiTheme="minorHAnsi" w:hAnsiTheme="minorHAnsi" w:cstheme="minorHAnsi"/>
                <w:sz w:val="18"/>
                <w:szCs w:val="18"/>
              </w:rPr>
              <w:t>on their respective websites th</w:t>
            </w:r>
            <w:r w:rsidRPr="001B1012">
              <w:rPr>
                <w:rFonts w:asciiTheme="minorHAnsi" w:hAnsiTheme="minorHAnsi" w:cstheme="minorHAnsi"/>
                <w:sz w:val="18"/>
                <w:szCs w:val="18"/>
              </w:rPr>
              <w:t xml:space="preserve">e key quarterly </w:t>
            </w:r>
            <w:r>
              <w:rPr>
                <w:rFonts w:asciiTheme="minorHAnsi" w:hAnsiTheme="minorHAnsi" w:cstheme="minorHAnsi"/>
                <w:sz w:val="18"/>
                <w:szCs w:val="18"/>
              </w:rPr>
              <w:t>o</w:t>
            </w:r>
            <w:r w:rsidRPr="001B1012">
              <w:rPr>
                <w:rFonts w:asciiTheme="minorHAnsi" w:hAnsiTheme="minorHAnsi" w:cstheme="minorHAnsi"/>
                <w:sz w:val="18"/>
                <w:szCs w:val="18"/>
              </w:rPr>
              <w:t>perational and</w:t>
            </w:r>
            <w:r>
              <w:rPr>
                <w:rFonts w:asciiTheme="minorHAnsi" w:hAnsiTheme="minorHAnsi" w:cstheme="minorHAnsi"/>
                <w:sz w:val="18"/>
                <w:szCs w:val="18"/>
              </w:rPr>
              <w:t xml:space="preserve"> financial data </w:t>
            </w:r>
            <w:r>
              <w:rPr>
                <w:rFonts w:asciiTheme="minorHAnsi" w:eastAsia="Times New Roman" w:hAnsiTheme="minorHAnsi" w:cstheme="minorHAnsi"/>
                <w:sz w:val="18"/>
                <w:szCs w:val="18"/>
              </w:rPr>
              <w:t>within 30 days after the end of the respective quarters of each year.</w:t>
            </w:r>
          </w:p>
        </w:tc>
        <w:tc>
          <w:tcPr>
            <w:tcW w:w="531" w:type="pct"/>
          </w:tcPr>
          <w:p w14:paraId="22CFA40B"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No</w:t>
            </w:r>
          </w:p>
        </w:tc>
        <w:tc>
          <w:tcPr>
            <w:tcW w:w="717" w:type="pct"/>
          </w:tcPr>
          <w:p w14:paraId="12D4F558"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 xml:space="preserve">Data source: </w:t>
            </w:r>
            <w:r>
              <w:rPr>
                <w:rFonts w:asciiTheme="minorHAnsi" w:hAnsiTheme="minorHAnsi" w:cstheme="minorHAnsi"/>
                <w:sz w:val="18"/>
                <w:szCs w:val="18"/>
              </w:rPr>
              <w:t>URL link to the data on respective website(s)</w:t>
            </w:r>
            <w:r w:rsidRPr="001B1012">
              <w:rPr>
                <w:rFonts w:asciiTheme="minorHAnsi" w:hAnsiTheme="minorHAnsi" w:cstheme="minorHAnsi"/>
                <w:sz w:val="18"/>
                <w:szCs w:val="18"/>
              </w:rPr>
              <w:t>.</w:t>
            </w:r>
          </w:p>
          <w:p w14:paraId="0ED4DF0E" w14:textId="77777777" w:rsidR="007C4C70" w:rsidRPr="001B1012" w:rsidRDefault="007C4C70" w:rsidP="007C4C70">
            <w:pPr>
              <w:rPr>
                <w:rFonts w:asciiTheme="minorHAnsi" w:hAnsiTheme="minorHAnsi" w:cstheme="minorHAnsi"/>
                <w:sz w:val="18"/>
                <w:szCs w:val="18"/>
              </w:rPr>
            </w:pPr>
            <w:r w:rsidRPr="001B1012">
              <w:rPr>
                <w:rFonts w:asciiTheme="minorHAnsi" w:hAnsiTheme="minorHAnsi" w:cstheme="minorHAnsi"/>
                <w:sz w:val="18"/>
                <w:szCs w:val="18"/>
              </w:rPr>
              <w:t xml:space="preserve">Agency: </w:t>
            </w:r>
            <w:r>
              <w:rPr>
                <w:rFonts w:asciiTheme="minorHAnsi" w:hAnsiTheme="minorHAnsi" w:cstheme="minorHAnsi"/>
                <w:sz w:val="18"/>
                <w:szCs w:val="18"/>
              </w:rPr>
              <w:t>MEWR.</w:t>
            </w:r>
          </w:p>
        </w:tc>
        <w:tc>
          <w:tcPr>
            <w:tcW w:w="624" w:type="pct"/>
          </w:tcPr>
          <w:p w14:paraId="177DC466" w14:textId="77777777" w:rsidR="007C4C70" w:rsidRPr="001B1012" w:rsidRDefault="007C4C70" w:rsidP="007C4C70">
            <w:pPr>
              <w:rPr>
                <w:rFonts w:asciiTheme="minorHAnsi" w:hAnsiTheme="minorHAnsi" w:cstheme="minorHAnsi"/>
                <w:sz w:val="18"/>
                <w:szCs w:val="18"/>
              </w:rPr>
            </w:pPr>
            <w:r>
              <w:rPr>
                <w:rFonts w:asciiTheme="minorHAnsi" w:hAnsiTheme="minorHAnsi" w:cstheme="minorHAnsi"/>
                <w:sz w:val="18"/>
                <w:szCs w:val="18"/>
              </w:rPr>
              <w:t>The Bank.</w:t>
            </w:r>
          </w:p>
        </w:tc>
        <w:tc>
          <w:tcPr>
            <w:tcW w:w="947" w:type="pct"/>
          </w:tcPr>
          <w:p w14:paraId="4EE44C41" w14:textId="77777777" w:rsidR="007C4C70" w:rsidRPr="001B1012" w:rsidRDefault="007C4C70" w:rsidP="007C4C70">
            <w:pPr>
              <w:rPr>
                <w:rFonts w:asciiTheme="minorHAnsi" w:hAnsiTheme="minorHAnsi" w:cstheme="minorHAnsi"/>
                <w:sz w:val="18"/>
                <w:szCs w:val="18"/>
              </w:rPr>
            </w:pPr>
            <w:r>
              <w:rPr>
                <w:rFonts w:asciiTheme="minorHAnsi" w:hAnsiTheme="minorHAnsi" w:cstheme="minorHAnsi"/>
                <w:sz w:val="18"/>
                <w:szCs w:val="18"/>
              </w:rPr>
              <w:t>The Bank will: (i) review the data</w:t>
            </w:r>
            <w:r w:rsidRPr="001B1012">
              <w:rPr>
                <w:rFonts w:asciiTheme="minorHAnsi" w:hAnsiTheme="minorHAnsi" w:cstheme="minorHAnsi"/>
                <w:sz w:val="18"/>
                <w:szCs w:val="18"/>
              </w:rPr>
              <w:t xml:space="preserve"> to confirm that it contains: (a) main operational</w:t>
            </w:r>
            <w:r>
              <w:rPr>
                <w:rFonts w:asciiTheme="minorHAnsi" w:hAnsiTheme="minorHAnsi" w:cstheme="minorHAnsi"/>
                <w:sz w:val="18"/>
                <w:szCs w:val="18"/>
              </w:rPr>
              <w:t xml:space="preserve"> data</w:t>
            </w:r>
            <w:r w:rsidRPr="001B1012">
              <w:rPr>
                <w:rFonts w:asciiTheme="minorHAnsi" w:hAnsiTheme="minorHAnsi" w:cstheme="minorHAnsi"/>
                <w:sz w:val="18"/>
                <w:szCs w:val="18"/>
              </w:rPr>
              <w:t>, including generation, own-use, electricity input into transmission, transmission losses, export and import, distribution technical and commercial losses, and supply to end-users by categories of consumers; (b)</w:t>
            </w:r>
            <w:r>
              <w:rPr>
                <w:rFonts w:asciiTheme="minorHAnsi" w:hAnsiTheme="minorHAnsi" w:cstheme="minorHAnsi"/>
                <w:sz w:val="18"/>
                <w:szCs w:val="18"/>
              </w:rPr>
              <w:t xml:space="preserve"> electricity service reliability indicators to be agreed with the Bank; (c) key financial data,</w:t>
            </w:r>
            <w:r w:rsidRPr="001B1012">
              <w:rPr>
                <w:rFonts w:asciiTheme="minorHAnsi" w:hAnsiTheme="minorHAnsi" w:cstheme="minorHAnsi"/>
                <w:sz w:val="18"/>
                <w:szCs w:val="18"/>
              </w:rPr>
              <w:t xml:space="preserve"> including</w:t>
            </w:r>
            <w:r>
              <w:rPr>
                <w:rFonts w:asciiTheme="minorHAnsi" w:hAnsiTheme="minorHAnsi" w:cstheme="minorHAnsi"/>
                <w:sz w:val="18"/>
                <w:szCs w:val="18"/>
              </w:rPr>
              <w:t xml:space="preserve"> quarterly un-audited financial statements;</w:t>
            </w:r>
            <w:r w:rsidRPr="001B1012">
              <w:rPr>
                <w:rFonts w:asciiTheme="minorHAnsi" w:hAnsiTheme="minorHAnsi" w:cstheme="minorHAnsi"/>
                <w:sz w:val="18"/>
                <w:szCs w:val="18"/>
              </w:rPr>
              <w:t xml:space="preserve"> tariffs by categories of consumers; collection rates by categories of consumers; </w:t>
            </w:r>
            <w:r>
              <w:rPr>
                <w:rFonts w:asciiTheme="minorHAnsi" w:hAnsiTheme="minorHAnsi" w:cstheme="minorHAnsi"/>
                <w:sz w:val="18"/>
                <w:szCs w:val="18"/>
              </w:rPr>
              <w:t xml:space="preserve">and </w:t>
            </w:r>
            <w:r w:rsidRPr="001B1012">
              <w:rPr>
                <w:rFonts w:asciiTheme="minorHAnsi" w:hAnsiTheme="minorHAnsi" w:cstheme="minorHAnsi"/>
                <w:sz w:val="18"/>
                <w:szCs w:val="18"/>
              </w:rPr>
              <w:t>import and export tariffs</w:t>
            </w:r>
            <w:r>
              <w:rPr>
                <w:rFonts w:asciiTheme="minorHAnsi" w:hAnsiTheme="minorHAnsi" w:cstheme="minorHAnsi"/>
                <w:sz w:val="18"/>
                <w:szCs w:val="18"/>
              </w:rPr>
              <w:t>.</w:t>
            </w:r>
          </w:p>
        </w:tc>
      </w:tr>
      <w:tr w:rsidR="007C4C70" w:rsidRPr="001B1012" w14:paraId="3107160A" w14:textId="77777777" w:rsidTr="00866A63">
        <w:trPr>
          <w:jc w:val="center"/>
        </w:trPr>
        <w:tc>
          <w:tcPr>
            <w:tcW w:w="1090" w:type="pct"/>
          </w:tcPr>
          <w:p w14:paraId="7E101B32" w14:textId="77777777" w:rsidR="007C4C70" w:rsidRPr="00133DF2" w:rsidRDefault="007C4C70" w:rsidP="007C4C70">
            <w:pPr>
              <w:widowControl/>
              <w:autoSpaceDE/>
              <w:autoSpaceDN/>
              <w:adjustRightInd/>
              <w:rPr>
                <w:rFonts w:asciiTheme="minorHAnsi" w:hAnsiTheme="minorHAnsi" w:cstheme="minorHAnsi"/>
                <w:sz w:val="18"/>
                <w:szCs w:val="18"/>
              </w:rPr>
            </w:pPr>
            <w:r w:rsidRPr="00133DF2">
              <w:rPr>
                <w:rFonts w:asciiTheme="minorHAnsi" w:eastAsia="Times New Roman" w:hAnsiTheme="minorHAnsi" w:cstheme="minorHAnsi"/>
                <w:b/>
                <w:bCs/>
                <w:sz w:val="18"/>
                <w:szCs w:val="18"/>
              </w:rPr>
              <w:t>DLI 10: Reduction of electricity sector costs</w:t>
            </w:r>
          </w:p>
        </w:tc>
        <w:tc>
          <w:tcPr>
            <w:tcW w:w="1091" w:type="pct"/>
          </w:tcPr>
          <w:p w14:paraId="4AF05948" w14:textId="77777777" w:rsidR="007C4C70" w:rsidRPr="001B1012" w:rsidRDefault="007C4C70" w:rsidP="007C4C70">
            <w:pPr>
              <w:rPr>
                <w:rFonts w:asciiTheme="minorHAnsi" w:hAnsiTheme="minorHAnsi" w:cstheme="minorHAnsi"/>
                <w:sz w:val="18"/>
                <w:szCs w:val="18"/>
              </w:rPr>
            </w:pPr>
          </w:p>
        </w:tc>
        <w:tc>
          <w:tcPr>
            <w:tcW w:w="531" w:type="pct"/>
          </w:tcPr>
          <w:p w14:paraId="019DEC69" w14:textId="77777777" w:rsidR="007C4C70" w:rsidRPr="001B1012" w:rsidRDefault="007C4C70" w:rsidP="007C4C70">
            <w:pPr>
              <w:rPr>
                <w:rFonts w:asciiTheme="minorHAnsi" w:hAnsiTheme="minorHAnsi" w:cstheme="minorHAnsi"/>
                <w:sz w:val="18"/>
                <w:szCs w:val="18"/>
              </w:rPr>
            </w:pPr>
          </w:p>
        </w:tc>
        <w:tc>
          <w:tcPr>
            <w:tcW w:w="717" w:type="pct"/>
          </w:tcPr>
          <w:p w14:paraId="2283360A" w14:textId="77777777" w:rsidR="007C4C70" w:rsidRPr="001B1012" w:rsidRDefault="007C4C70" w:rsidP="007C4C70">
            <w:pPr>
              <w:rPr>
                <w:rFonts w:asciiTheme="minorHAnsi" w:hAnsiTheme="minorHAnsi" w:cstheme="minorHAnsi"/>
                <w:sz w:val="18"/>
                <w:szCs w:val="18"/>
              </w:rPr>
            </w:pPr>
          </w:p>
        </w:tc>
        <w:tc>
          <w:tcPr>
            <w:tcW w:w="624" w:type="pct"/>
          </w:tcPr>
          <w:p w14:paraId="1EBCD276" w14:textId="77777777" w:rsidR="007C4C70" w:rsidRDefault="007C4C70" w:rsidP="007C4C70">
            <w:pPr>
              <w:rPr>
                <w:rFonts w:asciiTheme="minorHAnsi" w:hAnsiTheme="minorHAnsi" w:cstheme="minorHAnsi"/>
                <w:sz w:val="18"/>
                <w:szCs w:val="18"/>
              </w:rPr>
            </w:pPr>
          </w:p>
        </w:tc>
        <w:tc>
          <w:tcPr>
            <w:tcW w:w="947" w:type="pct"/>
          </w:tcPr>
          <w:p w14:paraId="4CE2BA04" w14:textId="77777777" w:rsidR="007C4C70" w:rsidRDefault="007C4C70" w:rsidP="007C4C70">
            <w:pPr>
              <w:rPr>
                <w:rFonts w:asciiTheme="minorHAnsi" w:hAnsiTheme="minorHAnsi" w:cstheme="minorHAnsi"/>
                <w:sz w:val="18"/>
                <w:szCs w:val="18"/>
              </w:rPr>
            </w:pPr>
          </w:p>
        </w:tc>
      </w:tr>
      <w:tr w:rsidR="007C4C70" w:rsidRPr="001B1012" w14:paraId="771D630B" w14:textId="77777777" w:rsidTr="00C93AAA">
        <w:trPr>
          <w:jc w:val="center"/>
        </w:trPr>
        <w:tc>
          <w:tcPr>
            <w:tcW w:w="1090" w:type="pct"/>
          </w:tcPr>
          <w:p w14:paraId="77E5530C" w14:textId="54D5F7AB" w:rsidR="007C4C70" w:rsidRPr="00133DF2" w:rsidRDefault="007C4C70" w:rsidP="007C4C70">
            <w:pPr>
              <w:widowControl/>
              <w:autoSpaceDE/>
              <w:autoSpaceDN/>
              <w:adjustRightInd/>
              <w:rPr>
                <w:rFonts w:asciiTheme="minorHAnsi" w:eastAsia="Times New Roman" w:hAnsiTheme="minorHAnsi" w:cstheme="minorHAnsi"/>
                <w:sz w:val="18"/>
                <w:szCs w:val="18"/>
              </w:rPr>
            </w:pPr>
            <w:r w:rsidRPr="00133DF2">
              <w:rPr>
                <w:rFonts w:asciiTheme="minorHAnsi" w:hAnsiTheme="minorHAnsi" w:cstheme="minorHAnsi"/>
                <w:sz w:val="18"/>
                <w:szCs w:val="18"/>
              </w:rPr>
              <w:t>DLR 10.1: By December 31, 2022, (a) BT purchases fuel oil through international competitive process; and (b) BT’s stock of fuel oil does not exceed the level required for emergency supply of heat</w:t>
            </w:r>
          </w:p>
        </w:tc>
        <w:tc>
          <w:tcPr>
            <w:tcW w:w="1091" w:type="pct"/>
          </w:tcPr>
          <w:p w14:paraId="6D8CFC5D" w14:textId="556A1E90" w:rsidR="00224FB3" w:rsidRDefault="007C4C70" w:rsidP="00224FB3">
            <w:pPr>
              <w:spacing w:after="120"/>
              <w:rPr>
                <w:rFonts w:asciiTheme="minorHAnsi" w:hAnsiTheme="minorHAnsi" w:cstheme="minorHAnsi"/>
                <w:sz w:val="18"/>
                <w:szCs w:val="18"/>
              </w:rPr>
            </w:pPr>
            <w:r>
              <w:rPr>
                <w:rFonts w:asciiTheme="minorHAnsi" w:hAnsiTheme="minorHAnsi" w:cstheme="minorHAnsi"/>
                <w:sz w:val="18"/>
                <w:szCs w:val="18"/>
              </w:rPr>
              <w:t>The target will be considered achieved if</w:t>
            </w:r>
            <w:r w:rsidR="005B5BB2">
              <w:rPr>
                <w:rFonts w:asciiTheme="minorHAnsi" w:hAnsiTheme="minorHAnsi" w:cstheme="minorHAnsi"/>
                <w:sz w:val="18"/>
                <w:szCs w:val="18"/>
              </w:rPr>
              <w:t xml:space="preserve">: </w:t>
            </w:r>
          </w:p>
          <w:p w14:paraId="42765E56" w14:textId="31CDF075" w:rsidR="00224FB3" w:rsidRDefault="005B5BB2" w:rsidP="00CB0465">
            <w:pPr>
              <w:pStyle w:val="ListParagraph"/>
              <w:numPr>
                <w:ilvl w:val="1"/>
                <w:numId w:val="11"/>
              </w:numPr>
              <w:spacing w:after="120"/>
              <w:ind w:left="248" w:hanging="248"/>
              <w:contextualSpacing w:val="0"/>
              <w:rPr>
                <w:rFonts w:asciiTheme="minorHAnsi" w:hAnsiTheme="minorHAnsi" w:cstheme="minorHAnsi"/>
                <w:sz w:val="18"/>
                <w:szCs w:val="18"/>
              </w:rPr>
            </w:pPr>
            <w:r w:rsidRPr="00224FB3">
              <w:rPr>
                <w:rFonts w:asciiTheme="minorHAnsi" w:hAnsiTheme="minorHAnsi" w:cstheme="minorHAnsi"/>
                <w:sz w:val="18"/>
                <w:szCs w:val="18"/>
              </w:rPr>
              <w:t xml:space="preserve">BT procures the fuel oil through international competitive process </w:t>
            </w:r>
            <w:r w:rsidR="00F50554" w:rsidRPr="00224FB3">
              <w:rPr>
                <w:rFonts w:asciiTheme="minorHAnsi" w:hAnsiTheme="minorHAnsi" w:cstheme="minorHAnsi"/>
                <w:sz w:val="18"/>
                <w:szCs w:val="18"/>
              </w:rPr>
              <w:t>with resulting price comparable to market price on an international exchange</w:t>
            </w:r>
            <w:r w:rsidR="00392DF7">
              <w:rPr>
                <w:rFonts w:asciiTheme="minorHAnsi" w:hAnsiTheme="minorHAnsi" w:cstheme="minorHAnsi"/>
                <w:sz w:val="18"/>
                <w:szCs w:val="18"/>
              </w:rPr>
              <w:t xml:space="preserve"> to be selected by the IVA</w:t>
            </w:r>
            <w:r w:rsidR="00F50554" w:rsidRPr="00224FB3">
              <w:rPr>
                <w:rFonts w:asciiTheme="minorHAnsi" w:hAnsiTheme="minorHAnsi" w:cstheme="minorHAnsi"/>
                <w:sz w:val="18"/>
                <w:szCs w:val="18"/>
              </w:rPr>
              <w:t xml:space="preserve"> (depending on the type of fuel oil purchased) with adjustment for transportation cost (delivery port plus ground-based transportation</w:t>
            </w:r>
            <w:proofErr w:type="gramStart"/>
            <w:r w:rsidR="00F50554" w:rsidRPr="00224FB3">
              <w:rPr>
                <w:rFonts w:asciiTheme="minorHAnsi" w:hAnsiTheme="minorHAnsi" w:cstheme="minorHAnsi"/>
                <w:sz w:val="18"/>
                <w:szCs w:val="18"/>
              </w:rPr>
              <w:t>);</w:t>
            </w:r>
            <w:proofErr w:type="gramEnd"/>
            <w:r w:rsidR="00F50554" w:rsidRPr="00224FB3">
              <w:rPr>
                <w:rFonts w:asciiTheme="minorHAnsi" w:hAnsiTheme="minorHAnsi" w:cstheme="minorHAnsi"/>
                <w:sz w:val="18"/>
                <w:szCs w:val="18"/>
              </w:rPr>
              <w:t xml:space="preserve"> </w:t>
            </w:r>
          </w:p>
          <w:p w14:paraId="33AFF643" w14:textId="3354420B" w:rsidR="007C4C70" w:rsidRPr="00224FB3" w:rsidRDefault="00224FB3" w:rsidP="00CB0465">
            <w:pPr>
              <w:pStyle w:val="ListParagraph"/>
              <w:numPr>
                <w:ilvl w:val="1"/>
                <w:numId w:val="11"/>
              </w:numPr>
              <w:spacing w:after="120"/>
              <w:ind w:left="248" w:hanging="248"/>
              <w:contextualSpacing w:val="0"/>
              <w:rPr>
                <w:rFonts w:asciiTheme="minorHAnsi" w:hAnsiTheme="minorHAnsi" w:cstheme="minorHAnsi"/>
                <w:sz w:val="18"/>
                <w:szCs w:val="18"/>
              </w:rPr>
            </w:pPr>
            <w:r w:rsidRPr="00224FB3">
              <w:rPr>
                <w:rFonts w:asciiTheme="minorHAnsi" w:hAnsiTheme="minorHAnsi" w:cstheme="minorHAnsi"/>
                <w:sz w:val="18"/>
                <w:szCs w:val="18"/>
              </w:rPr>
              <w:t xml:space="preserve">BT’s stock of fuel oil does not exceed the volume required for 21 </w:t>
            </w:r>
            <w:r w:rsidRPr="00224FB3">
              <w:rPr>
                <w:rFonts w:asciiTheme="minorHAnsi" w:hAnsiTheme="minorHAnsi" w:cstheme="minorHAnsi"/>
                <w:sz w:val="18"/>
                <w:szCs w:val="18"/>
              </w:rPr>
              <w:lastRenderedPageBreak/>
              <w:t>days of heat supply</w:t>
            </w:r>
          </w:p>
        </w:tc>
        <w:tc>
          <w:tcPr>
            <w:tcW w:w="531" w:type="pct"/>
          </w:tcPr>
          <w:p w14:paraId="00872868" w14:textId="77777777" w:rsidR="007C4C70" w:rsidRPr="001B1012" w:rsidRDefault="007C4C70" w:rsidP="007C4C70">
            <w:pPr>
              <w:rPr>
                <w:rFonts w:asciiTheme="minorHAnsi" w:hAnsiTheme="minorHAnsi" w:cstheme="minorHAnsi"/>
                <w:sz w:val="18"/>
                <w:szCs w:val="18"/>
              </w:rPr>
            </w:pPr>
            <w:r>
              <w:rPr>
                <w:rFonts w:asciiTheme="minorHAnsi" w:hAnsiTheme="minorHAnsi" w:cstheme="minorHAnsi"/>
                <w:sz w:val="18"/>
                <w:szCs w:val="18"/>
              </w:rPr>
              <w:lastRenderedPageBreak/>
              <w:t>No</w:t>
            </w:r>
          </w:p>
        </w:tc>
        <w:tc>
          <w:tcPr>
            <w:tcW w:w="717" w:type="pct"/>
          </w:tcPr>
          <w:p w14:paraId="5C25DCDF" w14:textId="5D98DA6C" w:rsidR="007C4C70" w:rsidRDefault="007C4C70" w:rsidP="007C4C70">
            <w:pPr>
              <w:rPr>
                <w:rFonts w:asciiTheme="minorHAnsi" w:hAnsiTheme="minorHAnsi" w:cstheme="minorHAnsi"/>
                <w:sz w:val="18"/>
                <w:szCs w:val="18"/>
              </w:rPr>
            </w:pPr>
            <w:r>
              <w:rPr>
                <w:rFonts w:asciiTheme="minorHAnsi" w:hAnsiTheme="minorHAnsi" w:cstheme="minorHAnsi"/>
                <w:sz w:val="18"/>
                <w:szCs w:val="18"/>
              </w:rPr>
              <w:t xml:space="preserve">Data source: </w:t>
            </w:r>
            <w:r w:rsidR="00F50554">
              <w:rPr>
                <w:rFonts w:asciiTheme="minorHAnsi" w:hAnsiTheme="minorHAnsi" w:cstheme="minorHAnsi"/>
                <w:sz w:val="18"/>
                <w:szCs w:val="18"/>
              </w:rPr>
              <w:t>Contract for supply of fuel oil, published fuel oil benchmark prices, transportation costs and prices.</w:t>
            </w:r>
          </w:p>
          <w:p w14:paraId="33972E9B" w14:textId="77777777" w:rsidR="007C4C70" w:rsidRPr="001B1012" w:rsidRDefault="007C4C70" w:rsidP="007C4C70">
            <w:pPr>
              <w:rPr>
                <w:rFonts w:asciiTheme="minorHAnsi" w:hAnsiTheme="minorHAnsi" w:cstheme="minorHAnsi"/>
                <w:sz w:val="18"/>
                <w:szCs w:val="18"/>
              </w:rPr>
            </w:pPr>
            <w:r>
              <w:rPr>
                <w:rFonts w:asciiTheme="minorHAnsi" w:hAnsiTheme="minorHAnsi" w:cstheme="minorHAnsi"/>
                <w:sz w:val="18"/>
                <w:szCs w:val="18"/>
              </w:rPr>
              <w:t>Agency: BT</w:t>
            </w:r>
          </w:p>
        </w:tc>
        <w:tc>
          <w:tcPr>
            <w:tcW w:w="624" w:type="pct"/>
          </w:tcPr>
          <w:p w14:paraId="49E3BC36" w14:textId="48D20C1C" w:rsidR="007C4C70" w:rsidRDefault="005D5F5F" w:rsidP="007C4C70">
            <w:pPr>
              <w:rPr>
                <w:rFonts w:asciiTheme="minorHAnsi" w:hAnsiTheme="minorHAnsi" w:cstheme="minorHAnsi"/>
                <w:sz w:val="18"/>
                <w:szCs w:val="18"/>
              </w:rPr>
            </w:pPr>
            <w:r>
              <w:rPr>
                <w:rFonts w:asciiTheme="minorHAnsi" w:hAnsiTheme="minorHAnsi" w:cstheme="minorHAnsi"/>
                <w:sz w:val="18"/>
                <w:szCs w:val="18"/>
              </w:rPr>
              <w:t xml:space="preserve">Auditor of annual financial statements </w:t>
            </w:r>
            <w:r w:rsidR="00F50554">
              <w:rPr>
                <w:rFonts w:asciiTheme="minorHAnsi" w:hAnsiTheme="minorHAnsi" w:cstheme="minorHAnsi"/>
                <w:sz w:val="18"/>
                <w:szCs w:val="18"/>
              </w:rPr>
              <w:t>under TOR acceptable to the Bank.</w:t>
            </w:r>
          </w:p>
        </w:tc>
        <w:tc>
          <w:tcPr>
            <w:tcW w:w="947" w:type="pct"/>
          </w:tcPr>
          <w:p w14:paraId="6AC624E3" w14:textId="7DB73859" w:rsidR="005D5F5F" w:rsidRDefault="00682284" w:rsidP="005D5F5F">
            <w:pPr>
              <w:spacing w:after="120"/>
              <w:rPr>
                <w:rFonts w:asciiTheme="minorHAnsi" w:hAnsiTheme="minorHAnsi" w:cstheme="minorHAnsi"/>
                <w:sz w:val="18"/>
                <w:szCs w:val="18"/>
              </w:rPr>
            </w:pPr>
            <w:r>
              <w:rPr>
                <w:rFonts w:asciiTheme="minorHAnsi" w:hAnsiTheme="minorHAnsi" w:cstheme="minorHAnsi"/>
                <w:sz w:val="18"/>
                <w:szCs w:val="18"/>
              </w:rPr>
              <w:t>IVA will</w:t>
            </w:r>
            <w:r w:rsidR="005D5F5F">
              <w:rPr>
                <w:rFonts w:asciiTheme="minorHAnsi" w:hAnsiTheme="minorHAnsi" w:cstheme="minorHAnsi"/>
                <w:sz w:val="18"/>
                <w:szCs w:val="18"/>
              </w:rPr>
              <w:t xml:space="preserve">: </w:t>
            </w:r>
          </w:p>
          <w:p w14:paraId="74A92591" w14:textId="7A3FB5FD" w:rsidR="005D5F5F" w:rsidRDefault="00682284" w:rsidP="00CB0465">
            <w:pPr>
              <w:pStyle w:val="ListParagraph"/>
              <w:numPr>
                <w:ilvl w:val="0"/>
                <w:numId w:val="40"/>
              </w:numPr>
              <w:spacing w:after="120"/>
              <w:ind w:left="159" w:hanging="180"/>
              <w:contextualSpacing w:val="0"/>
              <w:rPr>
                <w:rFonts w:asciiTheme="minorHAnsi" w:hAnsiTheme="minorHAnsi" w:cstheme="minorHAnsi"/>
                <w:sz w:val="18"/>
                <w:szCs w:val="18"/>
              </w:rPr>
            </w:pPr>
            <w:r>
              <w:rPr>
                <w:rFonts w:asciiTheme="minorHAnsi" w:hAnsiTheme="minorHAnsi" w:cstheme="minorHAnsi"/>
                <w:sz w:val="18"/>
                <w:szCs w:val="18"/>
              </w:rPr>
              <w:t>Review the p</w:t>
            </w:r>
            <w:r w:rsidR="005D5F5F" w:rsidRPr="005D5F5F">
              <w:rPr>
                <w:rFonts w:asciiTheme="minorHAnsi" w:hAnsiTheme="minorHAnsi" w:cstheme="minorHAnsi"/>
                <w:sz w:val="18"/>
                <w:szCs w:val="18"/>
              </w:rPr>
              <w:t>rocurement process and contract for supply of fuel to determine</w:t>
            </w:r>
            <w:r w:rsidR="005D5F5F">
              <w:rPr>
                <w:rFonts w:asciiTheme="minorHAnsi" w:hAnsiTheme="minorHAnsi" w:cstheme="minorHAnsi"/>
                <w:sz w:val="18"/>
                <w:szCs w:val="18"/>
              </w:rPr>
              <w:t xml:space="preserve"> whether: (i)</w:t>
            </w:r>
            <w:r w:rsidR="005D5F5F" w:rsidRPr="005D5F5F">
              <w:rPr>
                <w:rFonts w:asciiTheme="minorHAnsi" w:hAnsiTheme="minorHAnsi" w:cstheme="minorHAnsi"/>
                <w:sz w:val="18"/>
                <w:szCs w:val="18"/>
              </w:rPr>
              <w:t xml:space="preserve"> the </w:t>
            </w:r>
            <w:r w:rsidR="005D5F5F">
              <w:rPr>
                <w:rFonts w:asciiTheme="minorHAnsi" w:hAnsiTheme="minorHAnsi" w:cstheme="minorHAnsi"/>
                <w:sz w:val="18"/>
                <w:szCs w:val="18"/>
              </w:rPr>
              <w:t>procurement p</w:t>
            </w:r>
            <w:r w:rsidR="005D5F5F" w:rsidRPr="005D5F5F">
              <w:rPr>
                <w:rFonts w:asciiTheme="minorHAnsi" w:hAnsiTheme="minorHAnsi" w:cstheme="minorHAnsi"/>
                <w:sz w:val="18"/>
                <w:szCs w:val="18"/>
              </w:rPr>
              <w:t>rocess was international competitive</w:t>
            </w:r>
            <w:r w:rsidR="005D5F5F">
              <w:rPr>
                <w:rFonts w:asciiTheme="minorHAnsi" w:hAnsiTheme="minorHAnsi" w:cstheme="minorHAnsi"/>
                <w:sz w:val="18"/>
                <w:szCs w:val="18"/>
              </w:rPr>
              <w:t xml:space="preserve"> and consistent with the procurement legislation of the Republic of Tajikistan; (ii)</w:t>
            </w:r>
            <w:r w:rsidR="005D5F5F" w:rsidRPr="005D5F5F">
              <w:rPr>
                <w:rFonts w:asciiTheme="minorHAnsi" w:hAnsiTheme="minorHAnsi" w:cstheme="minorHAnsi"/>
                <w:sz w:val="18"/>
                <w:szCs w:val="18"/>
              </w:rPr>
              <w:t xml:space="preserve"> the price is r</w:t>
            </w:r>
            <w:r w:rsidR="005D5F5F">
              <w:rPr>
                <w:rFonts w:asciiTheme="minorHAnsi" w:hAnsiTheme="minorHAnsi" w:cstheme="minorHAnsi"/>
                <w:sz w:val="18"/>
                <w:szCs w:val="18"/>
              </w:rPr>
              <w:t>easonable</w:t>
            </w:r>
            <w:r w:rsidR="00447D34">
              <w:rPr>
                <w:rFonts w:asciiTheme="minorHAnsi" w:hAnsiTheme="minorHAnsi" w:cstheme="minorHAnsi"/>
                <w:sz w:val="18"/>
                <w:szCs w:val="18"/>
              </w:rPr>
              <w:t>.</w:t>
            </w:r>
            <w:r w:rsidR="005D5F5F">
              <w:rPr>
                <w:rFonts w:asciiTheme="minorHAnsi" w:hAnsiTheme="minorHAnsi" w:cstheme="minorHAnsi"/>
                <w:sz w:val="18"/>
                <w:szCs w:val="18"/>
              </w:rPr>
              <w:t xml:space="preserve"> </w:t>
            </w:r>
            <w:r w:rsidR="00447D34">
              <w:rPr>
                <w:rFonts w:asciiTheme="minorHAnsi" w:hAnsiTheme="minorHAnsi" w:cstheme="minorHAnsi"/>
                <w:sz w:val="18"/>
                <w:szCs w:val="18"/>
              </w:rPr>
              <w:t>T</w:t>
            </w:r>
            <w:r w:rsidR="005D5F5F">
              <w:rPr>
                <w:rFonts w:asciiTheme="minorHAnsi" w:hAnsiTheme="minorHAnsi" w:cstheme="minorHAnsi"/>
                <w:sz w:val="18"/>
                <w:szCs w:val="18"/>
              </w:rPr>
              <w:t xml:space="preserve">he reasonableness of the price should be determined by comparing it with the traded </w:t>
            </w:r>
            <w:r w:rsidR="005D5F5F">
              <w:rPr>
                <w:rFonts w:asciiTheme="minorHAnsi" w:hAnsiTheme="minorHAnsi" w:cstheme="minorHAnsi"/>
                <w:sz w:val="18"/>
                <w:szCs w:val="18"/>
              </w:rPr>
              <w:lastRenderedPageBreak/>
              <w:t>price</w:t>
            </w:r>
            <w:r w:rsidR="00447D34">
              <w:rPr>
                <w:rFonts w:asciiTheme="minorHAnsi" w:hAnsiTheme="minorHAnsi" w:cstheme="minorHAnsi"/>
                <w:sz w:val="18"/>
                <w:szCs w:val="18"/>
              </w:rPr>
              <w:t xml:space="preserve"> (on an international exchange)</w:t>
            </w:r>
            <w:r w:rsidR="005D5F5F">
              <w:rPr>
                <w:rFonts w:asciiTheme="minorHAnsi" w:hAnsiTheme="minorHAnsi" w:cstheme="minorHAnsi"/>
                <w:sz w:val="18"/>
                <w:szCs w:val="18"/>
              </w:rPr>
              <w:t xml:space="preserve"> of fuel oil</w:t>
            </w:r>
            <w:r w:rsidR="00447D34">
              <w:rPr>
                <w:rFonts w:asciiTheme="minorHAnsi" w:hAnsiTheme="minorHAnsi" w:cstheme="minorHAnsi"/>
                <w:sz w:val="18"/>
                <w:szCs w:val="18"/>
              </w:rPr>
              <w:t xml:space="preserve"> with same specifications plus transportation costs. </w:t>
            </w:r>
            <w:r>
              <w:rPr>
                <w:rFonts w:asciiTheme="minorHAnsi" w:hAnsiTheme="minorHAnsi" w:cstheme="minorHAnsi"/>
                <w:sz w:val="18"/>
                <w:szCs w:val="18"/>
              </w:rPr>
              <w:t>IVA should select the benchmark price, but it should be for a well-known international market with standardized contracts.</w:t>
            </w:r>
          </w:p>
          <w:p w14:paraId="40B83D88" w14:textId="3BB130F2" w:rsidR="007C4C70" w:rsidRPr="00682284" w:rsidRDefault="00682284" w:rsidP="00CB0465">
            <w:pPr>
              <w:pStyle w:val="ListParagraph"/>
              <w:numPr>
                <w:ilvl w:val="0"/>
                <w:numId w:val="40"/>
              </w:numPr>
              <w:spacing w:after="120"/>
              <w:ind w:left="159" w:hanging="180"/>
              <w:contextualSpacing w:val="0"/>
              <w:rPr>
                <w:rFonts w:asciiTheme="minorHAnsi" w:hAnsiTheme="minorHAnsi" w:cstheme="minorHAnsi"/>
                <w:sz w:val="18"/>
                <w:szCs w:val="18"/>
              </w:rPr>
            </w:pPr>
            <w:r>
              <w:rPr>
                <w:rFonts w:asciiTheme="minorHAnsi" w:hAnsiTheme="minorHAnsi" w:cstheme="minorHAnsi"/>
                <w:sz w:val="18"/>
                <w:szCs w:val="18"/>
              </w:rPr>
              <w:t>Review the purchased volume of fuel oil to validate that the total available stock, including the purchased volume during the year, did not exceed 24,000 tons at any point in time during the entire year for which verification is done.</w:t>
            </w:r>
          </w:p>
        </w:tc>
      </w:tr>
      <w:tr w:rsidR="007C4C70" w:rsidRPr="001B1012" w14:paraId="2EF6190C" w14:textId="77777777" w:rsidTr="00866A63">
        <w:trPr>
          <w:jc w:val="center"/>
        </w:trPr>
        <w:tc>
          <w:tcPr>
            <w:tcW w:w="1090" w:type="pct"/>
          </w:tcPr>
          <w:p w14:paraId="3085273D" w14:textId="2F8B442C" w:rsidR="007C4C70" w:rsidRPr="00133DF2" w:rsidRDefault="007C4C70" w:rsidP="007C4C70">
            <w:pPr>
              <w:widowControl/>
              <w:autoSpaceDE/>
              <w:autoSpaceDN/>
              <w:adjustRightInd/>
              <w:rPr>
                <w:rFonts w:asciiTheme="minorHAnsi" w:hAnsiTheme="minorHAnsi" w:cstheme="minorHAnsi"/>
                <w:sz w:val="18"/>
                <w:szCs w:val="18"/>
              </w:rPr>
            </w:pPr>
            <w:r w:rsidRPr="00133DF2">
              <w:rPr>
                <w:rFonts w:asciiTheme="minorHAnsi" w:hAnsiTheme="minorHAnsi" w:cstheme="minorHAnsi"/>
                <w:sz w:val="18"/>
                <w:szCs w:val="18"/>
              </w:rPr>
              <w:lastRenderedPageBreak/>
              <w:t>DLR 10.2: By December 31, 2023, (a) BT purchases fuel oil through international competitive process; (b) BT’s stock of fuel oil does not exceed the level required for emergency supply of heat; and (c) BT, SIB and STB reduce the costs of materials, services, and fixed asset maintenance by at least fifteen (15) percent, five (5) percent, and ten (10) percent each compared to the same costs in 2022</w:t>
            </w:r>
          </w:p>
        </w:tc>
        <w:tc>
          <w:tcPr>
            <w:tcW w:w="1091" w:type="pct"/>
          </w:tcPr>
          <w:p w14:paraId="6E54E328" w14:textId="77777777" w:rsidR="00224FB3" w:rsidRDefault="007C4C70" w:rsidP="007C4C70">
            <w:pPr>
              <w:rPr>
                <w:rFonts w:asciiTheme="minorHAnsi" w:hAnsiTheme="minorHAnsi" w:cstheme="minorHAnsi"/>
                <w:sz w:val="18"/>
                <w:szCs w:val="18"/>
              </w:rPr>
            </w:pPr>
            <w:r>
              <w:rPr>
                <w:rFonts w:asciiTheme="minorHAnsi" w:hAnsiTheme="minorHAnsi" w:cstheme="minorHAnsi"/>
                <w:sz w:val="18"/>
                <w:szCs w:val="18"/>
              </w:rPr>
              <w:t>The target will be considered achieved if:</w:t>
            </w:r>
          </w:p>
          <w:p w14:paraId="65F2DF22" w14:textId="77777777" w:rsidR="00224FB3" w:rsidRDefault="00224FB3" w:rsidP="00CB0465">
            <w:pPr>
              <w:pStyle w:val="ListParagraph"/>
              <w:numPr>
                <w:ilvl w:val="0"/>
                <w:numId w:val="32"/>
              </w:numPr>
              <w:spacing w:after="120"/>
              <w:ind w:left="245" w:hanging="245"/>
              <w:contextualSpacing w:val="0"/>
              <w:rPr>
                <w:rFonts w:asciiTheme="minorHAnsi" w:hAnsiTheme="minorHAnsi" w:cstheme="minorHAnsi"/>
                <w:sz w:val="18"/>
                <w:szCs w:val="18"/>
              </w:rPr>
            </w:pPr>
            <w:r w:rsidRPr="00224FB3">
              <w:rPr>
                <w:rFonts w:asciiTheme="minorHAnsi" w:hAnsiTheme="minorHAnsi" w:cstheme="minorHAnsi"/>
                <w:sz w:val="18"/>
                <w:szCs w:val="18"/>
              </w:rPr>
              <w:t>BT procures the fuel oil through international competitive process with resulting price comparable to market price on an international exchange (depending on the type of fuel oil purchased) with adjustment for transportation cost (delivery port plus ground-based transportation</w:t>
            </w:r>
            <w:proofErr w:type="gramStart"/>
            <w:r w:rsidRPr="00224FB3">
              <w:rPr>
                <w:rFonts w:asciiTheme="minorHAnsi" w:hAnsiTheme="minorHAnsi" w:cstheme="minorHAnsi"/>
                <w:sz w:val="18"/>
                <w:szCs w:val="18"/>
              </w:rPr>
              <w:t>);</w:t>
            </w:r>
            <w:proofErr w:type="gramEnd"/>
            <w:r w:rsidRPr="00224FB3">
              <w:rPr>
                <w:rFonts w:asciiTheme="minorHAnsi" w:hAnsiTheme="minorHAnsi" w:cstheme="minorHAnsi"/>
                <w:sz w:val="18"/>
                <w:szCs w:val="18"/>
              </w:rPr>
              <w:t xml:space="preserve"> </w:t>
            </w:r>
          </w:p>
          <w:p w14:paraId="5C914DB6" w14:textId="79F42524" w:rsidR="00224FB3" w:rsidRDefault="00224FB3" w:rsidP="00CB0465">
            <w:pPr>
              <w:pStyle w:val="ListParagraph"/>
              <w:numPr>
                <w:ilvl w:val="0"/>
                <w:numId w:val="32"/>
              </w:numPr>
              <w:spacing w:after="120"/>
              <w:ind w:left="245" w:hanging="245"/>
              <w:contextualSpacing w:val="0"/>
              <w:rPr>
                <w:rFonts w:asciiTheme="minorHAnsi" w:hAnsiTheme="minorHAnsi" w:cstheme="minorHAnsi"/>
                <w:sz w:val="18"/>
                <w:szCs w:val="18"/>
              </w:rPr>
            </w:pPr>
            <w:r w:rsidRPr="00224FB3">
              <w:rPr>
                <w:rFonts w:asciiTheme="minorHAnsi" w:hAnsiTheme="minorHAnsi" w:cstheme="minorHAnsi"/>
                <w:sz w:val="18"/>
                <w:szCs w:val="18"/>
              </w:rPr>
              <w:t xml:space="preserve">BT’s stock of fuel oil does not exceed the volume required for 21 days of heat supply; </w:t>
            </w:r>
            <w:r w:rsidR="00AB3958">
              <w:rPr>
                <w:rFonts w:asciiTheme="minorHAnsi" w:hAnsiTheme="minorHAnsi" w:cstheme="minorHAnsi"/>
                <w:sz w:val="18"/>
                <w:szCs w:val="18"/>
              </w:rPr>
              <w:t>and</w:t>
            </w:r>
          </w:p>
          <w:p w14:paraId="7F3F2553" w14:textId="1633CECD" w:rsidR="007C4C70" w:rsidRPr="00224FB3" w:rsidRDefault="007C4C70" w:rsidP="00CB0465">
            <w:pPr>
              <w:pStyle w:val="ListParagraph"/>
              <w:numPr>
                <w:ilvl w:val="0"/>
                <w:numId w:val="32"/>
              </w:numPr>
              <w:spacing w:after="120"/>
              <w:ind w:left="245" w:hanging="245"/>
              <w:contextualSpacing w:val="0"/>
              <w:rPr>
                <w:rFonts w:asciiTheme="minorHAnsi" w:hAnsiTheme="minorHAnsi" w:cstheme="minorHAnsi"/>
                <w:sz w:val="18"/>
                <w:szCs w:val="18"/>
              </w:rPr>
            </w:pPr>
            <w:r w:rsidRPr="00224FB3">
              <w:rPr>
                <w:rFonts w:asciiTheme="minorHAnsi" w:hAnsiTheme="minorHAnsi" w:cstheme="minorHAnsi"/>
                <w:sz w:val="18"/>
                <w:szCs w:val="18"/>
              </w:rPr>
              <w:t xml:space="preserve">BT, SIB, and STB reduce the costs of materials (excluding fuel oil costs), services, and fixed asset maintenance by at least </w:t>
            </w:r>
            <w:r w:rsidR="00224FB3" w:rsidRPr="00224FB3">
              <w:rPr>
                <w:rFonts w:asciiTheme="minorHAnsi" w:hAnsiTheme="minorHAnsi" w:cstheme="minorHAnsi"/>
                <w:sz w:val="18"/>
                <w:szCs w:val="18"/>
              </w:rPr>
              <w:t xml:space="preserve">fifteen (15), </w:t>
            </w:r>
            <w:r w:rsidR="00224FB3" w:rsidRPr="00224FB3">
              <w:rPr>
                <w:rFonts w:asciiTheme="minorHAnsi" w:hAnsiTheme="minorHAnsi" w:cstheme="minorHAnsi"/>
                <w:sz w:val="18"/>
                <w:szCs w:val="18"/>
              </w:rPr>
              <w:lastRenderedPageBreak/>
              <w:t>five (5), and ten (10)</w:t>
            </w:r>
            <w:r w:rsidRPr="00224FB3">
              <w:rPr>
                <w:rFonts w:asciiTheme="minorHAnsi" w:hAnsiTheme="minorHAnsi" w:cstheme="minorHAnsi"/>
                <w:sz w:val="18"/>
                <w:szCs w:val="18"/>
              </w:rPr>
              <w:t xml:space="preserve"> percent </w:t>
            </w:r>
            <w:r w:rsidR="00224FB3" w:rsidRPr="00224FB3">
              <w:rPr>
                <w:rFonts w:asciiTheme="minorHAnsi" w:hAnsiTheme="minorHAnsi" w:cstheme="minorHAnsi"/>
                <w:sz w:val="18"/>
                <w:szCs w:val="18"/>
              </w:rPr>
              <w:t xml:space="preserve">respectively </w:t>
            </w:r>
            <w:r w:rsidRPr="00224FB3">
              <w:rPr>
                <w:rFonts w:asciiTheme="minorHAnsi" w:hAnsiTheme="minorHAnsi" w:cstheme="minorHAnsi"/>
                <w:sz w:val="18"/>
                <w:szCs w:val="18"/>
              </w:rPr>
              <w:t>compared to the same costs in 2022.</w:t>
            </w:r>
          </w:p>
        </w:tc>
        <w:tc>
          <w:tcPr>
            <w:tcW w:w="531" w:type="pct"/>
          </w:tcPr>
          <w:p w14:paraId="3487DD03" w14:textId="77777777" w:rsidR="007C4C70" w:rsidRPr="001B1012" w:rsidRDefault="007C4C70" w:rsidP="007C4C70">
            <w:pPr>
              <w:rPr>
                <w:rFonts w:asciiTheme="minorHAnsi" w:hAnsiTheme="minorHAnsi" w:cstheme="minorHAnsi"/>
                <w:sz w:val="18"/>
                <w:szCs w:val="18"/>
              </w:rPr>
            </w:pPr>
            <w:r>
              <w:rPr>
                <w:rFonts w:asciiTheme="minorHAnsi" w:hAnsiTheme="minorHAnsi" w:cstheme="minorHAnsi"/>
                <w:sz w:val="18"/>
                <w:szCs w:val="18"/>
              </w:rPr>
              <w:lastRenderedPageBreak/>
              <w:t>No</w:t>
            </w:r>
          </w:p>
        </w:tc>
        <w:tc>
          <w:tcPr>
            <w:tcW w:w="717" w:type="pct"/>
          </w:tcPr>
          <w:p w14:paraId="5B36794E" w14:textId="77777777" w:rsidR="007C4C70" w:rsidRDefault="007C4C70" w:rsidP="007C4C70">
            <w:pPr>
              <w:rPr>
                <w:rFonts w:asciiTheme="minorHAnsi" w:hAnsiTheme="minorHAnsi" w:cstheme="minorHAnsi"/>
                <w:sz w:val="18"/>
                <w:szCs w:val="18"/>
              </w:rPr>
            </w:pPr>
            <w:r>
              <w:rPr>
                <w:rFonts w:asciiTheme="minorHAnsi" w:hAnsiTheme="minorHAnsi" w:cstheme="minorHAnsi"/>
                <w:sz w:val="18"/>
                <w:szCs w:val="18"/>
              </w:rPr>
              <w:t>Data source: BT, SIB, and STB audited financial statements and other company-level data and information.</w:t>
            </w:r>
          </w:p>
          <w:p w14:paraId="53D88E89" w14:textId="77777777" w:rsidR="007C4C70" w:rsidRPr="001B1012" w:rsidRDefault="007C4C70" w:rsidP="007C4C70">
            <w:pPr>
              <w:rPr>
                <w:rFonts w:asciiTheme="minorHAnsi" w:hAnsiTheme="minorHAnsi" w:cstheme="minorHAnsi"/>
                <w:sz w:val="18"/>
                <w:szCs w:val="18"/>
              </w:rPr>
            </w:pPr>
            <w:r>
              <w:rPr>
                <w:rFonts w:asciiTheme="minorHAnsi" w:hAnsiTheme="minorHAnsi" w:cstheme="minorHAnsi"/>
                <w:sz w:val="18"/>
                <w:szCs w:val="18"/>
              </w:rPr>
              <w:t>Agency: MEWR.</w:t>
            </w:r>
          </w:p>
        </w:tc>
        <w:tc>
          <w:tcPr>
            <w:tcW w:w="624" w:type="pct"/>
          </w:tcPr>
          <w:p w14:paraId="35E0F882" w14:textId="69AB73A9" w:rsidR="007C4C70" w:rsidRDefault="007C4C70" w:rsidP="007C4C70">
            <w:pPr>
              <w:rPr>
                <w:rFonts w:asciiTheme="minorHAnsi" w:hAnsiTheme="minorHAnsi" w:cstheme="minorHAnsi"/>
                <w:sz w:val="18"/>
                <w:szCs w:val="18"/>
              </w:rPr>
            </w:pPr>
            <w:r>
              <w:rPr>
                <w:rFonts w:asciiTheme="minorHAnsi" w:hAnsiTheme="minorHAnsi" w:cstheme="minorHAnsi"/>
                <w:sz w:val="18"/>
                <w:szCs w:val="18"/>
              </w:rPr>
              <w:t>Auditor of annual financial statements of BT under TOR acceptable to the Bank. The TORs for audit of SIB and STB annual financial statements should contain requirement for providing those costs with the required break-down</w:t>
            </w:r>
            <w:r w:rsidR="00682284">
              <w:rPr>
                <w:rFonts w:asciiTheme="minorHAnsi" w:hAnsiTheme="minorHAnsi" w:cstheme="minorHAnsi"/>
                <w:sz w:val="18"/>
                <w:szCs w:val="18"/>
              </w:rPr>
              <w:t xml:space="preserve"> and should also be acceptable to the World Bank.</w:t>
            </w:r>
          </w:p>
        </w:tc>
        <w:tc>
          <w:tcPr>
            <w:tcW w:w="947" w:type="pct"/>
          </w:tcPr>
          <w:p w14:paraId="3BBDA6EC" w14:textId="408B3F9E" w:rsidR="00682284" w:rsidRPr="00682284" w:rsidRDefault="00682284" w:rsidP="00682284">
            <w:pPr>
              <w:spacing w:after="120"/>
              <w:rPr>
                <w:rFonts w:asciiTheme="minorHAnsi" w:hAnsiTheme="minorHAnsi" w:cstheme="minorHAnsi"/>
                <w:sz w:val="18"/>
                <w:szCs w:val="18"/>
              </w:rPr>
            </w:pPr>
            <w:r>
              <w:rPr>
                <w:rFonts w:asciiTheme="minorHAnsi" w:hAnsiTheme="minorHAnsi" w:cstheme="minorHAnsi"/>
                <w:sz w:val="18"/>
                <w:szCs w:val="18"/>
              </w:rPr>
              <w:t>IVA will:</w:t>
            </w:r>
          </w:p>
          <w:p w14:paraId="654C9392" w14:textId="77777777" w:rsidR="00682284" w:rsidRDefault="00682284" w:rsidP="00CB0465">
            <w:pPr>
              <w:pStyle w:val="ListParagraph"/>
              <w:numPr>
                <w:ilvl w:val="0"/>
                <w:numId w:val="41"/>
              </w:numPr>
              <w:spacing w:after="120"/>
              <w:ind w:left="159" w:hanging="180"/>
              <w:contextualSpacing w:val="0"/>
              <w:rPr>
                <w:rFonts w:asciiTheme="minorHAnsi" w:hAnsiTheme="minorHAnsi" w:cstheme="minorHAnsi"/>
                <w:sz w:val="18"/>
                <w:szCs w:val="18"/>
              </w:rPr>
            </w:pPr>
            <w:r>
              <w:rPr>
                <w:rFonts w:asciiTheme="minorHAnsi" w:hAnsiTheme="minorHAnsi" w:cstheme="minorHAnsi"/>
                <w:sz w:val="18"/>
                <w:szCs w:val="18"/>
              </w:rPr>
              <w:t>Review the p</w:t>
            </w:r>
            <w:r w:rsidRPr="005D5F5F">
              <w:rPr>
                <w:rFonts w:asciiTheme="minorHAnsi" w:hAnsiTheme="minorHAnsi" w:cstheme="minorHAnsi"/>
                <w:sz w:val="18"/>
                <w:szCs w:val="18"/>
              </w:rPr>
              <w:t>rocurement process and contract for supply of fuel to determine</w:t>
            </w:r>
            <w:r>
              <w:rPr>
                <w:rFonts w:asciiTheme="minorHAnsi" w:hAnsiTheme="minorHAnsi" w:cstheme="minorHAnsi"/>
                <w:sz w:val="18"/>
                <w:szCs w:val="18"/>
              </w:rPr>
              <w:t xml:space="preserve"> whether: (i)</w:t>
            </w:r>
            <w:r w:rsidRPr="005D5F5F">
              <w:rPr>
                <w:rFonts w:asciiTheme="minorHAnsi" w:hAnsiTheme="minorHAnsi" w:cstheme="minorHAnsi"/>
                <w:sz w:val="18"/>
                <w:szCs w:val="18"/>
              </w:rPr>
              <w:t xml:space="preserve"> the </w:t>
            </w:r>
            <w:r>
              <w:rPr>
                <w:rFonts w:asciiTheme="minorHAnsi" w:hAnsiTheme="minorHAnsi" w:cstheme="minorHAnsi"/>
                <w:sz w:val="18"/>
                <w:szCs w:val="18"/>
              </w:rPr>
              <w:t>procurement p</w:t>
            </w:r>
            <w:r w:rsidRPr="005D5F5F">
              <w:rPr>
                <w:rFonts w:asciiTheme="minorHAnsi" w:hAnsiTheme="minorHAnsi" w:cstheme="minorHAnsi"/>
                <w:sz w:val="18"/>
                <w:szCs w:val="18"/>
              </w:rPr>
              <w:t>rocess was international competitive</w:t>
            </w:r>
            <w:r>
              <w:rPr>
                <w:rFonts w:asciiTheme="minorHAnsi" w:hAnsiTheme="minorHAnsi" w:cstheme="minorHAnsi"/>
                <w:sz w:val="18"/>
                <w:szCs w:val="18"/>
              </w:rPr>
              <w:t xml:space="preserve"> and consistent with the procurement legislation of the Republic of Tajikistan; (ii)</w:t>
            </w:r>
            <w:r w:rsidRPr="005D5F5F">
              <w:rPr>
                <w:rFonts w:asciiTheme="minorHAnsi" w:hAnsiTheme="minorHAnsi" w:cstheme="minorHAnsi"/>
                <w:sz w:val="18"/>
                <w:szCs w:val="18"/>
              </w:rPr>
              <w:t xml:space="preserve"> the price is r</w:t>
            </w:r>
            <w:r>
              <w:rPr>
                <w:rFonts w:asciiTheme="minorHAnsi" w:hAnsiTheme="minorHAnsi" w:cstheme="minorHAnsi"/>
                <w:sz w:val="18"/>
                <w:szCs w:val="18"/>
              </w:rPr>
              <w:t xml:space="preserve">easonable. The reasonableness of the price should be determined by comparing it with the traded price (on an international exchange) of fuel oil with same specifications plus transportation costs. IVA should select the benchmark price, but </w:t>
            </w:r>
            <w:r>
              <w:rPr>
                <w:rFonts w:asciiTheme="minorHAnsi" w:hAnsiTheme="minorHAnsi" w:cstheme="minorHAnsi"/>
                <w:sz w:val="18"/>
                <w:szCs w:val="18"/>
              </w:rPr>
              <w:lastRenderedPageBreak/>
              <w:t>it should be for a well-known international market with standardized contracts.</w:t>
            </w:r>
          </w:p>
          <w:p w14:paraId="4CD8CDA6" w14:textId="77777777" w:rsidR="00682284" w:rsidRDefault="00682284" w:rsidP="00CB0465">
            <w:pPr>
              <w:pStyle w:val="ListParagraph"/>
              <w:numPr>
                <w:ilvl w:val="0"/>
                <w:numId w:val="41"/>
              </w:numPr>
              <w:spacing w:after="120"/>
              <w:ind w:left="159" w:hanging="180"/>
              <w:contextualSpacing w:val="0"/>
              <w:rPr>
                <w:rFonts w:asciiTheme="minorHAnsi" w:hAnsiTheme="minorHAnsi" w:cstheme="minorHAnsi"/>
                <w:sz w:val="18"/>
                <w:szCs w:val="18"/>
              </w:rPr>
            </w:pPr>
            <w:r w:rsidRPr="00682284">
              <w:rPr>
                <w:rFonts w:asciiTheme="minorHAnsi" w:hAnsiTheme="minorHAnsi" w:cstheme="minorHAnsi"/>
                <w:sz w:val="18"/>
                <w:szCs w:val="18"/>
              </w:rPr>
              <w:t>Review the purchased volume of fuel oil to validate that the total available stock, including the purchased volume during the year, did not exceed 24,000 tons at any point in time during the entire year for which verification is done.</w:t>
            </w:r>
          </w:p>
          <w:p w14:paraId="12AA6BCB" w14:textId="3C20E8AC" w:rsidR="007C4C70" w:rsidRPr="00682284" w:rsidRDefault="004A1B57" w:rsidP="00CB0465">
            <w:pPr>
              <w:pStyle w:val="ListParagraph"/>
              <w:numPr>
                <w:ilvl w:val="0"/>
                <w:numId w:val="41"/>
              </w:numPr>
              <w:spacing w:after="120"/>
              <w:ind w:left="159" w:hanging="180"/>
              <w:contextualSpacing w:val="0"/>
              <w:rPr>
                <w:rFonts w:asciiTheme="minorHAnsi" w:hAnsiTheme="minorHAnsi" w:cstheme="minorHAnsi"/>
                <w:sz w:val="18"/>
                <w:szCs w:val="18"/>
              </w:rPr>
            </w:pPr>
            <w:r>
              <w:rPr>
                <w:rFonts w:asciiTheme="minorHAnsi" w:hAnsiTheme="minorHAnsi" w:cstheme="minorHAnsi"/>
                <w:sz w:val="18"/>
                <w:szCs w:val="18"/>
              </w:rPr>
              <w:t>(i) C</w:t>
            </w:r>
            <w:r w:rsidR="007C4C70" w:rsidRPr="00682284">
              <w:rPr>
                <w:rFonts w:asciiTheme="minorHAnsi" w:hAnsiTheme="minorHAnsi" w:cstheme="minorHAnsi"/>
                <w:sz w:val="18"/>
                <w:szCs w:val="18"/>
              </w:rPr>
              <w:t>onfirm the size of BT’s cost of materials (excluding fuel oil costs for electricity and/or heat generation), services, and fixed asset maintenance for both 2022 and 2023</w:t>
            </w:r>
            <w:r w:rsidR="00682284">
              <w:rPr>
                <w:rFonts w:asciiTheme="minorHAnsi" w:hAnsiTheme="minorHAnsi" w:cstheme="minorHAnsi"/>
                <w:sz w:val="18"/>
                <w:szCs w:val="18"/>
              </w:rPr>
              <w:t>;</w:t>
            </w:r>
            <w:r w:rsidR="007C4C70" w:rsidRPr="00682284">
              <w:rPr>
                <w:rFonts w:asciiTheme="minorHAnsi" w:hAnsiTheme="minorHAnsi" w:cstheme="minorHAnsi"/>
                <w:sz w:val="18"/>
                <w:szCs w:val="18"/>
              </w:rPr>
              <w:t xml:space="preserve">  </w:t>
            </w:r>
            <w:r>
              <w:rPr>
                <w:rFonts w:asciiTheme="minorHAnsi" w:hAnsiTheme="minorHAnsi" w:cstheme="minorHAnsi"/>
                <w:sz w:val="18"/>
                <w:szCs w:val="18"/>
              </w:rPr>
              <w:t xml:space="preserve">(ii) </w:t>
            </w:r>
            <w:r w:rsidR="007C4C70" w:rsidRPr="00682284">
              <w:rPr>
                <w:rFonts w:asciiTheme="minorHAnsi" w:hAnsiTheme="minorHAnsi" w:cstheme="minorHAnsi"/>
                <w:sz w:val="18"/>
                <w:szCs w:val="18"/>
              </w:rPr>
              <w:t xml:space="preserve">receive through MEWR the data from the auditors of SIB and STB annual financial statements, which should be detailed enough to contain the required cost items with necessary break-down; </w:t>
            </w:r>
            <w:r>
              <w:rPr>
                <w:rFonts w:asciiTheme="minorHAnsi" w:hAnsiTheme="minorHAnsi" w:cstheme="minorHAnsi"/>
                <w:sz w:val="18"/>
                <w:szCs w:val="18"/>
              </w:rPr>
              <w:t xml:space="preserve">(iii) </w:t>
            </w:r>
            <w:r w:rsidR="007C4C70" w:rsidRPr="00682284">
              <w:rPr>
                <w:rFonts w:asciiTheme="minorHAnsi" w:hAnsiTheme="minorHAnsi" w:cstheme="minorHAnsi"/>
                <w:sz w:val="18"/>
                <w:szCs w:val="18"/>
              </w:rPr>
              <w:t>prepare a summary report covering BT, SIB, and STB with computation of the change of 2023 costs of materials, services, and fixed asset maintenance compared to 2022</w:t>
            </w:r>
            <w:r>
              <w:rPr>
                <w:rFonts w:asciiTheme="minorHAnsi" w:hAnsiTheme="minorHAnsi" w:cstheme="minorHAnsi"/>
                <w:sz w:val="18"/>
                <w:szCs w:val="18"/>
              </w:rPr>
              <w:t xml:space="preserve"> with a conclusion whether the target for reduction was met.</w:t>
            </w:r>
          </w:p>
        </w:tc>
      </w:tr>
      <w:tr w:rsidR="004A1B57" w:rsidRPr="001B1012" w14:paraId="5FFA255B" w14:textId="77777777" w:rsidTr="00866A63">
        <w:trPr>
          <w:jc w:val="center"/>
        </w:trPr>
        <w:tc>
          <w:tcPr>
            <w:tcW w:w="1090" w:type="pct"/>
          </w:tcPr>
          <w:p w14:paraId="322BB415" w14:textId="0CC318CA" w:rsidR="004A1B57" w:rsidRPr="00133DF2" w:rsidRDefault="004A1B57" w:rsidP="004A1B57">
            <w:pPr>
              <w:widowControl/>
              <w:autoSpaceDE/>
              <w:autoSpaceDN/>
              <w:adjustRightInd/>
              <w:rPr>
                <w:rFonts w:asciiTheme="minorHAnsi" w:eastAsia="Times New Roman" w:hAnsiTheme="minorHAnsi" w:cstheme="minorHAnsi"/>
                <w:sz w:val="18"/>
                <w:szCs w:val="18"/>
              </w:rPr>
            </w:pPr>
            <w:r w:rsidRPr="00133DF2">
              <w:rPr>
                <w:rFonts w:asciiTheme="minorHAnsi" w:hAnsiTheme="minorHAnsi" w:cstheme="minorHAnsi"/>
                <w:sz w:val="18"/>
                <w:szCs w:val="18"/>
              </w:rPr>
              <w:lastRenderedPageBreak/>
              <w:t xml:space="preserve">DLR 10.3: By December 31, 2024, (a) BT purchases fuel oil through international </w:t>
            </w:r>
            <w:r w:rsidRPr="00133DF2">
              <w:rPr>
                <w:rFonts w:asciiTheme="minorHAnsi" w:hAnsiTheme="minorHAnsi" w:cstheme="minorHAnsi"/>
                <w:sz w:val="18"/>
                <w:szCs w:val="18"/>
              </w:rPr>
              <w:lastRenderedPageBreak/>
              <w:t>competitive process; (b) BT’s stock of fuel oil does not exceed the level required for emergency supply of heat; and (c) the costs of materials, services, and fixed asset maintenance of BT, SIB, and STB do not exceed their respective 2023 levels adjusted by the annual 2024 inflation</w:t>
            </w:r>
          </w:p>
        </w:tc>
        <w:tc>
          <w:tcPr>
            <w:tcW w:w="1091" w:type="pct"/>
          </w:tcPr>
          <w:p w14:paraId="1FBC362D" w14:textId="77777777" w:rsidR="004A1B57" w:rsidRDefault="004A1B57" w:rsidP="004A1B57">
            <w:pPr>
              <w:spacing w:after="120"/>
              <w:rPr>
                <w:rFonts w:asciiTheme="minorHAnsi" w:hAnsiTheme="minorHAnsi" w:cstheme="minorHAnsi"/>
                <w:sz w:val="18"/>
                <w:szCs w:val="18"/>
              </w:rPr>
            </w:pPr>
            <w:r>
              <w:rPr>
                <w:rFonts w:asciiTheme="minorHAnsi" w:hAnsiTheme="minorHAnsi" w:cstheme="minorHAnsi"/>
                <w:sz w:val="18"/>
                <w:szCs w:val="18"/>
              </w:rPr>
              <w:lastRenderedPageBreak/>
              <w:t xml:space="preserve">The target will be considered achieved if: </w:t>
            </w:r>
          </w:p>
          <w:p w14:paraId="060FC3E1" w14:textId="77777777" w:rsidR="004A1B57" w:rsidRDefault="004A1B57" w:rsidP="00CB0465">
            <w:pPr>
              <w:pStyle w:val="ListParagraph"/>
              <w:numPr>
                <w:ilvl w:val="0"/>
                <w:numId w:val="33"/>
              </w:numPr>
              <w:spacing w:after="120"/>
              <w:ind w:left="248" w:hanging="248"/>
              <w:contextualSpacing w:val="0"/>
              <w:rPr>
                <w:rFonts w:asciiTheme="minorHAnsi" w:hAnsiTheme="minorHAnsi" w:cstheme="minorHAnsi"/>
                <w:sz w:val="18"/>
                <w:szCs w:val="18"/>
              </w:rPr>
            </w:pPr>
            <w:r w:rsidRPr="00224FB3">
              <w:rPr>
                <w:rFonts w:asciiTheme="minorHAnsi" w:hAnsiTheme="minorHAnsi" w:cstheme="minorHAnsi"/>
                <w:sz w:val="18"/>
                <w:szCs w:val="18"/>
              </w:rPr>
              <w:lastRenderedPageBreak/>
              <w:t>BT procures the fuel oil through international competitive process with resulting price comparable to market price on an international exchange (depending on the type of fuel oil purchased) with adjustment for transportation cost (delivery port plus ground-based transportation</w:t>
            </w:r>
            <w:proofErr w:type="gramStart"/>
            <w:r w:rsidRPr="00224FB3">
              <w:rPr>
                <w:rFonts w:asciiTheme="minorHAnsi" w:hAnsiTheme="minorHAnsi" w:cstheme="minorHAnsi"/>
                <w:sz w:val="18"/>
                <w:szCs w:val="18"/>
              </w:rPr>
              <w:t>);</w:t>
            </w:r>
            <w:proofErr w:type="gramEnd"/>
            <w:r w:rsidRPr="00224FB3">
              <w:rPr>
                <w:rFonts w:asciiTheme="minorHAnsi" w:hAnsiTheme="minorHAnsi" w:cstheme="minorHAnsi"/>
                <w:sz w:val="18"/>
                <w:szCs w:val="18"/>
              </w:rPr>
              <w:t xml:space="preserve"> </w:t>
            </w:r>
          </w:p>
          <w:p w14:paraId="6AA56080" w14:textId="00CCCB69" w:rsidR="004A1B57" w:rsidRDefault="004A1B57" w:rsidP="00CB0465">
            <w:pPr>
              <w:pStyle w:val="ListParagraph"/>
              <w:numPr>
                <w:ilvl w:val="0"/>
                <w:numId w:val="33"/>
              </w:numPr>
              <w:spacing w:after="120"/>
              <w:ind w:left="248" w:hanging="248"/>
              <w:contextualSpacing w:val="0"/>
              <w:rPr>
                <w:rFonts w:asciiTheme="minorHAnsi" w:hAnsiTheme="minorHAnsi" w:cstheme="minorHAnsi"/>
                <w:sz w:val="18"/>
                <w:szCs w:val="18"/>
              </w:rPr>
            </w:pPr>
            <w:r w:rsidRPr="00AB3958">
              <w:rPr>
                <w:rFonts w:asciiTheme="minorHAnsi" w:hAnsiTheme="minorHAnsi" w:cstheme="minorHAnsi"/>
                <w:sz w:val="18"/>
                <w:szCs w:val="18"/>
              </w:rPr>
              <w:t xml:space="preserve">BT’s stock of fuel oil does not exceed the volume required for 21 days of heat supply; </w:t>
            </w:r>
            <w:r>
              <w:rPr>
                <w:rFonts w:asciiTheme="minorHAnsi" w:hAnsiTheme="minorHAnsi" w:cstheme="minorHAnsi"/>
                <w:sz w:val="18"/>
                <w:szCs w:val="18"/>
              </w:rPr>
              <w:t>and</w:t>
            </w:r>
          </w:p>
          <w:p w14:paraId="51A8517C" w14:textId="6DCBDB32" w:rsidR="004A1B57" w:rsidRPr="00AB3958" w:rsidRDefault="004A1B57" w:rsidP="00CB0465">
            <w:pPr>
              <w:pStyle w:val="ListParagraph"/>
              <w:numPr>
                <w:ilvl w:val="0"/>
                <w:numId w:val="33"/>
              </w:numPr>
              <w:spacing w:after="120"/>
              <w:ind w:left="248" w:hanging="248"/>
              <w:contextualSpacing w:val="0"/>
              <w:rPr>
                <w:rFonts w:asciiTheme="minorHAnsi" w:hAnsiTheme="minorHAnsi" w:cstheme="minorHAnsi"/>
                <w:sz w:val="18"/>
                <w:szCs w:val="18"/>
              </w:rPr>
            </w:pPr>
            <w:r>
              <w:rPr>
                <w:rFonts w:asciiTheme="minorHAnsi" w:hAnsiTheme="minorHAnsi" w:cstheme="minorHAnsi"/>
                <w:sz w:val="18"/>
                <w:szCs w:val="18"/>
              </w:rPr>
              <w:t>T</w:t>
            </w:r>
            <w:r w:rsidRPr="00AB3958">
              <w:rPr>
                <w:rFonts w:asciiTheme="minorHAnsi" w:hAnsiTheme="minorHAnsi" w:cstheme="minorHAnsi"/>
                <w:sz w:val="18"/>
                <w:szCs w:val="18"/>
              </w:rPr>
              <w:t>he costs of materials, services, and fixed asset maintenance of BT, SIB, and STB do not exceed their respective 2023 levels adjusted by the annual 2024 inflation.</w:t>
            </w:r>
          </w:p>
        </w:tc>
        <w:tc>
          <w:tcPr>
            <w:tcW w:w="531" w:type="pct"/>
          </w:tcPr>
          <w:p w14:paraId="414AE34E" w14:textId="77777777" w:rsidR="004A1B57" w:rsidRPr="001B1012" w:rsidRDefault="004A1B57" w:rsidP="004A1B57">
            <w:pPr>
              <w:rPr>
                <w:rFonts w:asciiTheme="minorHAnsi" w:hAnsiTheme="minorHAnsi" w:cstheme="minorHAnsi"/>
                <w:sz w:val="18"/>
                <w:szCs w:val="18"/>
              </w:rPr>
            </w:pPr>
            <w:r>
              <w:rPr>
                <w:rFonts w:asciiTheme="minorHAnsi" w:hAnsiTheme="minorHAnsi" w:cstheme="minorHAnsi"/>
                <w:sz w:val="18"/>
                <w:szCs w:val="18"/>
              </w:rPr>
              <w:lastRenderedPageBreak/>
              <w:t>No</w:t>
            </w:r>
          </w:p>
        </w:tc>
        <w:tc>
          <w:tcPr>
            <w:tcW w:w="717" w:type="pct"/>
          </w:tcPr>
          <w:p w14:paraId="70FEF855" w14:textId="77777777" w:rsidR="004A1B57" w:rsidRDefault="004A1B57" w:rsidP="004A1B57">
            <w:pPr>
              <w:rPr>
                <w:rFonts w:asciiTheme="minorHAnsi" w:hAnsiTheme="minorHAnsi" w:cstheme="minorHAnsi"/>
                <w:sz w:val="18"/>
                <w:szCs w:val="18"/>
              </w:rPr>
            </w:pPr>
            <w:r>
              <w:rPr>
                <w:rFonts w:asciiTheme="minorHAnsi" w:hAnsiTheme="minorHAnsi" w:cstheme="minorHAnsi"/>
                <w:sz w:val="18"/>
                <w:szCs w:val="18"/>
              </w:rPr>
              <w:t xml:space="preserve">Data source: BT, SIB, and STB audited financial </w:t>
            </w:r>
            <w:r>
              <w:rPr>
                <w:rFonts w:asciiTheme="minorHAnsi" w:hAnsiTheme="minorHAnsi" w:cstheme="minorHAnsi"/>
                <w:sz w:val="18"/>
                <w:szCs w:val="18"/>
              </w:rPr>
              <w:lastRenderedPageBreak/>
              <w:t>statements and other company-level data and information.</w:t>
            </w:r>
          </w:p>
          <w:p w14:paraId="0089BC49" w14:textId="77777777" w:rsidR="004A1B57" w:rsidRPr="001B1012" w:rsidRDefault="004A1B57" w:rsidP="004A1B57">
            <w:pPr>
              <w:rPr>
                <w:rFonts w:asciiTheme="minorHAnsi" w:hAnsiTheme="minorHAnsi" w:cstheme="minorHAnsi"/>
                <w:sz w:val="18"/>
                <w:szCs w:val="18"/>
              </w:rPr>
            </w:pPr>
            <w:r>
              <w:rPr>
                <w:rFonts w:asciiTheme="minorHAnsi" w:hAnsiTheme="minorHAnsi" w:cstheme="minorHAnsi"/>
                <w:sz w:val="18"/>
                <w:szCs w:val="18"/>
              </w:rPr>
              <w:t>Agency: MEWR.</w:t>
            </w:r>
          </w:p>
        </w:tc>
        <w:tc>
          <w:tcPr>
            <w:tcW w:w="624" w:type="pct"/>
          </w:tcPr>
          <w:p w14:paraId="3F08E31C" w14:textId="4860F70B" w:rsidR="004A1B57" w:rsidRDefault="004A1B57" w:rsidP="004A1B57">
            <w:pPr>
              <w:rPr>
                <w:rFonts w:asciiTheme="minorHAnsi" w:hAnsiTheme="minorHAnsi" w:cstheme="minorHAnsi"/>
                <w:sz w:val="18"/>
                <w:szCs w:val="18"/>
              </w:rPr>
            </w:pPr>
            <w:r>
              <w:rPr>
                <w:rFonts w:asciiTheme="minorHAnsi" w:hAnsiTheme="minorHAnsi" w:cstheme="minorHAnsi"/>
                <w:sz w:val="18"/>
                <w:szCs w:val="18"/>
              </w:rPr>
              <w:lastRenderedPageBreak/>
              <w:t xml:space="preserve">Auditor of annual financial statements </w:t>
            </w:r>
            <w:r>
              <w:rPr>
                <w:rFonts w:asciiTheme="minorHAnsi" w:hAnsiTheme="minorHAnsi" w:cstheme="minorHAnsi"/>
                <w:sz w:val="18"/>
                <w:szCs w:val="18"/>
              </w:rPr>
              <w:lastRenderedPageBreak/>
              <w:t>of BT under TOR acceptable to the Bank. The TORs for audit of SIB and STB annual financial statements should contain requirement for providing those costs with the required break-down and should also be acceptable to the World Bank.</w:t>
            </w:r>
          </w:p>
        </w:tc>
        <w:tc>
          <w:tcPr>
            <w:tcW w:w="947" w:type="pct"/>
          </w:tcPr>
          <w:p w14:paraId="464BBE36" w14:textId="77777777" w:rsidR="004A1B57" w:rsidRPr="00682284" w:rsidRDefault="004A1B57" w:rsidP="004A1B57">
            <w:pPr>
              <w:spacing w:after="120"/>
              <w:rPr>
                <w:rFonts w:asciiTheme="minorHAnsi" w:hAnsiTheme="minorHAnsi" w:cstheme="minorHAnsi"/>
                <w:sz w:val="18"/>
                <w:szCs w:val="18"/>
              </w:rPr>
            </w:pPr>
            <w:r>
              <w:rPr>
                <w:rFonts w:asciiTheme="minorHAnsi" w:hAnsiTheme="minorHAnsi" w:cstheme="minorHAnsi"/>
                <w:sz w:val="18"/>
                <w:szCs w:val="18"/>
              </w:rPr>
              <w:lastRenderedPageBreak/>
              <w:t>IVA will:</w:t>
            </w:r>
          </w:p>
          <w:p w14:paraId="6436A756" w14:textId="77777777" w:rsidR="004A1B57" w:rsidRDefault="004A1B57" w:rsidP="00CB0465">
            <w:pPr>
              <w:pStyle w:val="ListParagraph"/>
              <w:numPr>
                <w:ilvl w:val="0"/>
                <w:numId w:val="42"/>
              </w:numPr>
              <w:spacing w:after="120"/>
              <w:ind w:left="249" w:hanging="249"/>
              <w:contextualSpacing w:val="0"/>
              <w:rPr>
                <w:rFonts w:asciiTheme="minorHAnsi" w:hAnsiTheme="minorHAnsi" w:cstheme="minorHAnsi"/>
                <w:sz w:val="18"/>
                <w:szCs w:val="18"/>
              </w:rPr>
            </w:pPr>
            <w:r w:rsidRPr="00682284">
              <w:rPr>
                <w:rFonts w:asciiTheme="minorHAnsi" w:hAnsiTheme="minorHAnsi" w:cstheme="minorHAnsi"/>
                <w:sz w:val="18"/>
                <w:szCs w:val="18"/>
              </w:rPr>
              <w:t xml:space="preserve">Review the procurement </w:t>
            </w:r>
            <w:r w:rsidRPr="00682284">
              <w:rPr>
                <w:rFonts w:asciiTheme="minorHAnsi" w:hAnsiTheme="minorHAnsi" w:cstheme="minorHAnsi"/>
                <w:sz w:val="18"/>
                <w:szCs w:val="18"/>
              </w:rPr>
              <w:lastRenderedPageBreak/>
              <w:t>process and contract for supply of fuel to determine whether: (i) the procurement process was international competitive and consistent with the procurement legislation of the Republic of Tajikistan; (ii) the price is reasonable. The reasonableness of the price should be determined by comparing it with the traded price (on an international exchange) of fuel oil with same specifications plus transportation costs. IVA should select the benchmark price, but it should be for a well-known international market with standardized contracts.</w:t>
            </w:r>
          </w:p>
          <w:p w14:paraId="42F85053" w14:textId="77777777" w:rsidR="004A1B57" w:rsidRDefault="004A1B57" w:rsidP="00CB0465">
            <w:pPr>
              <w:pStyle w:val="ListParagraph"/>
              <w:numPr>
                <w:ilvl w:val="0"/>
                <w:numId w:val="42"/>
              </w:numPr>
              <w:spacing w:after="120"/>
              <w:ind w:left="249" w:hanging="249"/>
              <w:contextualSpacing w:val="0"/>
              <w:rPr>
                <w:rFonts w:asciiTheme="minorHAnsi" w:hAnsiTheme="minorHAnsi" w:cstheme="minorHAnsi"/>
                <w:sz w:val="18"/>
                <w:szCs w:val="18"/>
              </w:rPr>
            </w:pPr>
            <w:r w:rsidRPr="00682284">
              <w:rPr>
                <w:rFonts w:asciiTheme="minorHAnsi" w:hAnsiTheme="minorHAnsi" w:cstheme="minorHAnsi"/>
                <w:sz w:val="18"/>
                <w:szCs w:val="18"/>
              </w:rPr>
              <w:t>Review the purchased volume of fuel oil to validate that the total available stock, including the purchased volume during the year, did not exceed 24,000 tons at any point in time during the entire year for which verification is done.</w:t>
            </w:r>
            <w:r w:rsidRPr="004A1B57">
              <w:rPr>
                <w:rFonts w:asciiTheme="minorHAnsi" w:hAnsiTheme="minorHAnsi" w:cstheme="minorHAnsi"/>
                <w:sz w:val="18"/>
                <w:szCs w:val="18"/>
              </w:rPr>
              <w:t xml:space="preserve"> </w:t>
            </w:r>
          </w:p>
          <w:p w14:paraId="52FD718E" w14:textId="422F2F1E" w:rsidR="004A1B57" w:rsidRPr="004A1B57" w:rsidRDefault="004A1B57" w:rsidP="00CB0465">
            <w:pPr>
              <w:pStyle w:val="ListParagraph"/>
              <w:numPr>
                <w:ilvl w:val="0"/>
                <w:numId w:val="42"/>
              </w:numPr>
              <w:spacing w:after="120"/>
              <w:ind w:left="249" w:hanging="249"/>
              <w:contextualSpacing w:val="0"/>
              <w:rPr>
                <w:rFonts w:asciiTheme="minorHAnsi" w:hAnsiTheme="minorHAnsi" w:cstheme="minorHAnsi"/>
                <w:sz w:val="18"/>
                <w:szCs w:val="18"/>
              </w:rPr>
            </w:pPr>
            <w:r>
              <w:rPr>
                <w:rFonts w:asciiTheme="minorHAnsi" w:hAnsiTheme="minorHAnsi" w:cstheme="minorHAnsi"/>
                <w:sz w:val="18"/>
                <w:szCs w:val="18"/>
              </w:rPr>
              <w:t>(i) c</w:t>
            </w:r>
            <w:r w:rsidRPr="004A1B57">
              <w:rPr>
                <w:rFonts w:asciiTheme="minorHAnsi" w:hAnsiTheme="minorHAnsi" w:cstheme="minorHAnsi"/>
                <w:sz w:val="18"/>
                <w:szCs w:val="18"/>
              </w:rPr>
              <w:t>onfirm the size of BT’s cost of materials (excluding fuel oil costs for electricity and/or heat generation), services, and fixed asset maintenance for 2025; (</w:t>
            </w:r>
            <w:r>
              <w:rPr>
                <w:rFonts w:asciiTheme="minorHAnsi" w:hAnsiTheme="minorHAnsi" w:cstheme="minorHAnsi"/>
                <w:sz w:val="18"/>
                <w:szCs w:val="18"/>
              </w:rPr>
              <w:t xml:space="preserve">ii) </w:t>
            </w:r>
            <w:r w:rsidRPr="004A1B57">
              <w:rPr>
                <w:rFonts w:asciiTheme="minorHAnsi" w:hAnsiTheme="minorHAnsi" w:cstheme="minorHAnsi"/>
                <w:sz w:val="18"/>
                <w:szCs w:val="18"/>
              </w:rPr>
              <w:t xml:space="preserve">receive through </w:t>
            </w:r>
            <w:r w:rsidRPr="004A1B57">
              <w:rPr>
                <w:rFonts w:asciiTheme="minorHAnsi" w:hAnsiTheme="minorHAnsi" w:cstheme="minorHAnsi"/>
                <w:sz w:val="18"/>
                <w:szCs w:val="18"/>
              </w:rPr>
              <w:lastRenderedPageBreak/>
              <w:t>MEWR the data from the auditors of SIB and STB annual financial statements, which should be detailed enough to contain the required cost items with necessary break-down; (</w:t>
            </w:r>
            <w:r>
              <w:rPr>
                <w:rFonts w:asciiTheme="minorHAnsi" w:hAnsiTheme="minorHAnsi" w:cstheme="minorHAnsi"/>
                <w:sz w:val="18"/>
                <w:szCs w:val="18"/>
              </w:rPr>
              <w:t>iii</w:t>
            </w:r>
            <w:r w:rsidRPr="004A1B57">
              <w:rPr>
                <w:rFonts w:asciiTheme="minorHAnsi" w:hAnsiTheme="minorHAnsi" w:cstheme="minorHAnsi"/>
                <w:sz w:val="18"/>
                <w:szCs w:val="18"/>
              </w:rPr>
              <w:t xml:space="preserve">) prepare a summary report covering BT, SIB, and STB with computation of the change of 2025 costs of materials, services, and fixed asset maintenance compared to 2024 with adjustment for 2025 inflation. </w:t>
            </w:r>
            <w:r>
              <w:rPr>
                <w:rFonts w:asciiTheme="minorHAnsi" w:hAnsiTheme="minorHAnsi" w:cstheme="minorHAnsi"/>
                <w:sz w:val="18"/>
                <w:szCs w:val="18"/>
              </w:rPr>
              <w:t>I</w:t>
            </w:r>
            <w:r w:rsidRPr="004A1B57">
              <w:rPr>
                <w:rFonts w:asciiTheme="minorHAnsi" w:hAnsiTheme="minorHAnsi" w:cstheme="minorHAnsi"/>
                <w:sz w:val="18"/>
                <w:szCs w:val="18"/>
              </w:rPr>
              <w:t>nflation would be measured through GDP deflator for 2025 based on the data from the System of National Accounts of the Statistical Agency under the President of the Republic of Tajikistan.</w:t>
            </w:r>
          </w:p>
        </w:tc>
      </w:tr>
      <w:tr w:rsidR="004A1B57" w:rsidRPr="001B1012" w14:paraId="3B28B196" w14:textId="77777777" w:rsidTr="00866A63">
        <w:trPr>
          <w:jc w:val="center"/>
        </w:trPr>
        <w:tc>
          <w:tcPr>
            <w:tcW w:w="1090" w:type="pct"/>
          </w:tcPr>
          <w:p w14:paraId="1A780CEC" w14:textId="339AB7D4" w:rsidR="004A1B57" w:rsidRPr="00B33FDE" w:rsidRDefault="004A1B57" w:rsidP="004A1B57">
            <w:pPr>
              <w:widowControl/>
              <w:autoSpaceDE/>
              <w:autoSpaceDN/>
              <w:adjustRightInd/>
              <w:rPr>
                <w:rFonts w:asciiTheme="minorHAnsi" w:eastAsia="Times New Roman" w:hAnsiTheme="minorHAnsi" w:cstheme="minorHAnsi"/>
                <w:b/>
                <w:bCs/>
                <w:sz w:val="18"/>
                <w:szCs w:val="18"/>
              </w:rPr>
            </w:pPr>
            <w:r w:rsidRPr="00133DF2">
              <w:rPr>
                <w:rFonts w:asciiTheme="minorHAnsi" w:hAnsiTheme="minorHAnsi" w:cstheme="minorHAnsi"/>
                <w:sz w:val="18"/>
                <w:szCs w:val="18"/>
              </w:rPr>
              <w:lastRenderedPageBreak/>
              <w:t>DLR 10.4: By December 31, 2025, (a) BT purchases fuel oil through international competitive process; (b) BT’s stock of fuel oil does not exceed the level required for emergency supply of heat; and (c) the costs materials, services, and fixed asset maintenance of BT, SIB, and STB do not exceed the 2024 levels adjusted by the annual 2025 inflation</w:t>
            </w:r>
          </w:p>
        </w:tc>
        <w:tc>
          <w:tcPr>
            <w:tcW w:w="1091" w:type="pct"/>
          </w:tcPr>
          <w:p w14:paraId="738A49E5" w14:textId="77777777" w:rsidR="004A1B57" w:rsidRDefault="004A1B57" w:rsidP="004A1B57">
            <w:pPr>
              <w:spacing w:after="120"/>
              <w:rPr>
                <w:rFonts w:asciiTheme="minorHAnsi" w:hAnsiTheme="minorHAnsi" w:cstheme="minorHAnsi"/>
                <w:sz w:val="18"/>
                <w:szCs w:val="18"/>
              </w:rPr>
            </w:pPr>
            <w:r>
              <w:rPr>
                <w:rFonts w:asciiTheme="minorHAnsi" w:hAnsiTheme="minorHAnsi" w:cstheme="minorHAnsi"/>
                <w:sz w:val="18"/>
                <w:szCs w:val="18"/>
              </w:rPr>
              <w:t xml:space="preserve">The target will be considered achieved if: </w:t>
            </w:r>
          </w:p>
          <w:p w14:paraId="1B41D460" w14:textId="285BDE79" w:rsidR="004A1B57" w:rsidRDefault="004A1B57" w:rsidP="00CB0465">
            <w:pPr>
              <w:pStyle w:val="ListParagraph"/>
              <w:numPr>
                <w:ilvl w:val="0"/>
                <w:numId w:val="34"/>
              </w:numPr>
              <w:spacing w:after="120"/>
              <w:ind w:left="248" w:hanging="248"/>
              <w:contextualSpacing w:val="0"/>
              <w:rPr>
                <w:rFonts w:asciiTheme="minorHAnsi" w:hAnsiTheme="minorHAnsi" w:cstheme="minorHAnsi"/>
                <w:sz w:val="18"/>
                <w:szCs w:val="18"/>
              </w:rPr>
            </w:pPr>
            <w:r w:rsidRPr="00224FB3">
              <w:rPr>
                <w:rFonts w:asciiTheme="minorHAnsi" w:hAnsiTheme="minorHAnsi" w:cstheme="minorHAnsi"/>
                <w:sz w:val="18"/>
                <w:szCs w:val="18"/>
              </w:rPr>
              <w:t>BT procures the fuel oil through international competitive process with resulting price comparable to market price on an international exchange (depending on the type of fuel oil purchased) with adjustment for transportation cost (delivery port plus ground-based transportation</w:t>
            </w:r>
            <w:proofErr w:type="gramStart"/>
            <w:r w:rsidRPr="00224FB3">
              <w:rPr>
                <w:rFonts w:asciiTheme="minorHAnsi" w:hAnsiTheme="minorHAnsi" w:cstheme="minorHAnsi"/>
                <w:sz w:val="18"/>
                <w:szCs w:val="18"/>
              </w:rPr>
              <w:t>);</w:t>
            </w:r>
            <w:proofErr w:type="gramEnd"/>
            <w:r w:rsidRPr="00224FB3">
              <w:rPr>
                <w:rFonts w:asciiTheme="minorHAnsi" w:hAnsiTheme="minorHAnsi" w:cstheme="minorHAnsi"/>
                <w:sz w:val="18"/>
                <w:szCs w:val="18"/>
              </w:rPr>
              <w:t xml:space="preserve"> </w:t>
            </w:r>
          </w:p>
          <w:p w14:paraId="4949C8D2" w14:textId="77777777" w:rsidR="004A1B57" w:rsidRDefault="004A1B57" w:rsidP="00CB0465">
            <w:pPr>
              <w:pStyle w:val="ListParagraph"/>
              <w:numPr>
                <w:ilvl w:val="0"/>
                <w:numId w:val="34"/>
              </w:numPr>
              <w:spacing w:after="120"/>
              <w:ind w:left="248" w:hanging="248"/>
              <w:contextualSpacing w:val="0"/>
              <w:rPr>
                <w:rFonts w:asciiTheme="minorHAnsi" w:hAnsiTheme="minorHAnsi" w:cstheme="minorHAnsi"/>
                <w:sz w:val="18"/>
                <w:szCs w:val="18"/>
              </w:rPr>
            </w:pPr>
            <w:r w:rsidRPr="00AB3958">
              <w:rPr>
                <w:rFonts w:asciiTheme="minorHAnsi" w:hAnsiTheme="minorHAnsi" w:cstheme="minorHAnsi"/>
                <w:sz w:val="18"/>
                <w:szCs w:val="18"/>
              </w:rPr>
              <w:t xml:space="preserve">BT’s stock of fuel oil does not exceed the volume required for 21 </w:t>
            </w:r>
            <w:r w:rsidRPr="00AB3958">
              <w:rPr>
                <w:rFonts w:asciiTheme="minorHAnsi" w:hAnsiTheme="minorHAnsi" w:cstheme="minorHAnsi"/>
                <w:sz w:val="18"/>
                <w:szCs w:val="18"/>
              </w:rPr>
              <w:lastRenderedPageBreak/>
              <w:t xml:space="preserve">days of heat supply; </w:t>
            </w:r>
            <w:r>
              <w:rPr>
                <w:rFonts w:asciiTheme="minorHAnsi" w:hAnsiTheme="minorHAnsi" w:cstheme="minorHAnsi"/>
                <w:sz w:val="18"/>
                <w:szCs w:val="18"/>
              </w:rPr>
              <w:t>and</w:t>
            </w:r>
          </w:p>
          <w:p w14:paraId="0A946CB0" w14:textId="144762FE" w:rsidR="004A1B57" w:rsidRPr="00956DA7" w:rsidRDefault="004A1B57" w:rsidP="00CB0465">
            <w:pPr>
              <w:pStyle w:val="ListParagraph"/>
              <w:numPr>
                <w:ilvl w:val="0"/>
                <w:numId w:val="34"/>
              </w:numPr>
              <w:spacing w:after="120"/>
              <w:ind w:left="248" w:hanging="248"/>
              <w:contextualSpacing w:val="0"/>
              <w:rPr>
                <w:rFonts w:asciiTheme="minorHAnsi" w:hAnsiTheme="minorHAnsi" w:cstheme="minorHAnsi"/>
                <w:sz w:val="18"/>
                <w:szCs w:val="18"/>
              </w:rPr>
            </w:pPr>
            <w:r>
              <w:rPr>
                <w:rFonts w:asciiTheme="minorHAnsi" w:hAnsiTheme="minorHAnsi" w:cstheme="minorHAnsi"/>
                <w:sz w:val="18"/>
                <w:szCs w:val="18"/>
              </w:rPr>
              <w:t>T</w:t>
            </w:r>
            <w:r w:rsidRPr="00956DA7">
              <w:rPr>
                <w:rFonts w:asciiTheme="minorHAnsi" w:hAnsiTheme="minorHAnsi" w:cstheme="minorHAnsi"/>
                <w:sz w:val="18"/>
                <w:szCs w:val="18"/>
              </w:rPr>
              <w:t>he costs of materials, services, and fixed asset maintenance of BT, SIB, and STB do not exceed their respective 202</w:t>
            </w:r>
            <w:r>
              <w:rPr>
                <w:rFonts w:asciiTheme="minorHAnsi" w:hAnsiTheme="minorHAnsi" w:cstheme="minorHAnsi"/>
                <w:sz w:val="18"/>
                <w:szCs w:val="18"/>
              </w:rPr>
              <w:t>4</w:t>
            </w:r>
            <w:r w:rsidRPr="00956DA7">
              <w:rPr>
                <w:rFonts w:asciiTheme="minorHAnsi" w:hAnsiTheme="minorHAnsi" w:cstheme="minorHAnsi"/>
                <w:sz w:val="18"/>
                <w:szCs w:val="18"/>
              </w:rPr>
              <w:t xml:space="preserve"> levels adjusted by the annual 202</w:t>
            </w:r>
            <w:r>
              <w:rPr>
                <w:rFonts w:asciiTheme="minorHAnsi" w:hAnsiTheme="minorHAnsi" w:cstheme="minorHAnsi"/>
                <w:sz w:val="18"/>
                <w:szCs w:val="18"/>
              </w:rPr>
              <w:t>5</w:t>
            </w:r>
            <w:r w:rsidRPr="00956DA7">
              <w:rPr>
                <w:rFonts w:asciiTheme="minorHAnsi" w:hAnsiTheme="minorHAnsi" w:cstheme="minorHAnsi"/>
                <w:sz w:val="18"/>
                <w:szCs w:val="18"/>
              </w:rPr>
              <w:t xml:space="preserve"> inflation.</w:t>
            </w:r>
          </w:p>
        </w:tc>
        <w:tc>
          <w:tcPr>
            <w:tcW w:w="531" w:type="pct"/>
          </w:tcPr>
          <w:p w14:paraId="7B1A6331" w14:textId="77777777" w:rsidR="004A1B57" w:rsidRPr="001B1012" w:rsidRDefault="004A1B57" w:rsidP="004A1B57">
            <w:pPr>
              <w:rPr>
                <w:rFonts w:asciiTheme="minorHAnsi" w:hAnsiTheme="minorHAnsi" w:cstheme="minorHAnsi"/>
                <w:sz w:val="18"/>
                <w:szCs w:val="18"/>
              </w:rPr>
            </w:pPr>
            <w:r>
              <w:rPr>
                <w:rFonts w:asciiTheme="minorHAnsi" w:hAnsiTheme="minorHAnsi" w:cstheme="minorHAnsi"/>
                <w:sz w:val="18"/>
                <w:szCs w:val="18"/>
              </w:rPr>
              <w:lastRenderedPageBreak/>
              <w:t>No</w:t>
            </w:r>
          </w:p>
        </w:tc>
        <w:tc>
          <w:tcPr>
            <w:tcW w:w="717" w:type="pct"/>
          </w:tcPr>
          <w:p w14:paraId="3E5C450A" w14:textId="77777777" w:rsidR="004A1B57" w:rsidRDefault="004A1B57" w:rsidP="004A1B57">
            <w:pPr>
              <w:rPr>
                <w:rFonts w:asciiTheme="minorHAnsi" w:hAnsiTheme="minorHAnsi" w:cstheme="minorHAnsi"/>
                <w:sz w:val="18"/>
                <w:szCs w:val="18"/>
              </w:rPr>
            </w:pPr>
            <w:r>
              <w:rPr>
                <w:rFonts w:asciiTheme="minorHAnsi" w:hAnsiTheme="minorHAnsi" w:cstheme="minorHAnsi"/>
                <w:sz w:val="18"/>
                <w:szCs w:val="18"/>
              </w:rPr>
              <w:t>Data source: BT, SIB, and STB audited financial statements and other company-level data and information.</w:t>
            </w:r>
          </w:p>
          <w:p w14:paraId="74D15C62" w14:textId="77777777" w:rsidR="004A1B57" w:rsidRPr="001B1012" w:rsidRDefault="004A1B57" w:rsidP="004A1B57">
            <w:pPr>
              <w:rPr>
                <w:rFonts w:asciiTheme="minorHAnsi" w:hAnsiTheme="minorHAnsi" w:cstheme="minorHAnsi"/>
                <w:sz w:val="18"/>
                <w:szCs w:val="18"/>
              </w:rPr>
            </w:pPr>
            <w:r>
              <w:rPr>
                <w:rFonts w:asciiTheme="minorHAnsi" w:hAnsiTheme="minorHAnsi" w:cstheme="minorHAnsi"/>
                <w:sz w:val="18"/>
                <w:szCs w:val="18"/>
              </w:rPr>
              <w:t>Agency: MEWR.</w:t>
            </w:r>
          </w:p>
        </w:tc>
        <w:tc>
          <w:tcPr>
            <w:tcW w:w="624" w:type="pct"/>
          </w:tcPr>
          <w:p w14:paraId="1ED20DF2" w14:textId="01D78E9D" w:rsidR="004A1B57" w:rsidRDefault="004A1B57" w:rsidP="004A1B57">
            <w:pPr>
              <w:rPr>
                <w:rFonts w:asciiTheme="minorHAnsi" w:hAnsiTheme="minorHAnsi" w:cstheme="minorHAnsi"/>
                <w:sz w:val="18"/>
                <w:szCs w:val="18"/>
              </w:rPr>
            </w:pPr>
            <w:r>
              <w:rPr>
                <w:rFonts w:asciiTheme="minorHAnsi" w:hAnsiTheme="minorHAnsi" w:cstheme="minorHAnsi"/>
                <w:sz w:val="18"/>
                <w:szCs w:val="18"/>
              </w:rPr>
              <w:t xml:space="preserve">Auditor of annual financial statements of BT under TOR acceptable to the Bank. The TORs for audit of SIB and STB annual financial statements should contain requirement for providing those costs with the required break-down and should also be acceptable to the </w:t>
            </w:r>
            <w:r>
              <w:rPr>
                <w:rFonts w:asciiTheme="minorHAnsi" w:hAnsiTheme="minorHAnsi" w:cstheme="minorHAnsi"/>
                <w:sz w:val="18"/>
                <w:szCs w:val="18"/>
              </w:rPr>
              <w:lastRenderedPageBreak/>
              <w:t>World Bank.</w:t>
            </w:r>
          </w:p>
        </w:tc>
        <w:tc>
          <w:tcPr>
            <w:tcW w:w="947" w:type="pct"/>
          </w:tcPr>
          <w:p w14:paraId="715E8382" w14:textId="77777777" w:rsidR="004A1B57" w:rsidRPr="00682284" w:rsidRDefault="004A1B57" w:rsidP="004A1B57">
            <w:pPr>
              <w:spacing w:after="120"/>
              <w:rPr>
                <w:rFonts w:asciiTheme="minorHAnsi" w:hAnsiTheme="minorHAnsi" w:cstheme="minorHAnsi"/>
                <w:sz w:val="18"/>
                <w:szCs w:val="18"/>
              </w:rPr>
            </w:pPr>
            <w:r>
              <w:rPr>
                <w:rFonts w:asciiTheme="minorHAnsi" w:hAnsiTheme="minorHAnsi" w:cstheme="minorHAnsi"/>
                <w:sz w:val="18"/>
                <w:szCs w:val="18"/>
              </w:rPr>
              <w:lastRenderedPageBreak/>
              <w:t>IVA will:</w:t>
            </w:r>
          </w:p>
          <w:p w14:paraId="0B894390" w14:textId="77777777" w:rsidR="004A1B57" w:rsidRDefault="004A1B57" w:rsidP="00CB0465">
            <w:pPr>
              <w:pStyle w:val="ListParagraph"/>
              <w:numPr>
                <w:ilvl w:val="0"/>
                <w:numId w:val="43"/>
              </w:numPr>
              <w:spacing w:after="120"/>
              <w:ind w:left="249" w:hanging="270"/>
              <w:contextualSpacing w:val="0"/>
              <w:rPr>
                <w:rFonts w:asciiTheme="minorHAnsi" w:hAnsiTheme="minorHAnsi" w:cstheme="minorHAnsi"/>
                <w:sz w:val="18"/>
                <w:szCs w:val="18"/>
              </w:rPr>
            </w:pPr>
            <w:r w:rsidRPr="004A1B57">
              <w:rPr>
                <w:rFonts w:asciiTheme="minorHAnsi" w:hAnsiTheme="minorHAnsi" w:cstheme="minorHAnsi"/>
                <w:sz w:val="18"/>
                <w:szCs w:val="18"/>
              </w:rPr>
              <w:t xml:space="preserve">Review the procurement process and contract for supply of fuel to determine whether: (i) the procurement process was international competitive and consistent with the procurement legislation of the Republic of Tajikistan; (ii) the price is reasonable. The reasonableness of the price should be determined by comparing it with the traded </w:t>
            </w:r>
            <w:r w:rsidRPr="004A1B57">
              <w:rPr>
                <w:rFonts w:asciiTheme="minorHAnsi" w:hAnsiTheme="minorHAnsi" w:cstheme="minorHAnsi"/>
                <w:sz w:val="18"/>
                <w:szCs w:val="18"/>
              </w:rPr>
              <w:lastRenderedPageBreak/>
              <w:t>price (on an international exchange) of fuel oil with same specifications plus transportation costs. IVA should select the benchmark price, but it should be for a well-known international market with standardized contracts.</w:t>
            </w:r>
          </w:p>
          <w:p w14:paraId="258DC1C1" w14:textId="77777777" w:rsidR="004A1B57" w:rsidRDefault="004A1B57" w:rsidP="00CB0465">
            <w:pPr>
              <w:pStyle w:val="ListParagraph"/>
              <w:numPr>
                <w:ilvl w:val="0"/>
                <w:numId w:val="43"/>
              </w:numPr>
              <w:spacing w:after="120"/>
              <w:ind w:left="249" w:hanging="270"/>
              <w:contextualSpacing w:val="0"/>
              <w:rPr>
                <w:rFonts w:asciiTheme="minorHAnsi" w:hAnsiTheme="minorHAnsi" w:cstheme="minorHAnsi"/>
                <w:sz w:val="18"/>
                <w:szCs w:val="18"/>
              </w:rPr>
            </w:pPr>
            <w:r w:rsidRPr="004A1B57">
              <w:rPr>
                <w:rFonts w:asciiTheme="minorHAnsi" w:hAnsiTheme="minorHAnsi" w:cstheme="minorHAnsi"/>
                <w:sz w:val="18"/>
                <w:szCs w:val="18"/>
              </w:rPr>
              <w:t xml:space="preserve">Review the purchased volume of fuel oil to validate that the total available stock, including the purchased volume during the year, did not exceed 24,000 tons at any point in time during the entire year for which verification is done. </w:t>
            </w:r>
          </w:p>
          <w:p w14:paraId="7B6DB794" w14:textId="5044BDCC" w:rsidR="004A1B57" w:rsidRPr="004A1B57" w:rsidRDefault="004A1B57" w:rsidP="00CB0465">
            <w:pPr>
              <w:pStyle w:val="ListParagraph"/>
              <w:numPr>
                <w:ilvl w:val="0"/>
                <w:numId w:val="43"/>
              </w:numPr>
              <w:spacing w:after="120"/>
              <w:ind w:left="249" w:hanging="270"/>
              <w:contextualSpacing w:val="0"/>
              <w:rPr>
                <w:rFonts w:asciiTheme="minorHAnsi" w:hAnsiTheme="minorHAnsi" w:cstheme="minorHAnsi"/>
                <w:sz w:val="18"/>
                <w:szCs w:val="18"/>
              </w:rPr>
            </w:pPr>
            <w:r>
              <w:rPr>
                <w:rFonts w:asciiTheme="minorHAnsi" w:hAnsiTheme="minorHAnsi" w:cstheme="minorHAnsi"/>
                <w:sz w:val="18"/>
                <w:szCs w:val="18"/>
              </w:rPr>
              <w:t>(i) C</w:t>
            </w:r>
            <w:r w:rsidRPr="004A1B57">
              <w:rPr>
                <w:rFonts w:asciiTheme="minorHAnsi" w:hAnsiTheme="minorHAnsi" w:cstheme="minorHAnsi"/>
                <w:sz w:val="18"/>
                <w:szCs w:val="18"/>
              </w:rPr>
              <w:t>onfirm the size of BT’s cost of materials (excluding fuel oil costs for electricity and/or heat generation), services, and fixed asset maintenance for 2025; (</w:t>
            </w:r>
            <w:r>
              <w:rPr>
                <w:rFonts w:asciiTheme="minorHAnsi" w:hAnsiTheme="minorHAnsi" w:cstheme="minorHAnsi"/>
                <w:sz w:val="18"/>
                <w:szCs w:val="18"/>
              </w:rPr>
              <w:t>ii</w:t>
            </w:r>
            <w:r w:rsidRPr="004A1B57">
              <w:rPr>
                <w:rFonts w:asciiTheme="minorHAnsi" w:hAnsiTheme="minorHAnsi" w:cstheme="minorHAnsi"/>
                <w:sz w:val="18"/>
                <w:szCs w:val="18"/>
              </w:rPr>
              <w:t xml:space="preserve">) receive through MEWR the data from the auditors of SIB and STB annual financial statements, which should be detailed enough to contain the required cost items with necessary break-down; </w:t>
            </w:r>
            <w:r>
              <w:rPr>
                <w:rFonts w:asciiTheme="minorHAnsi" w:hAnsiTheme="minorHAnsi" w:cstheme="minorHAnsi"/>
                <w:sz w:val="18"/>
                <w:szCs w:val="18"/>
              </w:rPr>
              <w:t xml:space="preserve">and </w:t>
            </w:r>
            <w:r w:rsidRPr="004A1B57">
              <w:rPr>
                <w:rFonts w:asciiTheme="minorHAnsi" w:hAnsiTheme="minorHAnsi" w:cstheme="minorHAnsi"/>
                <w:sz w:val="18"/>
                <w:szCs w:val="18"/>
              </w:rPr>
              <w:t>(</w:t>
            </w:r>
            <w:r>
              <w:rPr>
                <w:rFonts w:asciiTheme="minorHAnsi" w:hAnsiTheme="minorHAnsi" w:cstheme="minorHAnsi"/>
                <w:sz w:val="18"/>
                <w:szCs w:val="18"/>
              </w:rPr>
              <w:t>iii</w:t>
            </w:r>
            <w:r w:rsidRPr="004A1B57">
              <w:rPr>
                <w:rFonts w:asciiTheme="minorHAnsi" w:hAnsiTheme="minorHAnsi" w:cstheme="minorHAnsi"/>
                <w:sz w:val="18"/>
                <w:szCs w:val="18"/>
              </w:rPr>
              <w:t xml:space="preserve">) prepare a summary report covering BT, SIB, and STB with computation of the change of 2025 costs of materials, services, and fixed asset maintenance compared </w:t>
            </w:r>
            <w:r w:rsidRPr="004A1B57">
              <w:rPr>
                <w:rFonts w:asciiTheme="minorHAnsi" w:hAnsiTheme="minorHAnsi" w:cstheme="minorHAnsi"/>
                <w:sz w:val="18"/>
                <w:szCs w:val="18"/>
              </w:rPr>
              <w:lastRenderedPageBreak/>
              <w:t xml:space="preserve">to 2024 with adjustment for 2025 inflation. </w:t>
            </w:r>
            <w:r>
              <w:rPr>
                <w:rFonts w:asciiTheme="minorHAnsi" w:hAnsiTheme="minorHAnsi" w:cstheme="minorHAnsi"/>
                <w:sz w:val="18"/>
                <w:szCs w:val="18"/>
              </w:rPr>
              <w:t>I</w:t>
            </w:r>
            <w:r w:rsidRPr="004A1B57">
              <w:rPr>
                <w:rFonts w:asciiTheme="minorHAnsi" w:hAnsiTheme="minorHAnsi" w:cstheme="minorHAnsi"/>
                <w:sz w:val="18"/>
                <w:szCs w:val="18"/>
              </w:rPr>
              <w:t>nflation would be measured through GDP deflator for 2025 based on the data from the System of National Accounts of the Statistical Agency under the President of the Republic of Tajikistan.</w:t>
            </w:r>
          </w:p>
        </w:tc>
      </w:tr>
      <w:tr w:rsidR="004A1B57" w:rsidRPr="001B1012" w14:paraId="3F40DCFD" w14:textId="77777777" w:rsidTr="00866A63">
        <w:trPr>
          <w:jc w:val="center"/>
        </w:trPr>
        <w:tc>
          <w:tcPr>
            <w:tcW w:w="1090" w:type="pct"/>
          </w:tcPr>
          <w:p w14:paraId="2331950C" w14:textId="518B0D91" w:rsidR="004A1B57" w:rsidRPr="00133DF2" w:rsidRDefault="004A1B57" w:rsidP="004A1B57">
            <w:pPr>
              <w:widowControl/>
              <w:autoSpaceDE/>
              <w:autoSpaceDN/>
              <w:adjustRightInd/>
              <w:rPr>
                <w:rFonts w:asciiTheme="minorHAnsi" w:eastAsia="Times New Roman" w:hAnsiTheme="minorHAnsi" w:cstheme="minorHAnsi"/>
                <w:b/>
                <w:bCs/>
                <w:sz w:val="18"/>
                <w:szCs w:val="18"/>
              </w:rPr>
            </w:pPr>
            <w:r w:rsidRPr="00133DF2">
              <w:rPr>
                <w:rFonts w:asciiTheme="minorHAnsi" w:hAnsiTheme="minorHAnsi" w:cstheme="minorHAnsi"/>
                <w:sz w:val="18"/>
                <w:szCs w:val="18"/>
              </w:rPr>
              <w:lastRenderedPageBreak/>
              <w:t>DLR 10.5: By December 31, 2026, (a) BT purchases fuel oil through international competitive process; (b) BT’s stock of fuel oil does not exceed the level required for emergency supply of heat; and (</w:t>
            </w:r>
            <w:r w:rsidRPr="00133DF2">
              <w:rPr>
                <w:rFonts w:asciiTheme="minorHAnsi" w:hAnsiTheme="minorHAnsi" w:cstheme="minorHAnsi"/>
                <w:b/>
                <w:bCs/>
                <w:sz w:val="18"/>
                <w:szCs w:val="18"/>
              </w:rPr>
              <w:t>c</w:t>
            </w:r>
            <w:r w:rsidRPr="00133DF2">
              <w:rPr>
                <w:rFonts w:asciiTheme="minorHAnsi" w:hAnsiTheme="minorHAnsi" w:cstheme="minorHAnsi"/>
                <w:sz w:val="18"/>
                <w:szCs w:val="18"/>
              </w:rPr>
              <w:t>) the costs of materials, services, and fixed asset maintenance of BT, SIB, and STB do not exceed their respective 2025 levels adjusted by the annual 2026 inflation</w:t>
            </w:r>
          </w:p>
        </w:tc>
        <w:tc>
          <w:tcPr>
            <w:tcW w:w="1091" w:type="pct"/>
          </w:tcPr>
          <w:p w14:paraId="0B1D3349" w14:textId="77777777" w:rsidR="004A1B57" w:rsidRDefault="004A1B57" w:rsidP="004A1B57">
            <w:pPr>
              <w:spacing w:after="120"/>
              <w:rPr>
                <w:rFonts w:asciiTheme="minorHAnsi" w:hAnsiTheme="minorHAnsi" w:cstheme="minorHAnsi"/>
                <w:sz w:val="18"/>
                <w:szCs w:val="18"/>
              </w:rPr>
            </w:pPr>
            <w:r>
              <w:rPr>
                <w:rFonts w:asciiTheme="minorHAnsi" w:hAnsiTheme="minorHAnsi" w:cstheme="minorHAnsi"/>
                <w:sz w:val="18"/>
                <w:szCs w:val="18"/>
              </w:rPr>
              <w:t xml:space="preserve">The target will be considered achieved if: </w:t>
            </w:r>
          </w:p>
          <w:p w14:paraId="7A452AFE" w14:textId="11C5ED6C" w:rsidR="004A1B57" w:rsidRDefault="004A1B57" w:rsidP="00CB0465">
            <w:pPr>
              <w:pStyle w:val="ListParagraph"/>
              <w:numPr>
                <w:ilvl w:val="0"/>
                <w:numId w:val="35"/>
              </w:numPr>
              <w:spacing w:after="120"/>
              <w:ind w:left="248" w:hanging="248"/>
              <w:contextualSpacing w:val="0"/>
              <w:rPr>
                <w:rFonts w:asciiTheme="minorHAnsi" w:hAnsiTheme="minorHAnsi" w:cstheme="minorHAnsi"/>
                <w:sz w:val="18"/>
                <w:szCs w:val="18"/>
              </w:rPr>
            </w:pPr>
            <w:r w:rsidRPr="00224FB3">
              <w:rPr>
                <w:rFonts w:asciiTheme="minorHAnsi" w:hAnsiTheme="minorHAnsi" w:cstheme="minorHAnsi"/>
                <w:sz w:val="18"/>
                <w:szCs w:val="18"/>
              </w:rPr>
              <w:t>BT procures the fuel oil through international competitive process with resulting price comparable to market price on an international exchange (depending on the type of fuel oil purchased) with adjustment for transportation cost (delivery port plus ground-based transportation</w:t>
            </w:r>
            <w:proofErr w:type="gramStart"/>
            <w:r w:rsidRPr="00224FB3">
              <w:rPr>
                <w:rFonts w:asciiTheme="minorHAnsi" w:hAnsiTheme="minorHAnsi" w:cstheme="minorHAnsi"/>
                <w:sz w:val="18"/>
                <w:szCs w:val="18"/>
              </w:rPr>
              <w:t>);</w:t>
            </w:r>
            <w:proofErr w:type="gramEnd"/>
            <w:r w:rsidRPr="00224FB3">
              <w:rPr>
                <w:rFonts w:asciiTheme="minorHAnsi" w:hAnsiTheme="minorHAnsi" w:cstheme="minorHAnsi"/>
                <w:sz w:val="18"/>
                <w:szCs w:val="18"/>
              </w:rPr>
              <w:t xml:space="preserve"> </w:t>
            </w:r>
          </w:p>
          <w:p w14:paraId="614AB4F0" w14:textId="77777777" w:rsidR="004A1B57" w:rsidRDefault="004A1B57" w:rsidP="00CB0465">
            <w:pPr>
              <w:pStyle w:val="ListParagraph"/>
              <w:numPr>
                <w:ilvl w:val="0"/>
                <w:numId w:val="35"/>
              </w:numPr>
              <w:spacing w:after="120"/>
              <w:ind w:left="248" w:hanging="248"/>
              <w:contextualSpacing w:val="0"/>
              <w:rPr>
                <w:rFonts w:asciiTheme="minorHAnsi" w:hAnsiTheme="minorHAnsi" w:cstheme="minorHAnsi"/>
                <w:sz w:val="18"/>
                <w:szCs w:val="18"/>
              </w:rPr>
            </w:pPr>
            <w:r w:rsidRPr="00AB3958">
              <w:rPr>
                <w:rFonts w:asciiTheme="minorHAnsi" w:hAnsiTheme="minorHAnsi" w:cstheme="minorHAnsi"/>
                <w:sz w:val="18"/>
                <w:szCs w:val="18"/>
              </w:rPr>
              <w:t xml:space="preserve">BT’s stock of fuel oil does not exceed the volume required for 21 days of heat supply; </w:t>
            </w:r>
            <w:r>
              <w:rPr>
                <w:rFonts w:asciiTheme="minorHAnsi" w:hAnsiTheme="minorHAnsi" w:cstheme="minorHAnsi"/>
                <w:sz w:val="18"/>
                <w:szCs w:val="18"/>
              </w:rPr>
              <w:t>and</w:t>
            </w:r>
          </w:p>
          <w:p w14:paraId="402FA0C3" w14:textId="7A6363C6" w:rsidR="004A1B57" w:rsidRPr="00833474" w:rsidRDefault="004A1B57" w:rsidP="00CB0465">
            <w:pPr>
              <w:pStyle w:val="ListParagraph"/>
              <w:numPr>
                <w:ilvl w:val="0"/>
                <w:numId w:val="35"/>
              </w:numPr>
              <w:spacing w:after="120"/>
              <w:ind w:left="248" w:hanging="248"/>
              <w:contextualSpacing w:val="0"/>
              <w:rPr>
                <w:rFonts w:asciiTheme="minorHAnsi" w:hAnsiTheme="minorHAnsi" w:cstheme="minorHAnsi"/>
                <w:sz w:val="18"/>
                <w:szCs w:val="18"/>
              </w:rPr>
            </w:pPr>
            <w:r w:rsidRPr="00833474">
              <w:rPr>
                <w:rFonts w:asciiTheme="minorHAnsi" w:hAnsiTheme="minorHAnsi" w:cstheme="minorHAnsi"/>
                <w:sz w:val="18"/>
                <w:szCs w:val="18"/>
              </w:rPr>
              <w:t>The costs of materials, services, and fixed asset maintenance of BT, SIB, and STB do not exceed their respective 202</w:t>
            </w:r>
            <w:r>
              <w:rPr>
                <w:rFonts w:asciiTheme="minorHAnsi" w:hAnsiTheme="minorHAnsi" w:cstheme="minorHAnsi"/>
                <w:sz w:val="18"/>
                <w:szCs w:val="18"/>
              </w:rPr>
              <w:t>5</w:t>
            </w:r>
            <w:r w:rsidRPr="00833474">
              <w:rPr>
                <w:rFonts w:asciiTheme="minorHAnsi" w:hAnsiTheme="minorHAnsi" w:cstheme="minorHAnsi"/>
                <w:sz w:val="18"/>
                <w:szCs w:val="18"/>
              </w:rPr>
              <w:t xml:space="preserve"> levels adjusted by the annual 202</w:t>
            </w:r>
            <w:r>
              <w:rPr>
                <w:rFonts w:asciiTheme="minorHAnsi" w:hAnsiTheme="minorHAnsi" w:cstheme="minorHAnsi"/>
                <w:sz w:val="18"/>
                <w:szCs w:val="18"/>
              </w:rPr>
              <w:t>6</w:t>
            </w:r>
            <w:r w:rsidRPr="00833474">
              <w:rPr>
                <w:rFonts w:asciiTheme="minorHAnsi" w:hAnsiTheme="minorHAnsi" w:cstheme="minorHAnsi"/>
                <w:sz w:val="18"/>
                <w:szCs w:val="18"/>
              </w:rPr>
              <w:t xml:space="preserve"> inflation.</w:t>
            </w:r>
          </w:p>
        </w:tc>
        <w:tc>
          <w:tcPr>
            <w:tcW w:w="531" w:type="pct"/>
          </w:tcPr>
          <w:p w14:paraId="7E37238A" w14:textId="77777777" w:rsidR="004A1B57" w:rsidRPr="001B1012" w:rsidRDefault="004A1B57" w:rsidP="004A1B57">
            <w:pPr>
              <w:rPr>
                <w:rFonts w:asciiTheme="minorHAnsi" w:hAnsiTheme="minorHAnsi" w:cstheme="minorHAnsi"/>
                <w:sz w:val="18"/>
                <w:szCs w:val="18"/>
              </w:rPr>
            </w:pPr>
            <w:r>
              <w:rPr>
                <w:rFonts w:asciiTheme="minorHAnsi" w:hAnsiTheme="minorHAnsi" w:cstheme="minorHAnsi"/>
                <w:sz w:val="18"/>
                <w:szCs w:val="18"/>
              </w:rPr>
              <w:t>No</w:t>
            </w:r>
          </w:p>
        </w:tc>
        <w:tc>
          <w:tcPr>
            <w:tcW w:w="717" w:type="pct"/>
          </w:tcPr>
          <w:p w14:paraId="245B6902" w14:textId="77777777" w:rsidR="004A1B57" w:rsidRDefault="004A1B57" w:rsidP="004A1B57">
            <w:pPr>
              <w:rPr>
                <w:rFonts w:asciiTheme="minorHAnsi" w:hAnsiTheme="minorHAnsi" w:cstheme="minorHAnsi"/>
                <w:sz w:val="18"/>
                <w:szCs w:val="18"/>
              </w:rPr>
            </w:pPr>
            <w:r>
              <w:rPr>
                <w:rFonts w:asciiTheme="minorHAnsi" w:hAnsiTheme="minorHAnsi" w:cstheme="minorHAnsi"/>
                <w:sz w:val="18"/>
                <w:szCs w:val="18"/>
              </w:rPr>
              <w:t>Data source: BT, SIB, and STB audited financial statements and other company-level data and information.</w:t>
            </w:r>
          </w:p>
          <w:p w14:paraId="61D83F93" w14:textId="77777777" w:rsidR="004A1B57" w:rsidRPr="001B1012" w:rsidRDefault="004A1B57" w:rsidP="004A1B57">
            <w:pPr>
              <w:rPr>
                <w:rFonts w:asciiTheme="minorHAnsi" w:hAnsiTheme="minorHAnsi" w:cstheme="minorHAnsi"/>
                <w:sz w:val="18"/>
                <w:szCs w:val="18"/>
              </w:rPr>
            </w:pPr>
            <w:r>
              <w:rPr>
                <w:rFonts w:asciiTheme="minorHAnsi" w:hAnsiTheme="minorHAnsi" w:cstheme="minorHAnsi"/>
                <w:sz w:val="18"/>
                <w:szCs w:val="18"/>
              </w:rPr>
              <w:t>Agency: MEWR.</w:t>
            </w:r>
          </w:p>
        </w:tc>
        <w:tc>
          <w:tcPr>
            <w:tcW w:w="624" w:type="pct"/>
          </w:tcPr>
          <w:p w14:paraId="400BE00A" w14:textId="7168C8BB" w:rsidR="004A1B57" w:rsidRDefault="004A1B57" w:rsidP="004A1B57">
            <w:pPr>
              <w:rPr>
                <w:rFonts w:asciiTheme="minorHAnsi" w:hAnsiTheme="minorHAnsi" w:cstheme="minorHAnsi"/>
                <w:sz w:val="18"/>
                <w:szCs w:val="18"/>
              </w:rPr>
            </w:pPr>
            <w:r>
              <w:rPr>
                <w:rFonts w:asciiTheme="minorHAnsi" w:hAnsiTheme="minorHAnsi" w:cstheme="minorHAnsi"/>
                <w:sz w:val="18"/>
                <w:szCs w:val="18"/>
              </w:rPr>
              <w:t>Auditor of annual financial statements of BT under TOR acceptable to the Bank. The TORs for audit of SIB and STB annual financial statements should contain requirement for providing those costs with the required break-down and should also be acceptable to the World Bank.</w:t>
            </w:r>
          </w:p>
        </w:tc>
        <w:tc>
          <w:tcPr>
            <w:tcW w:w="947" w:type="pct"/>
          </w:tcPr>
          <w:p w14:paraId="21860849" w14:textId="77777777" w:rsidR="004A1B57" w:rsidRPr="00682284" w:rsidRDefault="004A1B57" w:rsidP="004A1B57">
            <w:pPr>
              <w:spacing w:after="120"/>
              <w:rPr>
                <w:rFonts w:asciiTheme="minorHAnsi" w:hAnsiTheme="minorHAnsi" w:cstheme="minorHAnsi"/>
                <w:sz w:val="18"/>
                <w:szCs w:val="18"/>
              </w:rPr>
            </w:pPr>
            <w:r>
              <w:rPr>
                <w:rFonts w:asciiTheme="minorHAnsi" w:hAnsiTheme="minorHAnsi" w:cstheme="minorHAnsi"/>
                <w:sz w:val="18"/>
                <w:szCs w:val="18"/>
              </w:rPr>
              <w:t>IVA will:</w:t>
            </w:r>
          </w:p>
          <w:p w14:paraId="5AC0672C" w14:textId="77777777" w:rsidR="00EE44A3" w:rsidRDefault="004A1B57" w:rsidP="00CB0465">
            <w:pPr>
              <w:pStyle w:val="ListParagraph"/>
              <w:numPr>
                <w:ilvl w:val="0"/>
                <w:numId w:val="44"/>
              </w:numPr>
              <w:spacing w:after="120"/>
              <w:ind w:left="249" w:hanging="270"/>
              <w:contextualSpacing w:val="0"/>
              <w:rPr>
                <w:rFonts w:asciiTheme="minorHAnsi" w:hAnsiTheme="minorHAnsi" w:cstheme="minorHAnsi"/>
                <w:sz w:val="18"/>
                <w:szCs w:val="18"/>
              </w:rPr>
            </w:pPr>
            <w:r w:rsidRPr="00682284">
              <w:rPr>
                <w:rFonts w:asciiTheme="minorHAnsi" w:hAnsiTheme="minorHAnsi" w:cstheme="minorHAnsi"/>
                <w:sz w:val="18"/>
                <w:szCs w:val="18"/>
              </w:rPr>
              <w:t>Review the procurement process and contract for supply of fuel to determine whether: (i) the procurement process was international competitive and consistent with the procurement legislation of the Republic of Tajikistan; (ii) the price is reasonable. The reasonableness of the price should be determined by comparing it with the traded price (on an international exchange) of fuel oil with same specifications plus transportation costs. IVA should select the benchmark price, but it should be for a well-known international market with standardized contracts.</w:t>
            </w:r>
          </w:p>
          <w:p w14:paraId="49204342" w14:textId="77777777" w:rsidR="00EE44A3" w:rsidRDefault="004A1B57" w:rsidP="00CB0465">
            <w:pPr>
              <w:pStyle w:val="ListParagraph"/>
              <w:numPr>
                <w:ilvl w:val="0"/>
                <w:numId w:val="44"/>
              </w:numPr>
              <w:spacing w:after="120"/>
              <w:ind w:left="249" w:hanging="270"/>
              <w:contextualSpacing w:val="0"/>
              <w:rPr>
                <w:rFonts w:asciiTheme="minorHAnsi" w:hAnsiTheme="minorHAnsi" w:cstheme="minorHAnsi"/>
                <w:sz w:val="18"/>
                <w:szCs w:val="18"/>
              </w:rPr>
            </w:pPr>
            <w:r w:rsidRPr="00EE44A3">
              <w:rPr>
                <w:rFonts w:asciiTheme="minorHAnsi" w:hAnsiTheme="minorHAnsi" w:cstheme="minorHAnsi"/>
                <w:sz w:val="18"/>
                <w:szCs w:val="18"/>
              </w:rPr>
              <w:t xml:space="preserve">Review the purchased volume of fuel oil to validate that the </w:t>
            </w:r>
            <w:r w:rsidRPr="00EE44A3">
              <w:rPr>
                <w:rFonts w:asciiTheme="minorHAnsi" w:hAnsiTheme="minorHAnsi" w:cstheme="minorHAnsi"/>
                <w:sz w:val="18"/>
                <w:szCs w:val="18"/>
              </w:rPr>
              <w:lastRenderedPageBreak/>
              <w:t>total available stock, including the purchased volume during the year, did not exceed 24,000 tons at any point in time during the entire year for which verification is done.</w:t>
            </w:r>
          </w:p>
          <w:p w14:paraId="229EC038" w14:textId="3F503F90" w:rsidR="004A1B57" w:rsidRPr="00EE44A3" w:rsidRDefault="00EE44A3" w:rsidP="00CB0465">
            <w:pPr>
              <w:pStyle w:val="ListParagraph"/>
              <w:numPr>
                <w:ilvl w:val="0"/>
                <w:numId w:val="44"/>
              </w:numPr>
              <w:spacing w:after="120"/>
              <w:ind w:left="249" w:hanging="270"/>
              <w:contextualSpacing w:val="0"/>
              <w:rPr>
                <w:rFonts w:asciiTheme="minorHAnsi" w:hAnsiTheme="minorHAnsi" w:cstheme="minorHAnsi"/>
                <w:sz w:val="18"/>
                <w:szCs w:val="18"/>
              </w:rPr>
            </w:pPr>
            <w:r>
              <w:rPr>
                <w:rFonts w:asciiTheme="minorHAnsi" w:hAnsiTheme="minorHAnsi" w:cstheme="minorHAnsi"/>
                <w:sz w:val="18"/>
                <w:szCs w:val="18"/>
              </w:rPr>
              <w:t>(i) C</w:t>
            </w:r>
            <w:r w:rsidR="004A1B57" w:rsidRPr="00EE44A3">
              <w:rPr>
                <w:rFonts w:asciiTheme="minorHAnsi" w:hAnsiTheme="minorHAnsi" w:cstheme="minorHAnsi"/>
                <w:sz w:val="18"/>
                <w:szCs w:val="18"/>
              </w:rPr>
              <w:t>onfirm the size of BT’s cost of materials (excluding fuel oil costs for electricity and/or heat generation), services, and fixed asset maintenance for 2026; (</w:t>
            </w:r>
            <w:r>
              <w:rPr>
                <w:rFonts w:asciiTheme="minorHAnsi" w:hAnsiTheme="minorHAnsi" w:cstheme="minorHAnsi"/>
                <w:sz w:val="18"/>
                <w:szCs w:val="18"/>
              </w:rPr>
              <w:t>ii</w:t>
            </w:r>
            <w:r w:rsidR="004A1B57" w:rsidRPr="00EE44A3">
              <w:rPr>
                <w:rFonts w:asciiTheme="minorHAnsi" w:hAnsiTheme="minorHAnsi" w:cstheme="minorHAnsi"/>
                <w:sz w:val="18"/>
                <w:szCs w:val="18"/>
              </w:rPr>
              <w:t xml:space="preserve">) receive through MEWR the data from the auditors of SIB and STB annual financial statements, which should be detailed enough to contain the required cost items with necessary break-down; </w:t>
            </w:r>
            <w:r>
              <w:rPr>
                <w:rFonts w:asciiTheme="minorHAnsi" w:hAnsiTheme="minorHAnsi" w:cstheme="minorHAnsi"/>
                <w:sz w:val="18"/>
                <w:szCs w:val="18"/>
              </w:rPr>
              <w:t xml:space="preserve">and </w:t>
            </w:r>
            <w:r w:rsidR="004A1B57" w:rsidRPr="00EE44A3">
              <w:rPr>
                <w:rFonts w:asciiTheme="minorHAnsi" w:hAnsiTheme="minorHAnsi" w:cstheme="minorHAnsi"/>
                <w:sz w:val="18"/>
                <w:szCs w:val="18"/>
              </w:rPr>
              <w:t>(</w:t>
            </w:r>
            <w:r>
              <w:rPr>
                <w:rFonts w:asciiTheme="minorHAnsi" w:hAnsiTheme="minorHAnsi" w:cstheme="minorHAnsi"/>
                <w:sz w:val="18"/>
                <w:szCs w:val="18"/>
              </w:rPr>
              <w:t>iii</w:t>
            </w:r>
            <w:r w:rsidR="004A1B57" w:rsidRPr="00EE44A3">
              <w:rPr>
                <w:rFonts w:asciiTheme="minorHAnsi" w:hAnsiTheme="minorHAnsi" w:cstheme="minorHAnsi"/>
                <w:sz w:val="18"/>
                <w:szCs w:val="18"/>
              </w:rPr>
              <w:t>) prepare a summary report covering BT, SIB, and STB with computation of the change of 2026 costs of materials, services, and fixed asset maintenance compared to 2025 with adjustment for 2026 inflation. The inflation would be measured through GDP deflator for 2026 based on the data from the System of National Accounts of the Statistical Agency under the President of the Republic of Tajikistan.</w:t>
            </w:r>
          </w:p>
        </w:tc>
      </w:tr>
      <w:tr w:rsidR="00D205C1" w:rsidRPr="001B1012" w14:paraId="72F79F8B" w14:textId="77777777" w:rsidTr="00866A63">
        <w:trPr>
          <w:jc w:val="center"/>
        </w:trPr>
        <w:tc>
          <w:tcPr>
            <w:tcW w:w="1090" w:type="pct"/>
          </w:tcPr>
          <w:p w14:paraId="366ABC0A" w14:textId="5E944D70" w:rsidR="00D205C1" w:rsidRPr="00133DF2" w:rsidRDefault="00D205C1" w:rsidP="00D205C1">
            <w:pPr>
              <w:widowControl/>
              <w:autoSpaceDE/>
              <w:autoSpaceDN/>
              <w:adjustRightInd/>
              <w:rPr>
                <w:rFonts w:asciiTheme="minorHAnsi" w:eastAsia="Times New Roman" w:hAnsiTheme="minorHAnsi" w:cstheme="minorHAnsi"/>
                <w:b/>
                <w:bCs/>
                <w:sz w:val="18"/>
                <w:szCs w:val="18"/>
              </w:rPr>
            </w:pPr>
            <w:r w:rsidRPr="00133DF2">
              <w:rPr>
                <w:rFonts w:asciiTheme="minorHAnsi" w:hAnsiTheme="minorHAnsi" w:cstheme="minorHAnsi"/>
                <w:sz w:val="18"/>
                <w:szCs w:val="18"/>
              </w:rPr>
              <w:lastRenderedPageBreak/>
              <w:t xml:space="preserve">DLR 10.6: By December 31, 2027, (a) BT purchases fuel oil through international </w:t>
            </w:r>
            <w:r w:rsidRPr="00133DF2">
              <w:rPr>
                <w:rFonts w:asciiTheme="minorHAnsi" w:hAnsiTheme="minorHAnsi" w:cstheme="minorHAnsi"/>
                <w:sz w:val="18"/>
                <w:szCs w:val="18"/>
              </w:rPr>
              <w:lastRenderedPageBreak/>
              <w:t>competitive process; (b) BT’s stock of fuel oil does not exceed the level required for emergency supply of heat; and (c) the costs of materials, services, and fixed asset maintenance of BT, SIB, and STB do not exceed their respective 2026 levels adjusted by the annual 2027 inflation</w:t>
            </w:r>
          </w:p>
        </w:tc>
        <w:tc>
          <w:tcPr>
            <w:tcW w:w="1091" w:type="pct"/>
          </w:tcPr>
          <w:p w14:paraId="1D9B15A4" w14:textId="77777777" w:rsidR="00D205C1" w:rsidRDefault="00D205C1" w:rsidP="00D205C1">
            <w:pPr>
              <w:spacing w:after="120"/>
              <w:rPr>
                <w:rFonts w:asciiTheme="minorHAnsi" w:hAnsiTheme="minorHAnsi" w:cstheme="minorHAnsi"/>
                <w:sz w:val="18"/>
                <w:szCs w:val="18"/>
              </w:rPr>
            </w:pPr>
            <w:r>
              <w:rPr>
                <w:rFonts w:asciiTheme="minorHAnsi" w:hAnsiTheme="minorHAnsi" w:cstheme="minorHAnsi"/>
                <w:sz w:val="18"/>
                <w:szCs w:val="18"/>
              </w:rPr>
              <w:lastRenderedPageBreak/>
              <w:t xml:space="preserve">The target will be considered achieved </w:t>
            </w:r>
            <w:r>
              <w:rPr>
                <w:rFonts w:asciiTheme="minorHAnsi" w:hAnsiTheme="minorHAnsi" w:cstheme="minorHAnsi"/>
                <w:sz w:val="18"/>
                <w:szCs w:val="18"/>
              </w:rPr>
              <w:lastRenderedPageBreak/>
              <w:t xml:space="preserve">if: </w:t>
            </w:r>
          </w:p>
          <w:p w14:paraId="6199F517" w14:textId="2CAA0F69" w:rsidR="00D205C1" w:rsidRDefault="00D205C1" w:rsidP="00CB0465">
            <w:pPr>
              <w:pStyle w:val="ListParagraph"/>
              <w:numPr>
                <w:ilvl w:val="0"/>
                <w:numId w:val="36"/>
              </w:numPr>
              <w:spacing w:after="120"/>
              <w:ind w:left="248" w:hanging="248"/>
              <w:contextualSpacing w:val="0"/>
              <w:rPr>
                <w:rFonts w:asciiTheme="minorHAnsi" w:hAnsiTheme="minorHAnsi" w:cstheme="minorHAnsi"/>
                <w:sz w:val="18"/>
                <w:szCs w:val="18"/>
              </w:rPr>
            </w:pPr>
            <w:r w:rsidRPr="00224FB3">
              <w:rPr>
                <w:rFonts w:asciiTheme="minorHAnsi" w:hAnsiTheme="minorHAnsi" w:cstheme="minorHAnsi"/>
                <w:sz w:val="18"/>
                <w:szCs w:val="18"/>
              </w:rPr>
              <w:t>BT procures the fuel oil through international competitive process with resulting price comparable to market price on an international exchange (depending on the type of fuel oil purchased) with adjustment for transportation cost (delivery port plus ground-based transportation</w:t>
            </w:r>
            <w:proofErr w:type="gramStart"/>
            <w:r w:rsidRPr="00224FB3">
              <w:rPr>
                <w:rFonts w:asciiTheme="minorHAnsi" w:hAnsiTheme="minorHAnsi" w:cstheme="minorHAnsi"/>
                <w:sz w:val="18"/>
                <w:szCs w:val="18"/>
              </w:rPr>
              <w:t>);</w:t>
            </w:r>
            <w:proofErr w:type="gramEnd"/>
            <w:r w:rsidRPr="00224FB3">
              <w:rPr>
                <w:rFonts w:asciiTheme="minorHAnsi" w:hAnsiTheme="minorHAnsi" w:cstheme="minorHAnsi"/>
                <w:sz w:val="18"/>
                <w:szCs w:val="18"/>
              </w:rPr>
              <w:t xml:space="preserve"> </w:t>
            </w:r>
          </w:p>
          <w:p w14:paraId="7549707F" w14:textId="77777777" w:rsidR="00D205C1" w:rsidRDefault="00D205C1" w:rsidP="00CB0465">
            <w:pPr>
              <w:pStyle w:val="ListParagraph"/>
              <w:numPr>
                <w:ilvl w:val="0"/>
                <w:numId w:val="36"/>
              </w:numPr>
              <w:spacing w:after="120"/>
              <w:ind w:left="248" w:hanging="248"/>
              <w:contextualSpacing w:val="0"/>
              <w:rPr>
                <w:rFonts w:asciiTheme="minorHAnsi" w:hAnsiTheme="minorHAnsi" w:cstheme="minorHAnsi"/>
                <w:sz w:val="18"/>
                <w:szCs w:val="18"/>
              </w:rPr>
            </w:pPr>
            <w:r w:rsidRPr="00AB3958">
              <w:rPr>
                <w:rFonts w:asciiTheme="minorHAnsi" w:hAnsiTheme="minorHAnsi" w:cstheme="minorHAnsi"/>
                <w:sz w:val="18"/>
                <w:szCs w:val="18"/>
              </w:rPr>
              <w:t xml:space="preserve">BT’s stock of fuel oil does not exceed the volume required for 21 days of heat supply; </w:t>
            </w:r>
            <w:r>
              <w:rPr>
                <w:rFonts w:asciiTheme="minorHAnsi" w:hAnsiTheme="minorHAnsi" w:cstheme="minorHAnsi"/>
                <w:sz w:val="18"/>
                <w:szCs w:val="18"/>
              </w:rPr>
              <w:t>and</w:t>
            </w:r>
          </w:p>
          <w:p w14:paraId="37BC9537" w14:textId="0B120F7B" w:rsidR="00D205C1" w:rsidRPr="00D40678" w:rsidRDefault="00D205C1" w:rsidP="00CB0465">
            <w:pPr>
              <w:pStyle w:val="ListParagraph"/>
              <w:numPr>
                <w:ilvl w:val="0"/>
                <w:numId w:val="36"/>
              </w:numPr>
              <w:spacing w:after="120"/>
              <w:ind w:left="248" w:hanging="248"/>
              <w:contextualSpacing w:val="0"/>
              <w:rPr>
                <w:rFonts w:asciiTheme="minorHAnsi" w:hAnsiTheme="minorHAnsi" w:cstheme="minorHAnsi"/>
                <w:sz w:val="18"/>
                <w:szCs w:val="18"/>
              </w:rPr>
            </w:pPr>
            <w:r w:rsidRPr="00D40678">
              <w:rPr>
                <w:rFonts w:asciiTheme="minorHAnsi" w:hAnsiTheme="minorHAnsi" w:cstheme="minorHAnsi"/>
                <w:sz w:val="18"/>
                <w:szCs w:val="18"/>
              </w:rPr>
              <w:t>The costs of materials, services, and fixed asset maintenance of BT, SIB, and STB do not exceed their respective 202</w:t>
            </w:r>
            <w:r>
              <w:rPr>
                <w:rFonts w:asciiTheme="minorHAnsi" w:hAnsiTheme="minorHAnsi" w:cstheme="minorHAnsi"/>
                <w:sz w:val="18"/>
                <w:szCs w:val="18"/>
              </w:rPr>
              <w:t>6</w:t>
            </w:r>
            <w:r w:rsidRPr="00D40678">
              <w:rPr>
                <w:rFonts w:asciiTheme="minorHAnsi" w:hAnsiTheme="minorHAnsi" w:cstheme="minorHAnsi"/>
                <w:sz w:val="18"/>
                <w:szCs w:val="18"/>
              </w:rPr>
              <w:t xml:space="preserve"> levels adjusted by the annual 202</w:t>
            </w:r>
            <w:r>
              <w:rPr>
                <w:rFonts w:asciiTheme="minorHAnsi" w:hAnsiTheme="minorHAnsi" w:cstheme="minorHAnsi"/>
                <w:sz w:val="18"/>
                <w:szCs w:val="18"/>
              </w:rPr>
              <w:t>7</w:t>
            </w:r>
            <w:r w:rsidRPr="00D40678">
              <w:rPr>
                <w:rFonts w:asciiTheme="minorHAnsi" w:hAnsiTheme="minorHAnsi" w:cstheme="minorHAnsi"/>
                <w:sz w:val="18"/>
                <w:szCs w:val="18"/>
              </w:rPr>
              <w:t xml:space="preserve"> inflation.</w:t>
            </w:r>
          </w:p>
        </w:tc>
        <w:tc>
          <w:tcPr>
            <w:tcW w:w="531" w:type="pct"/>
          </w:tcPr>
          <w:p w14:paraId="58B520B1" w14:textId="77777777" w:rsidR="00D205C1" w:rsidRPr="001B1012" w:rsidRDefault="00D205C1" w:rsidP="00D205C1">
            <w:pPr>
              <w:rPr>
                <w:rFonts w:asciiTheme="minorHAnsi" w:hAnsiTheme="minorHAnsi" w:cstheme="minorHAnsi"/>
                <w:sz w:val="18"/>
                <w:szCs w:val="18"/>
              </w:rPr>
            </w:pPr>
            <w:r>
              <w:rPr>
                <w:rFonts w:asciiTheme="minorHAnsi" w:hAnsiTheme="minorHAnsi" w:cstheme="minorHAnsi"/>
                <w:sz w:val="18"/>
                <w:szCs w:val="18"/>
              </w:rPr>
              <w:lastRenderedPageBreak/>
              <w:t>No</w:t>
            </w:r>
          </w:p>
        </w:tc>
        <w:tc>
          <w:tcPr>
            <w:tcW w:w="717" w:type="pct"/>
          </w:tcPr>
          <w:p w14:paraId="37B40B9B" w14:textId="77777777" w:rsidR="00D205C1" w:rsidRDefault="00D205C1" w:rsidP="00D205C1">
            <w:pPr>
              <w:rPr>
                <w:rFonts w:asciiTheme="minorHAnsi" w:hAnsiTheme="minorHAnsi" w:cstheme="minorHAnsi"/>
                <w:sz w:val="18"/>
                <w:szCs w:val="18"/>
              </w:rPr>
            </w:pPr>
            <w:r>
              <w:rPr>
                <w:rFonts w:asciiTheme="minorHAnsi" w:hAnsiTheme="minorHAnsi" w:cstheme="minorHAnsi"/>
                <w:sz w:val="18"/>
                <w:szCs w:val="18"/>
              </w:rPr>
              <w:t xml:space="preserve">Data source: BT, SIB, and STB audited financial </w:t>
            </w:r>
            <w:r>
              <w:rPr>
                <w:rFonts w:asciiTheme="minorHAnsi" w:hAnsiTheme="minorHAnsi" w:cstheme="minorHAnsi"/>
                <w:sz w:val="18"/>
                <w:szCs w:val="18"/>
              </w:rPr>
              <w:lastRenderedPageBreak/>
              <w:t>statements and other company-level data and information.</w:t>
            </w:r>
          </w:p>
          <w:p w14:paraId="112E02F7" w14:textId="77777777" w:rsidR="00D205C1" w:rsidRPr="001B1012" w:rsidRDefault="00D205C1" w:rsidP="00D205C1">
            <w:pPr>
              <w:rPr>
                <w:rFonts w:asciiTheme="minorHAnsi" w:hAnsiTheme="minorHAnsi" w:cstheme="minorHAnsi"/>
                <w:sz w:val="18"/>
                <w:szCs w:val="18"/>
              </w:rPr>
            </w:pPr>
            <w:r>
              <w:rPr>
                <w:rFonts w:asciiTheme="minorHAnsi" w:hAnsiTheme="minorHAnsi" w:cstheme="minorHAnsi"/>
                <w:sz w:val="18"/>
                <w:szCs w:val="18"/>
              </w:rPr>
              <w:t>Agency: MEWR.</w:t>
            </w:r>
          </w:p>
        </w:tc>
        <w:tc>
          <w:tcPr>
            <w:tcW w:w="624" w:type="pct"/>
          </w:tcPr>
          <w:p w14:paraId="2D34866A" w14:textId="6DF8AFCD" w:rsidR="00D205C1" w:rsidRDefault="00D205C1" w:rsidP="00D205C1">
            <w:pPr>
              <w:rPr>
                <w:rFonts w:asciiTheme="minorHAnsi" w:hAnsiTheme="minorHAnsi" w:cstheme="minorHAnsi"/>
                <w:sz w:val="18"/>
                <w:szCs w:val="18"/>
              </w:rPr>
            </w:pPr>
            <w:r>
              <w:rPr>
                <w:rFonts w:asciiTheme="minorHAnsi" w:hAnsiTheme="minorHAnsi" w:cstheme="minorHAnsi"/>
                <w:sz w:val="18"/>
                <w:szCs w:val="18"/>
              </w:rPr>
              <w:lastRenderedPageBreak/>
              <w:t xml:space="preserve">Auditor of annual financial statements </w:t>
            </w:r>
            <w:r>
              <w:rPr>
                <w:rFonts w:asciiTheme="minorHAnsi" w:hAnsiTheme="minorHAnsi" w:cstheme="minorHAnsi"/>
                <w:sz w:val="18"/>
                <w:szCs w:val="18"/>
              </w:rPr>
              <w:lastRenderedPageBreak/>
              <w:t>of BT under TOR acceptable to the Bank. The TORs for audit of SIB and STB annual financial statements should contain requirement for providing those costs with the required break-down and should also be acceptable to the World Bank.</w:t>
            </w:r>
          </w:p>
        </w:tc>
        <w:tc>
          <w:tcPr>
            <w:tcW w:w="947" w:type="pct"/>
          </w:tcPr>
          <w:p w14:paraId="038C1326" w14:textId="77777777" w:rsidR="00D205C1" w:rsidRDefault="00D205C1" w:rsidP="00D205C1">
            <w:pPr>
              <w:spacing w:after="120"/>
              <w:rPr>
                <w:rFonts w:asciiTheme="minorHAnsi" w:hAnsiTheme="minorHAnsi" w:cstheme="minorHAnsi"/>
                <w:sz w:val="18"/>
                <w:szCs w:val="18"/>
              </w:rPr>
            </w:pPr>
          </w:p>
          <w:p w14:paraId="6638EE09" w14:textId="77777777" w:rsidR="00D205C1" w:rsidRDefault="00D205C1" w:rsidP="00D205C1">
            <w:pPr>
              <w:spacing w:after="120"/>
              <w:rPr>
                <w:rFonts w:asciiTheme="minorHAnsi" w:hAnsiTheme="minorHAnsi" w:cstheme="minorHAnsi"/>
                <w:sz w:val="18"/>
                <w:szCs w:val="18"/>
              </w:rPr>
            </w:pPr>
          </w:p>
          <w:p w14:paraId="52BFFAD5" w14:textId="77777777" w:rsidR="00D205C1" w:rsidRPr="00682284" w:rsidRDefault="00D205C1" w:rsidP="00D205C1">
            <w:pPr>
              <w:spacing w:after="120"/>
              <w:rPr>
                <w:rFonts w:asciiTheme="minorHAnsi" w:hAnsiTheme="minorHAnsi" w:cstheme="minorHAnsi"/>
                <w:sz w:val="18"/>
                <w:szCs w:val="18"/>
              </w:rPr>
            </w:pPr>
            <w:r>
              <w:rPr>
                <w:rFonts w:asciiTheme="minorHAnsi" w:hAnsiTheme="minorHAnsi" w:cstheme="minorHAnsi"/>
                <w:sz w:val="18"/>
                <w:szCs w:val="18"/>
              </w:rPr>
              <w:t>IVA will:</w:t>
            </w:r>
          </w:p>
          <w:p w14:paraId="31684667" w14:textId="77777777" w:rsidR="00D205C1" w:rsidRDefault="00D205C1" w:rsidP="00CB0465">
            <w:pPr>
              <w:pStyle w:val="ListParagraph"/>
              <w:numPr>
                <w:ilvl w:val="0"/>
                <w:numId w:val="45"/>
              </w:numPr>
              <w:spacing w:after="120"/>
              <w:ind w:left="249" w:hanging="270"/>
              <w:contextualSpacing w:val="0"/>
              <w:rPr>
                <w:rFonts w:asciiTheme="minorHAnsi" w:hAnsiTheme="minorHAnsi" w:cstheme="minorHAnsi"/>
                <w:sz w:val="18"/>
                <w:szCs w:val="18"/>
              </w:rPr>
            </w:pPr>
            <w:r w:rsidRPr="00D205C1">
              <w:rPr>
                <w:rFonts w:asciiTheme="minorHAnsi" w:hAnsiTheme="minorHAnsi" w:cstheme="minorHAnsi"/>
                <w:sz w:val="18"/>
                <w:szCs w:val="18"/>
              </w:rPr>
              <w:t>Review the procurement process and contract for supply of fuel to determine whether: (i) the procurement process was international competitive and consistent with the procurement legislation of the Republic of Tajikistan; (ii) the price is reasonable. The reasonableness of the price should be determined by comparing it with the traded price (on an international exchange) of fuel oil with same specifications plus transportation costs. IVA should select the benchmark price, but it should be for a well-known international market with standardized contracts.</w:t>
            </w:r>
          </w:p>
          <w:p w14:paraId="4995ABB6" w14:textId="77777777" w:rsidR="00D205C1" w:rsidRDefault="00D205C1" w:rsidP="00CB0465">
            <w:pPr>
              <w:pStyle w:val="ListParagraph"/>
              <w:numPr>
                <w:ilvl w:val="0"/>
                <w:numId w:val="45"/>
              </w:numPr>
              <w:spacing w:after="120"/>
              <w:ind w:left="249" w:hanging="270"/>
              <w:contextualSpacing w:val="0"/>
              <w:rPr>
                <w:rFonts w:asciiTheme="minorHAnsi" w:hAnsiTheme="minorHAnsi" w:cstheme="minorHAnsi"/>
                <w:sz w:val="18"/>
                <w:szCs w:val="18"/>
              </w:rPr>
            </w:pPr>
            <w:r w:rsidRPr="00D205C1">
              <w:rPr>
                <w:rFonts w:asciiTheme="minorHAnsi" w:hAnsiTheme="minorHAnsi" w:cstheme="minorHAnsi"/>
                <w:sz w:val="18"/>
                <w:szCs w:val="18"/>
              </w:rPr>
              <w:t>Review the purchased volume of fuel oil to validate that the total available stock, including the purchased volume during the year, did not exceed 24,000 tons at any point in time during the entire year for which verification is done.</w:t>
            </w:r>
          </w:p>
          <w:p w14:paraId="53154B53" w14:textId="0FB70FDC" w:rsidR="00D205C1" w:rsidRPr="00D205C1" w:rsidRDefault="00D205C1" w:rsidP="00CB0465">
            <w:pPr>
              <w:pStyle w:val="ListParagraph"/>
              <w:numPr>
                <w:ilvl w:val="0"/>
                <w:numId w:val="45"/>
              </w:numPr>
              <w:spacing w:after="120"/>
              <w:ind w:left="249" w:hanging="270"/>
              <w:contextualSpacing w:val="0"/>
              <w:rPr>
                <w:rFonts w:asciiTheme="minorHAnsi" w:hAnsiTheme="minorHAnsi" w:cstheme="minorHAnsi"/>
                <w:sz w:val="18"/>
                <w:szCs w:val="18"/>
              </w:rPr>
            </w:pPr>
            <w:r>
              <w:rPr>
                <w:rFonts w:asciiTheme="minorHAnsi" w:hAnsiTheme="minorHAnsi" w:cstheme="minorHAnsi"/>
                <w:sz w:val="18"/>
                <w:szCs w:val="18"/>
              </w:rPr>
              <w:t>(i)</w:t>
            </w:r>
            <w:r w:rsidRPr="00D205C1">
              <w:rPr>
                <w:rFonts w:asciiTheme="minorHAnsi" w:hAnsiTheme="minorHAnsi" w:cstheme="minorHAnsi"/>
                <w:sz w:val="18"/>
                <w:szCs w:val="18"/>
              </w:rPr>
              <w:t xml:space="preserve"> confirm the size of BT’s cost of materials (excluding fuel oil </w:t>
            </w:r>
            <w:r w:rsidRPr="00D205C1">
              <w:rPr>
                <w:rFonts w:asciiTheme="minorHAnsi" w:hAnsiTheme="minorHAnsi" w:cstheme="minorHAnsi"/>
                <w:sz w:val="18"/>
                <w:szCs w:val="18"/>
              </w:rPr>
              <w:lastRenderedPageBreak/>
              <w:t>costs for electricity and/or heat generation), services, and fixed asset maintenance for 2027; (</w:t>
            </w:r>
            <w:r>
              <w:rPr>
                <w:rFonts w:asciiTheme="minorHAnsi" w:hAnsiTheme="minorHAnsi" w:cstheme="minorHAnsi"/>
                <w:sz w:val="18"/>
                <w:szCs w:val="18"/>
              </w:rPr>
              <w:t>ii</w:t>
            </w:r>
            <w:r w:rsidRPr="00D205C1">
              <w:rPr>
                <w:rFonts w:asciiTheme="minorHAnsi" w:hAnsiTheme="minorHAnsi" w:cstheme="minorHAnsi"/>
                <w:sz w:val="18"/>
                <w:szCs w:val="18"/>
              </w:rPr>
              <w:t xml:space="preserve">) receive through MEWR the data from the auditors of SIB and STB annual financial statements, which should be detailed enough to contain the required cost items with necessary break-down; </w:t>
            </w:r>
            <w:r>
              <w:rPr>
                <w:rFonts w:asciiTheme="minorHAnsi" w:hAnsiTheme="minorHAnsi" w:cstheme="minorHAnsi"/>
                <w:sz w:val="18"/>
                <w:szCs w:val="18"/>
              </w:rPr>
              <w:t xml:space="preserve">and </w:t>
            </w:r>
            <w:r w:rsidRPr="00D205C1">
              <w:rPr>
                <w:rFonts w:asciiTheme="minorHAnsi" w:hAnsiTheme="minorHAnsi" w:cstheme="minorHAnsi"/>
                <w:sz w:val="18"/>
                <w:szCs w:val="18"/>
              </w:rPr>
              <w:t>(</w:t>
            </w:r>
            <w:r>
              <w:rPr>
                <w:rFonts w:asciiTheme="minorHAnsi" w:hAnsiTheme="minorHAnsi" w:cstheme="minorHAnsi"/>
                <w:sz w:val="18"/>
                <w:szCs w:val="18"/>
              </w:rPr>
              <w:t>iii</w:t>
            </w:r>
            <w:r w:rsidRPr="00D205C1">
              <w:rPr>
                <w:rFonts w:asciiTheme="minorHAnsi" w:hAnsiTheme="minorHAnsi" w:cstheme="minorHAnsi"/>
                <w:sz w:val="18"/>
                <w:szCs w:val="18"/>
              </w:rPr>
              <w:t>) prepare a summary report covering BT, SIB, and STB with computation of the change of 2027 costs of materials, services, and fixed asset maintenance compared to 2026 with adjustment for 2027 inflation. The inflation would be measured through GDP deflator for 2027 based on the data from the System of National Accounts of the Statistical Agency under the President of the Republic of Tajikistan.</w:t>
            </w:r>
          </w:p>
        </w:tc>
      </w:tr>
      <w:tr w:rsidR="00D205C1" w:rsidRPr="001B1012" w14:paraId="6E3C20B8" w14:textId="77777777" w:rsidTr="00866A63">
        <w:trPr>
          <w:jc w:val="center"/>
        </w:trPr>
        <w:tc>
          <w:tcPr>
            <w:tcW w:w="1090" w:type="pct"/>
          </w:tcPr>
          <w:p w14:paraId="2E9F2378" w14:textId="7A6BB2C0" w:rsidR="00D205C1" w:rsidRPr="00133DF2" w:rsidRDefault="00D205C1" w:rsidP="00D205C1">
            <w:pPr>
              <w:widowControl/>
              <w:autoSpaceDE/>
              <w:autoSpaceDN/>
              <w:adjustRightInd/>
              <w:rPr>
                <w:rFonts w:asciiTheme="minorHAnsi" w:eastAsia="Times New Roman" w:hAnsiTheme="minorHAnsi" w:cstheme="minorHAnsi"/>
                <w:b/>
                <w:bCs/>
                <w:sz w:val="18"/>
                <w:szCs w:val="18"/>
              </w:rPr>
            </w:pPr>
            <w:r w:rsidRPr="00133DF2">
              <w:rPr>
                <w:rFonts w:asciiTheme="minorHAnsi" w:hAnsiTheme="minorHAnsi" w:cstheme="minorHAnsi"/>
                <w:sz w:val="18"/>
                <w:szCs w:val="18"/>
              </w:rPr>
              <w:lastRenderedPageBreak/>
              <w:t>DLR 10.7: By December 31, 2028, (a) BT purchases fuel oil through international competitive process; (b) BT’s stock of fuel oil does not exceed the level required for emergency supply of heat; and (c) the costs of materials, services, and fixed asset maintenance of BT, SIB, and STB do not exceed their respective 2027 levels adjusted by the annual 2028 inflation</w:t>
            </w:r>
          </w:p>
        </w:tc>
        <w:tc>
          <w:tcPr>
            <w:tcW w:w="1091" w:type="pct"/>
          </w:tcPr>
          <w:p w14:paraId="29F589C4" w14:textId="77777777" w:rsidR="00D205C1" w:rsidRDefault="00D205C1" w:rsidP="00D205C1">
            <w:pPr>
              <w:spacing w:after="120"/>
              <w:rPr>
                <w:rFonts w:asciiTheme="minorHAnsi" w:hAnsiTheme="minorHAnsi" w:cstheme="minorHAnsi"/>
                <w:sz w:val="18"/>
                <w:szCs w:val="18"/>
              </w:rPr>
            </w:pPr>
            <w:r>
              <w:rPr>
                <w:rFonts w:asciiTheme="minorHAnsi" w:hAnsiTheme="minorHAnsi" w:cstheme="minorHAnsi"/>
                <w:sz w:val="18"/>
                <w:szCs w:val="18"/>
              </w:rPr>
              <w:t xml:space="preserve">The target will be considered achieved if: </w:t>
            </w:r>
          </w:p>
          <w:p w14:paraId="7F077171" w14:textId="77777777" w:rsidR="00D205C1" w:rsidRDefault="00D205C1" w:rsidP="00CB0465">
            <w:pPr>
              <w:pStyle w:val="ListParagraph"/>
              <w:numPr>
                <w:ilvl w:val="0"/>
                <w:numId w:val="37"/>
              </w:numPr>
              <w:spacing w:after="120"/>
              <w:ind w:left="248" w:hanging="248"/>
              <w:contextualSpacing w:val="0"/>
              <w:rPr>
                <w:rFonts w:asciiTheme="minorHAnsi" w:hAnsiTheme="minorHAnsi" w:cstheme="minorHAnsi"/>
                <w:sz w:val="18"/>
                <w:szCs w:val="18"/>
              </w:rPr>
            </w:pPr>
            <w:r w:rsidRPr="00224FB3">
              <w:rPr>
                <w:rFonts w:asciiTheme="minorHAnsi" w:hAnsiTheme="minorHAnsi" w:cstheme="minorHAnsi"/>
                <w:sz w:val="18"/>
                <w:szCs w:val="18"/>
              </w:rPr>
              <w:t xml:space="preserve">BT procures the fuel oil through international competitive process with resulting price comparable to market price on an international exchange (depending on the type of fuel oil purchased) with adjustment for transportation cost (delivery port plus ground-based </w:t>
            </w:r>
            <w:r w:rsidRPr="00224FB3">
              <w:rPr>
                <w:rFonts w:asciiTheme="minorHAnsi" w:hAnsiTheme="minorHAnsi" w:cstheme="minorHAnsi"/>
                <w:sz w:val="18"/>
                <w:szCs w:val="18"/>
              </w:rPr>
              <w:lastRenderedPageBreak/>
              <w:t>transportation</w:t>
            </w:r>
            <w:proofErr w:type="gramStart"/>
            <w:r w:rsidRPr="00224FB3">
              <w:rPr>
                <w:rFonts w:asciiTheme="minorHAnsi" w:hAnsiTheme="minorHAnsi" w:cstheme="minorHAnsi"/>
                <w:sz w:val="18"/>
                <w:szCs w:val="18"/>
              </w:rPr>
              <w:t>);</w:t>
            </w:r>
            <w:proofErr w:type="gramEnd"/>
            <w:r w:rsidRPr="00224FB3">
              <w:rPr>
                <w:rFonts w:asciiTheme="minorHAnsi" w:hAnsiTheme="minorHAnsi" w:cstheme="minorHAnsi"/>
                <w:sz w:val="18"/>
                <w:szCs w:val="18"/>
              </w:rPr>
              <w:t xml:space="preserve"> </w:t>
            </w:r>
          </w:p>
          <w:p w14:paraId="7F025CEF" w14:textId="61422EC9" w:rsidR="00D205C1" w:rsidRDefault="00D205C1" w:rsidP="00CB0465">
            <w:pPr>
              <w:pStyle w:val="ListParagraph"/>
              <w:numPr>
                <w:ilvl w:val="0"/>
                <w:numId w:val="37"/>
              </w:numPr>
              <w:spacing w:after="120"/>
              <w:ind w:left="248" w:hanging="248"/>
              <w:contextualSpacing w:val="0"/>
              <w:rPr>
                <w:rFonts w:asciiTheme="minorHAnsi" w:hAnsiTheme="minorHAnsi" w:cstheme="minorHAnsi"/>
                <w:sz w:val="18"/>
                <w:szCs w:val="18"/>
              </w:rPr>
            </w:pPr>
            <w:r w:rsidRPr="00AA7921">
              <w:rPr>
                <w:rFonts w:asciiTheme="minorHAnsi" w:hAnsiTheme="minorHAnsi" w:cstheme="minorHAnsi"/>
                <w:sz w:val="18"/>
                <w:szCs w:val="18"/>
              </w:rPr>
              <w:t>BT’s stock of fuel oil does not exceed the volume required for 21 days of heat supply; an</w:t>
            </w:r>
            <w:r>
              <w:rPr>
                <w:rFonts w:asciiTheme="minorHAnsi" w:hAnsiTheme="minorHAnsi" w:cstheme="minorHAnsi"/>
                <w:sz w:val="18"/>
                <w:szCs w:val="18"/>
              </w:rPr>
              <w:t>d</w:t>
            </w:r>
          </w:p>
          <w:p w14:paraId="2A208577" w14:textId="3FAD566C" w:rsidR="00D205C1" w:rsidRPr="00AA7921" w:rsidRDefault="00D205C1" w:rsidP="00CB0465">
            <w:pPr>
              <w:pStyle w:val="ListParagraph"/>
              <w:numPr>
                <w:ilvl w:val="0"/>
                <w:numId w:val="37"/>
              </w:numPr>
              <w:spacing w:after="120"/>
              <w:ind w:left="248" w:hanging="248"/>
              <w:contextualSpacing w:val="0"/>
              <w:rPr>
                <w:rFonts w:asciiTheme="minorHAnsi" w:hAnsiTheme="minorHAnsi" w:cstheme="minorHAnsi"/>
                <w:sz w:val="18"/>
                <w:szCs w:val="18"/>
              </w:rPr>
            </w:pPr>
            <w:r w:rsidRPr="00AA7921">
              <w:rPr>
                <w:rFonts w:asciiTheme="minorHAnsi" w:hAnsiTheme="minorHAnsi" w:cstheme="minorHAnsi"/>
                <w:sz w:val="18"/>
                <w:szCs w:val="18"/>
              </w:rPr>
              <w:t>The costs of materials, services, and fixed asset maintenance of BT, SIB, and STB do not exceed their respective 202</w:t>
            </w:r>
            <w:r>
              <w:rPr>
                <w:rFonts w:asciiTheme="minorHAnsi" w:hAnsiTheme="minorHAnsi" w:cstheme="minorHAnsi"/>
                <w:sz w:val="18"/>
                <w:szCs w:val="18"/>
              </w:rPr>
              <w:t>7</w:t>
            </w:r>
            <w:r w:rsidRPr="00AA7921">
              <w:rPr>
                <w:rFonts w:asciiTheme="minorHAnsi" w:hAnsiTheme="minorHAnsi" w:cstheme="minorHAnsi"/>
                <w:sz w:val="18"/>
                <w:szCs w:val="18"/>
              </w:rPr>
              <w:t xml:space="preserve"> levels adjusted by the annual 202</w:t>
            </w:r>
            <w:r>
              <w:rPr>
                <w:rFonts w:asciiTheme="minorHAnsi" w:hAnsiTheme="minorHAnsi" w:cstheme="minorHAnsi"/>
                <w:sz w:val="18"/>
                <w:szCs w:val="18"/>
              </w:rPr>
              <w:t>8</w:t>
            </w:r>
            <w:r w:rsidRPr="00AA7921">
              <w:rPr>
                <w:rFonts w:asciiTheme="minorHAnsi" w:hAnsiTheme="minorHAnsi" w:cstheme="minorHAnsi"/>
                <w:sz w:val="18"/>
                <w:szCs w:val="18"/>
              </w:rPr>
              <w:t xml:space="preserve"> inflation.</w:t>
            </w:r>
          </w:p>
        </w:tc>
        <w:tc>
          <w:tcPr>
            <w:tcW w:w="531" w:type="pct"/>
          </w:tcPr>
          <w:p w14:paraId="3CACFC06" w14:textId="77777777" w:rsidR="00D205C1" w:rsidRPr="001B1012" w:rsidRDefault="00D205C1" w:rsidP="00D205C1">
            <w:pPr>
              <w:rPr>
                <w:rFonts w:asciiTheme="minorHAnsi" w:hAnsiTheme="minorHAnsi" w:cstheme="minorHAnsi"/>
                <w:sz w:val="18"/>
                <w:szCs w:val="18"/>
              </w:rPr>
            </w:pPr>
            <w:r>
              <w:rPr>
                <w:rFonts w:asciiTheme="minorHAnsi" w:hAnsiTheme="minorHAnsi" w:cstheme="minorHAnsi"/>
                <w:sz w:val="18"/>
                <w:szCs w:val="18"/>
              </w:rPr>
              <w:lastRenderedPageBreak/>
              <w:t>No</w:t>
            </w:r>
          </w:p>
        </w:tc>
        <w:tc>
          <w:tcPr>
            <w:tcW w:w="717" w:type="pct"/>
          </w:tcPr>
          <w:p w14:paraId="534D4B32" w14:textId="77777777" w:rsidR="00D205C1" w:rsidRDefault="00D205C1" w:rsidP="00D205C1">
            <w:pPr>
              <w:rPr>
                <w:rFonts w:asciiTheme="minorHAnsi" w:hAnsiTheme="minorHAnsi" w:cstheme="minorHAnsi"/>
                <w:sz w:val="18"/>
                <w:szCs w:val="18"/>
              </w:rPr>
            </w:pPr>
            <w:r>
              <w:rPr>
                <w:rFonts w:asciiTheme="minorHAnsi" w:hAnsiTheme="minorHAnsi" w:cstheme="minorHAnsi"/>
                <w:sz w:val="18"/>
                <w:szCs w:val="18"/>
              </w:rPr>
              <w:t>Data source: BT, SIB, and STB audited financial statements and other company-level data and information.</w:t>
            </w:r>
          </w:p>
          <w:p w14:paraId="574A8EE9" w14:textId="77777777" w:rsidR="00D205C1" w:rsidRPr="001B1012" w:rsidRDefault="00D205C1" w:rsidP="00D205C1">
            <w:pPr>
              <w:rPr>
                <w:rFonts w:asciiTheme="minorHAnsi" w:hAnsiTheme="minorHAnsi" w:cstheme="minorHAnsi"/>
                <w:sz w:val="18"/>
                <w:szCs w:val="18"/>
              </w:rPr>
            </w:pPr>
            <w:r>
              <w:rPr>
                <w:rFonts w:asciiTheme="minorHAnsi" w:hAnsiTheme="minorHAnsi" w:cstheme="minorHAnsi"/>
                <w:sz w:val="18"/>
                <w:szCs w:val="18"/>
              </w:rPr>
              <w:t>Agency: MEWR.</w:t>
            </w:r>
          </w:p>
        </w:tc>
        <w:tc>
          <w:tcPr>
            <w:tcW w:w="624" w:type="pct"/>
          </w:tcPr>
          <w:p w14:paraId="62596100" w14:textId="59B4AD67" w:rsidR="00D205C1" w:rsidRDefault="00D205C1" w:rsidP="00D205C1">
            <w:pPr>
              <w:rPr>
                <w:rFonts w:asciiTheme="minorHAnsi" w:hAnsiTheme="minorHAnsi" w:cstheme="minorHAnsi"/>
                <w:sz w:val="18"/>
                <w:szCs w:val="18"/>
              </w:rPr>
            </w:pPr>
            <w:r>
              <w:rPr>
                <w:rFonts w:asciiTheme="minorHAnsi" w:hAnsiTheme="minorHAnsi" w:cstheme="minorHAnsi"/>
                <w:sz w:val="18"/>
                <w:szCs w:val="18"/>
              </w:rPr>
              <w:t xml:space="preserve">Auditor of annual financial statements of BT under TOR acceptable to the Bank. The TORs for audit of SIB and STB annual financial statements should contain requirement for providing those </w:t>
            </w:r>
            <w:r>
              <w:rPr>
                <w:rFonts w:asciiTheme="minorHAnsi" w:hAnsiTheme="minorHAnsi" w:cstheme="minorHAnsi"/>
                <w:sz w:val="18"/>
                <w:szCs w:val="18"/>
              </w:rPr>
              <w:lastRenderedPageBreak/>
              <w:t>costs with the required break-down and should also be acceptable to the World Bank.</w:t>
            </w:r>
          </w:p>
        </w:tc>
        <w:tc>
          <w:tcPr>
            <w:tcW w:w="947" w:type="pct"/>
          </w:tcPr>
          <w:p w14:paraId="54E3EC90" w14:textId="77777777" w:rsidR="00D205C1" w:rsidRPr="00682284" w:rsidRDefault="00D205C1" w:rsidP="00D205C1">
            <w:pPr>
              <w:spacing w:after="120"/>
              <w:rPr>
                <w:rFonts w:asciiTheme="minorHAnsi" w:hAnsiTheme="minorHAnsi" w:cstheme="minorHAnsi"/>
                <w:sz w:val="18"/>
                <w:szCs w:val="18"/>
              </w:rPr>
            </w:pPr>
            <w:r>
              <w:rPr>
                <w:rFonts w:asciiTheme="minorHAnsi" w:hAnsiTheme="minorHAnsi" w:cstheme="minorHAnsi"/>
                <w:sz w:val="18"/>
                <w:szCs w:val="18"/>
              </w:rPr>
              <w:lastRenderedPageBreak/>
              <w:t>IVA will:</w:t>
            </w:r>
          </w:p>
          <w:p w14:paraId="14690333" w14:textId="77777777" w:rsidR="00D205C1" w:rsidRDefault="00D205C1" w:rsidP="00CB0465">
            <w:pPr>
              <w:pStyle w:val="ListParagraph"/>
              <w:numPr>
                <w:ilvl w:val="0"/>
                <w:numId w:val="46"/>
              </w:numPr>
              <w:spacing w:after="120"/>
              <w:ind w:left="249" w:hanging="249"/>
              <w:contextualSpacing w:val="0"/>
              <w:rPr>
                <w:rFonts w:asciiTheme="minorHAnsi" w:hAnsiTheme="minorHAnsi" w:cstheme="minorHAnsi"/>
                <w:sz w:val="18"/>
                <w:szCs w:val="18"/>
              </w:rPr>
            </w:pPr>
            <w:r w:rsidRPr="00D205C1">
              <w:rPr>
                <w:rFonts w:asciiTheme="minorHAnsi" w:hAnsiTheme="minorHAnsi" w:cstheme="minorHAnsi"/>
                <w:sz w:val="18"/>
                <w:szCs w:val="18"/>
              </w:rPr>
              <w:t xml:space="preserve">Review the procurement process and contract for supply of fuel to determine whether: (i) the procurement process was international competitive and consistent with the procurement legislation of the Republic of Tajikistan; (ii) the price is </w:t>
            </w:r>
            <w:r w:rsidRPr="00D205C1">
              <w:rPr>
                <w:rFonts w:asciiTheme="minorHAnsi" w:hAnsiTheme="minorHAnsi" w:cstheme="minorHAnsi"/>
                <w:sz w:val="18"/>
                <w:szCs w:val="18"/>
              </w:rPr>
              <w:lastRenderedPageBreak/>
              <w:t>reasonable. The reasonableness of the price should be determined by comparing it with the traded price (on an international exchange) of fuel oil with same specifications plus transportation costs. IVA should select the benchmark price, but it should be for a well-known international market with standardized contracts</w:t>
            </w:r>
            <w:r>
              <w:rPr>
                <w:rFonts w:asciiTheme="minorHAnsi" w:hAnsiTheme="minorHAnsi" w:cstheme="minorHAnsi"/>
                <w:sz w:val="18"/>
                <w:szCs w:val="18"/>
              </w:rPr>
              <w:t>.</w:t>
            </w:r>
          </w:p>
          <w:p w14:paraId="31CA4407" w14:textId="77777777" w:rsidR="00D205C1" w:rsidRDefault="00D205C1" w:rsidP="00CB0465">
            <w:pPr>
              <w:pStyle w:val="ListParagraph"/>
              <w:numPr>
                <w:ilvl w:val="0"/>
                <w:numId w:val="46"/>
              </w:numPr>
              <w:spacing w:after="120"/>
              <w:ind w:left="249" w:hanging="249"/>
              <w:contextualSpacing w:val="0"/>
              <w:rPr>
                <w:rFonts w:asciiTheme="minorHAnsi" w:hAnsiTheme="minorHAnsi" w:cstheme="minorHAnsi"/>
                <w:sz w:val="18"/>
                <w:szCs w:val="18"/>
              </w:rPr>
            </w:pPr>
            <w:r w:rsidRPr="00D205C1">
              <w:rPr>
                <w:rFonts w:asciiTheme="minorHAnsi" w:hAnsiTheme="minorHAnsi" w:cstheme="minorHAnsi"/>
                <w:sz w:val="18"/>
                <w:szCs w:val="18"/>
              </w:rPr>
              <w:t>Review the purchased volume of fuel oil to validate that the total available stock, including the purchased volume during the year, did not exceed 24,000 tons at any point in time during the entire year for which verification is done.</w:t>
            </w:r>
          </w:p>
          <w:p w14:paraId="19EB2D78" w14:textId="476D7E2B" w:rsidR="00D205C1" w:rsidRPr="00D205C1" w:rsidRDefault="00D205C1" w:rsidP="00CB0465">
            <w:pPr>
              <w:pStyle w:val="ListParagraph"/>
              <w:numPr>
                <w:ilvl w:val="0"/>
                <w:numId w:val="46"/>
              </w:numPr>
              <w:spacing w:after="120"/>
              <w:ind w:left="249" w:hanging="249"/>
              <w:contextualSpacing w:val="0"/>
              <w:rPr>
                <w:rFonts w:asciiTheme="minorHAnsi" w:hAnsiTheme="minorHAnsi" w:cstheme="minorHAnsi"/>
                <w:sz w:val="18"/>
                <w:szCs w:val="18"/>
              </w:rPr>
            </w:pPr>
            <w:r w:rsidRPr="00D205C1">
              <w:rPr>
                <w:rFonts w:asciiTheme="minorHAnsi" w:hAnsiTheme="minorHAnsi" w:cstheme="minorHAnsi"/>
                <w:sz w:val="18"/>
                <w:szCs w:val="18"/>
              </w:rPr>
              <w:t>(</w:t>
            </w:r>
            <w:r>
              <w:rPr>
                <w:rFonts w:asciiTheme="minorHAnsi" w:hAnsiTheme="minorHAnsi" w:cstheme="minorHAnsi"/>
                <w:sz w:val="18"/>
                <w:szCs w:val="18"/>
              </w:rPr>
              <w:t>i</w:t>
            </w:r>
            <w:r w:rsidRPr="00D205C1">
              <w:rPr>
                <w:rFonts w:asciiTheme="minorHAnsi" w:hAnsiTheme="minorHAnsi" w:cstheme="minorHAnsi"/>
                <w:sz w:val="18"/>
                <w:szCs w:val="18"/>
              </w:rPr>
              <w:t>) confirm the size of BT’s cost of materials (excluding fuel oil costs for electricity and/or heat generation), services, and fixed asset maintenance for 2028; (</w:t>
            </w:r>
            <w:r>
              <w:rPr>
                <w:rFonts w:asciiTheme="minorHAnsi" w:hAnsiTheme="minorHAnsi" w:cstheme="minorHAnsi"/>
                <w:sz w:val="18"/>
                <w:szCs w:val="18"/>
              </w:rPr>
              <w:t>ii</w:t>
            </w:r>
            <w:r w:rsidRPr="00D205C1">
              <w:rPr>
                <w:rFonts w:asciiTheme="minorHAnsi" w:hAnsiTheme="minorHAnsi" w:cstheme="minorHAnsi"/>
                <w:sz w:val="18"/>
                <w:szCs w:val="18"/>
              </w:rPr>
              <w:t xml:space="preserve">) receive through MEWR the data from the auditors of SIB and STB annual financial statements, which should be detailed enough to contain the required cost items with necessary break-down; </w:t>
            </w:r>
            <w:r>
              <w:rPr>
                <w:rFonts w:asciiTheme="minorHAnsi" w:hAnsiTheme="minorHAnsi" w:cstheme="minorHAnsi"/>
                <w:sz w:val="18"/>
                <w:szCs w:val="18"/>
              </w:rPr>
              <w:t xml:space="preserve">and </w:t>
            </w:r>
            <w:r w:rsidRPr="00D205C1">
              <w:rPr>
                <w:rFonts w:asciiTheme="minorHAnsi" w:hAnsiTheme="minorHAnsi" w:cstheme="minorHAnsi"/>
                <w:sz w:val="18"/>
                <w:szCs w:val="18"/>
              </w:rPr>
              <w:t>(</w:t>
            </w:r>
            <w:r>
              <w:rPr>
                <w:rFonts w:asciiTheme="minorHAnsi" w:hAnsiTheme="minorHAnsi" w:cstheme="minorHAnsi"/>
                <w:sz w:val="18"/>
                <w:szCs w:val="18"/>
              </w:rPr>
              <w:t>iii</w:t>
            </w:r>
            <w:r w:rsidRPr="00D205C1">
              <w:rPr>
                <w:rFonts w:asciiTheme="minorHAnsi" w:hAnsiTheme="minorHAnsi" w:cstheme="minorHAnsi"/>
                <w:sz w:val="18"/>
                <w:szCs w:val="18"/>
              </w:rPr>
              <w:t xml:space="preserve">) prepare a summary report covering BT, </w:t>
            </w:r>
            <w:r w:rsidRPr="00D205C1">
              <w:rPr>
                <w:rFonts w:asciiTheme="minorHAnsi" w:hAnsiTheme="minorHAnsi" w:cstheme="minorHAnsi"/>
                <w:sz w:val="18"/>
                <w:szCs w:val="18"/>
              </w:rPr>
              <w:lastRenderedPageBreak/>
              <w:t>SIB, and STB with computation of the change of 2028 costs of materials, services, and fixed asset maintenance compared to 2027 with adjustment for 2028 inflation. The inflation would be measured through GDP deflator for 2028 based on the data from the System of National Accounts of the Statistical Agency under the President of the Republic of Tajikistan.</w:t>
            </w:r>
          </w:p>
        </w:tc>
      </w:tr>
      <w:tr w:rsidR="00D205C1" w:rsidRPr="001B1012" w14:paraId="2F551B89" w14:textId="77777777" w:rsidTr="00866A63">
        <w:trPr>
          <w:jc w:val="center"/>
        </w:trPr>
        <w:tc>
          <w:tcPr>
            <w:tcW w:w="1090" w:type="pct"/>
          </w:tcPr>
          <w:p w14:paraId="13C021AA" w14:textId="10B573A1" w:rsidR="00D205C1" w:rsidRPr="00133DF2" w:rsidRDefault="00D205C1" w:rsidP="00D205C1">
            <w:pPr>
              <w:widowControl/>
              <w:autoSpaceDE/>
              <w:autoSpaceDN/>
              <w:adjustRightInd/>
              <w:rPr>
                <w:rFonts w:asciiTheme="minorHAnsi" w:eastAsia="Times New Roman" w:hAnsiTheme="minorHAnsi" w:cstheme="minorHAnsi"/>
                <w:b/>
                <w:bCs/>
                <w:sz w:val="18"/>
                <w:szCs w:val="18"/>
              </w:rPr>
            </w:pPr>
            <w:r w:rsidRPr="00133DF2">
              <w:rPr>
                <w:rFonts w:asciiTheme="minorHAnsi" w:hAnsiTheme="minorHAnsi" w:cstheme="minorHAnsi"/>
                <w:sz w:val="18"/>
                <w:szCs w:val="18"/>
              </w:rPr>
              <w:lastRenderedPageBreak/>
              <w:t>DLR 10.8: By December 31, 2029, (a) BT purchases fuel oil through international competitive process; (b) BT’s stock of fuel oil does not</w:t>
            </w:r>
            <w:r w:rsidRPr="00133DF2">
              <w:rPr>
                <w:rFonts w:asciiTheme="minorHAnsi" w:hAnsiTheme="minorHAnsi" w:cstheme="minorHAnsi"/>
                <w:b/>
                <w:bCs/>
                <w:sz w:val="18"/>
                <w:szCs w:val="18"/>
              </w:rPr>
              <w:t xml:space="preserve"> </w:t>
            </w:r>
            <w:r w:rsidRPr="00133DF2">
              <w:rPr>
                <w:rFonts w:asciiTheme="minorHAnsi" w:hAnsiTheme="minorHAnsi" w:cstheme="minorHAnsi"/>
                <w:sz w:val="18"/>
                <w:szCs w:val="18"/>
              </w:rPr>
              <w:t>exceed the level required for emergency supply of heat; and (c) the costs of materials, services, and fixed asset maintenance of BT, SIB, and STB do not exceed their respective 2028 levels adjusted by the annual 2029 inflation</w:t>
            </w:r>
          </w:p>
        </w:tc>
        <w:tc>
          <w:tcPr>
            <w:tcW w:w="1091" w:type="pct"/>
          </w:tcPr>
          <w:p w14:paraId="24DAD625" w14:textId="77777777" w:rsidR="00D205C1" w:rsidRDefault="00D205C1" w:rsidP="00D205C1">
            <w:pPr>
              <w:spacing w:after="120"/>
              <w:rPr>
                <w:rFonts w:asciiTheme="minorHAnsi" w:hAnsiTheme="minorHAnsi" w:cstheme="minorHAnsi"/>
                <w:sz w:val="18"/>
                <w:szCs w:val="18"/>
              </w:rPr>
            </w:pPr>
            <w:r>
              <w:rPr>
                <w:rFonts w:asciiTheme="minorHAnsi" w:hAnsiTheme="minorHAnsi" w:cstheme="minorHAnsi"/>
                <w:sz w:val="18"/>
                <w:szCs w:val="18"/>
              </w:rPr>
              <w:t xml:space="preserve">The target will be considered achieved if: </w:t>
            </w:r>
          </w:p>
          <w:p w14:paraId="54F6FA10" w14:textId="77777777" w:rsidR="00D205C1" w:rsidRDefault="00D205C1" w:rsidP="00CB0465">
            <w:pPr>
              <w:pStyle w:val="ListParagraph"/>
              <w:numPr>
                <w:ilvl w:val="0"/>
                <w:numId w:val="38"/>
              </w:numPr>
              <w:spacing w:after="120"/>
              <w:ind w:left="248" w:hanging="270"/>
              <w:contextualSpacing w:val="0"/>
              <w:rPr>
                <w:rFonts w:asciiTheme="minorHAnsi" w:hAnsiTheme="minorHAnsi" w:cstheme="minorHAnsi"/>
                <w:sz w:val="18"/>
                <w:szCs w:val="18"/>
              </w:rPr>
            </w:pPr>
            <w:r w:rsidRPr="00224FB3">
              <w:rPr>
                <w:rFonts w:asciiTheme="minorHAnsi" w:hAnsiTheme="minorHAnsi" w:cstheme="minorHAnsi"/>
                <w:sz w:val="18"/>
                <w:szCs w:val="18"/>
              </w:rPr>
              <w:t>BT procures the fuel oil through international competitive process with resulting price comparable to market price on an international exchange (depending on the type of fuel oil purchased) with adjustment for transportation cost (delivery port plus ground-based transportation</w:t>
            </w:r>
            <w:proofErr w:type="gramStart"/>
            <w:r w:rsidRPr="00224FB3">
              <w:rPr>
                <w:rFonts w:asciiTheme="minorHAnsi" w:hAnsiTheme="minorHAnsi" w:cstheme="minorHAnsi"/>
                <w:sz w:val="18"/>
                <w:szCs w:val="18"/>
              </w:rPr>
              <w:t>);</w:t>
            </w:r>
            <w:proofErr w:type="gramEnd"/>
            <w:r w:rsidRPr="00224FB3">
              <w:rPr>
                <w:rFonts w:asciiTheme="minorHAnsi" w:hAnsiTheme="minorHAnsi" w:cstheme="minorHAnsi"/>
                <w:sz w:val="18"/>
                <w:szCs w:val="18"/>
              </w:rPr>
              <w:t xml:space="preserve"> </w:t>
            </w:r>
          </w:p>
          <w:p w14:paraId="13632A3C" w14:textId="77777777" w:rsidR="00D205C1" w:rsidRDefault="00D205C1" w:rsidP="00CB0465">
            <w:pPr>
              <w:pStyle w:val="ListParagraph"/>
              <w:numPr>
                <w:ilvl w:val="0"/>
                <w:numId w:val="38"/>
              </w:numPr>
              <w:spacing w:after="120"/>
              <w:ind w:left="248" w:hanging="270"/>
              <w:contextualSpacing w:val="0"/>
              <w:rPr>
                <w:rFonts w:asciiTheme="minorHAnsi" w:hAnsiTheme="minorHAnsi" w:cstheme="minorHAnsi"/>
                <w:sz w:val="18"/>
                <w:szCs w:val="18"/>
              </w:rPr>
            </w:pPr>
            <w:r w:rsidRPr="007F5E2E">
              <w:rPr>
                <w:rFonts w:asciiTheme="minorHAnsi" w:hAnsiTheme="minorHAnsi" w:cstheme="minorHAnsi"/>
                <w:sz w:val="18"/>
                <w:szCs w:val="18"/>
              </w:rPr>
              <w:t>BT’s stock of fuel oil does not exceed the volume required for 21 days of heat supply; and</w:t>
            </w:r>
          </w:p>
          <w:p w14:paraId="4CD8431C" w14:textId="0C0A2875" w:rsidR="00D205C1" w:rsidRPr="007F5E2E" w:rsidRDefault="00D205C1" w:rsidP="00CB0465">
            <w:pPr>
              <w:pStyle w:val="ListParagraph"/>
              <w:numPr>
                <w:ilvl w:val="0"/>
                <w:numId w:val="38"/>
              </w:numPr>
              <w:spacing w:after="120"/>
              <w:ind w:left="248" w:hanging="270"/>
              <w:contextualSpacing w:val="0"/>
              <w:rPr>
                <w:rFonts w:asciiTheme="minorHAnsi" w:hAnsiTheme="minorHAnsi" w:cstheme="minorHAnsi"/>
                <w:sz w:val="18"/>
                <w:szCs w:val="18"/>
              </w:rPr>
            </w:pPr>
            <w:r w:rsidRPr="007F5E2E">
              <w:rPr>
                <w:rFonts w:asciiTheme="minorHAnsi" w:hAnsiTheme="minorHAnsi" w:cstheme="minorHAnsi"/>
                <w:sz w:val="18"/>
                <w:szCs w:val="18"/>
              </w:rPr>
              <w:t>The costs of materials, services, and fixed asset maintenance of BT, SIB, and STB do not exceed their respective 202</w:t>
            </w:r>
            <w:r>
              <w:rPr>
                <w:rFonts w:asciiTheme="minorHAnsi" w:hAnsiTheme="minorHAnsi" w:cstheme="minorHAnsi"/>
                <w:sz w:val="18"/>
                <w:szCs w:val="18"/>
              </w:rPr>
              <w:t>8</w:t>
            </w:r>
            <w:r w:rsidRPr="007F5E2E">
              <w:rPr>
                <w:rFonts w:asciiTheme="minorHAnsi" w:hAnsiTheme="minorHAnsi" w:cstheme="minorHAnsi"/>
                <w:sz w:val="18"/>
                <w:szCs w:val="18"/>
              </w:rPr>
              <w:t xml:space="preserve"> levels adjusted by the annual 202</w:t>
            </w:r>
            <w:r>
              <w:rPr>
                <w:rFonts w:asciiTheme="minorHAnsi" w:hAnsiTheme="minorHAnsi" w:cstheme="minorHAnsi"/>
                <w:sz w:val="18"/>
                <w:szCs w:val="18"/>
              </w:rPr>
              <w:t>9</w:t>
            </w:r>
            <w:r w:rsidRPr="007F5E2E">
              <w:rPr>
                <w:rFonts w:asciiTheme="minorHAnsi" w:hAnsiTheme="minorHAnsi" w:cstheme="minorHAnsi"/>
                <w:sz w:val="18"/>
                <w:szCs w:val="18"/>
              </w:rPr>
              <w:t xml:space="preserve"> inflation.</w:t>
            </w:r>
          </w:p>
        </w:tc>
        <w:tc>
          <w:tcPr>
            <w:tcW w:w="531" w:type="pct"/>
          </w:tcPr>
          <w:p w14:paraId="1F936689" w14:textId="77777777" w:rsidR="00D205C1" w:rsidRPr="001B1012" w:rsidRDefault="00D205C1" w:rsidP="00D205C1">
            <w:pPr>
              <w:rPr>
                <w:rFonts w:asciiTheme="minorHAnsi" w:hAnsiTheme="minorHAnsi" w:cstheme="minorHAnsi"/>
                <w:sz w:val="18"/>
                <w:szCs w:val="18"/>
              </w:rPr>
            </w:pPr>
            <w:r>
              <w:rPr>
                <w:rFonts w:asciiTheme="minorHAnsi" w:hAnsiTheme="minorHAnsi" w:cstheme="minorHAnsi"/>
                <w:sz w:val="18"/>
                <w:szCs w:val="18"/>
              </w:rPr>
              <w:t>No</w:t>
            </w:r>
          </w:p>
        </w:tc>
        <w:tc>
          <w:tcPr>
            <w:tcW w:w="717" w:type="pct"/>
          </w:tcPr>
          <w:p w14:paraId="74D155AE" w14:textId="77777777" w:rsidR="00D205C1" w:rsidRDefault="00D205C1" w:rsidP="00D205C1">
            <w:pPr>
              <w:rPr>
                <w:rFonts w:asciiTheme="minorHAnsi" w:hAnsiTheme="minorHAnsi" w:cstheme="minorHAnsi"/>
                <w:sz w:val="18"/>
                <w:szCs w:val="18"/>
              </w:rPr>
            </w:pPr>
            <w:r>
              <w:rPr>
                <w:rFonts w:asciiTheme="minorHAnsi" w:hAnsiTheme="minorHAnsi" w:cstheme="minorHAnsi"/>
                <w:sz w:val="18"/>
                <w:szCs w:val="18"/>
              </w:rPr>
              <w:t>Data source: BT, SIB, and STB audited financial statements and other company-level data and information.</w:t>
            </w:r>
          </w:p>
          <w:p w14:paraId="1DD0F218" w14:textId="77777777" w:rsidR="00D205C1" w:rsidRPr="001B1012" w:rsidRDefault="00D205C1" w:rsidP="00D205C1">
            <w:pPr>
              <w:rPr>
                <w:rFonts w:asciiTheme="minorHAnsi" w:hAnsiTheme="minorHAnsi" w:cstheme="minorHAnsi"/>
                <w:sz w:val="18"/>
                <w:szCs w:val="18"/>
              </w:rPr>
            </w:pPr>
            <w:r>
              <w:rPr>
                <w:rFonts w:asciiTheme="minorHAnsi" w:hAnsiTheme="minorHAnsi" w:cstheme="minorHAnsi"/>
                <w:sz w:val="18"/>
                <w:szCs w:val="18"/>
              </w:rPr>
              <w:t>Agency: MEWR.</w:t>
            </w:r>
          </w:p>
        </w:tc>
        <w:tc>
          <w:tcPr>
            <w:tcW w:w="624" w:type="pct"/>
          </w:tcPr>
          <w:p w14:paraId="73E43C30" w14:textId="36611B2C" w:rsidR="00D205C1" w:rsidRDefault="00D205C1" w:rsidP="00D205C1">
            <w:pPr>
              <w:rPr>
                <w:rFonts w:asciiTheme="minorHAnsi" w:hAnsiTheme="minorHAnsi" w:cstheme="minorHAnsi"/>
                <w:sz w:val="18"/>
                <w:szCs w:val="18"/>
              </w:rPr>
            </w:pPr>
            <w:r>
              <w:rPr>
                <w:rFonts w:asciiTheme="minorHAnsi" w:hAnsiTheme="minorHAnsi" w:cstheme="minorHAnsi"/>
                <w:sz w:val="18"/>
                <w:szCs w:val="18"/>
              </w:rPr>
              <w:t>Auditor of annual financial statements of BT under TOR acceptable to the Bank. The TORs for audit of SIB and STB annual financial statements should contain requirement for providing those costs with the required break-down and should also be acceptable to the World Bank.</w:t>
            </w:r>
          </w:p>
        </w:tc>
        <w:tc>
          <w:tcPr>
            <w:tcW w:w="947" w:type="pct"/>
          </w:tcPr>
          <w:p w14:paraId="3C40DBE6" w14:textId="77777777" w:rsidR="007B5E26" w:rsidRPr="00682284" w:rsidRDefault="007B5E26" w:rsidP="007B5E26">
            <w:pPr>
              <w:spacing w:after="120"/>
              <w:rPr>
                <w:rFonts w:asciiTheme="minorHAnsi" w:hAnsiTheme="minorHAnsi" w:cstheme="minorHAnsi"/>
                <w:sz w:val="18"/>
                <w:szCs w:val="18"/>
              </w:rPr>
            </w:pPr>
            <w:r>
              <w:rPr>
                <w:rFonts w:asciiTheme="minorHAnsi" w:hAnsiTheme="minorHAnsi" w:cstheme="minorHAnsi"/>
                <w:sz w:val="18"/>
                <w:szCs w:val="18"/>
              </w:rPr>
              <w:t>IVA will:</w:t>
            </w:r>
          </w:p>
          <w:p w14:paraId="444E19A5" w14:textId="77777777" w:rsidR="007B5E26" w:rsidRDefault="007B5E26" w:rsidP="00CB0465">
            <w:pPr>
              <w:pStyle w:val="ListParagraph"/>
              <w:numPr>
                <w:ilvl w:val="0"/>
                <w:numId w:val="47"/>
              </w:numPr>
              <w:spacing w:after="120"/>
              <w:ind w:left="249" w:hanging="249"/>
              <w:contextualSpacing w:val="0"/>
              <w:rPr>
                <w:rFonts w:asciiTheme="minorHAnsi" w:hAnsiTheme="minorHAnsi" w:cstheme="minorHAnsi"/>
                <w:sz w:val="18"/>
                <w:szCs w:val="18"/>
              </w:rPr>
            </w:pPr>
            <w:r w:rsidRPr="00682284">
              <w:rPr>
                <w:rFonts w:asciiTheme="minorHAnsi" w:hAnsiTheme="minorHAnsi" w:cstheme="minorHAnsi"/>
                <w:sz w:val="18"/>
                <w:szCs w:val="18"/>
              </w:rPr>
              <w:t xml:space="preserve">Review the procurement process and contract for supply of fuel to determine whether: (i) the procurement process was international competitive and consistent with the procurement legislation of the Republic of Tajikistan; (ii) the price is reasonable. The reasonableness of the price should be determined by comparing it with the traded price (on an international exchange) of fuel oil with same specifications plus transportation costs. IVA should select the benchmark price, but it should be for a well-known international market with standardized </w:t>
            </w:r>
            <w:r w:rsidRPr="00682284">
              <w:rPr>
                <w:rFonts w:asciiTheme="minorHAnsi" w:hAnsiTheme="minorHAnsi" w:cstheme="minorHAnsi"/>
                <w:sz w:val="18"/>
                <w:szCs w:val="18"/>
              </w:rPr>
              <w:lastRenderedPageBreak/>
              <w:t>contracts.</w:t>
            </w:r>
          </w:p>
          <w:p w14:paraId="424762C0" w14:textId="77777777" w:rsidR="007B5E26" w:rsidRDefault="007B5E26" w:rsidP="00CB0465">
            <w:pPr>
              <w:pStyle w:val="ListParagraph"/>
              <w:numPr>
                <w:ilvl w:val="0"/>
                <w:numId w:val="47"/>
              </w:numPr>
              <w:spacing w:after="120"/>
              <w:ind w:left="249" w:hanging="249"/>
              <w:contextualSpacing w:val="0"/>
              <w:rPr>
                <w:rFonts w:asciiTheme="minorHAnsi" w:hAnsiTheme="minorHAnsi" w:cstheme="minorHAnsi"/>
                <w:sz w:val="18"/>
                <w:szCs w:val="18"/>
              </w:rPr>
            </w:pPr>
            <w:r w:rsidRPr="007B5E26">
              <w:rPr>
                <w:rFonts w:asciiTheme="minorHAnsi" w:hAnsiTheme="minorHAnsi" w:cstheme="minorHAnsi"/>
                <w:sz w:val="18"/>
                <w:szCs w:val="18"/>
              </w:rPr>
              <w:t>Review the purchased volume of fuel oil to validate that the total available stock, including the purchased volume during the year, did not exceed 24,000 tons at any point in time during the entire year for which verification is done.</w:t>
            </w:r>
          </w:p>
          <w:p w14:paraId="15E5E37E" w14:textId="5E34EBFC" w:rsidR="00D205C1" w:rsidRPr="007B5E26" w:rsidRDefault="00D205C1" w:rsidP="00CB0465">
            <w:pPr>
              <w:pStyle w:val="ListParagraph"/>
              <w:numPr>
                <w:ilvl w:val="0"/>
                <w:numId w:val="47"/>
              </w:numPr>
              <w:spacing w:after="120"/>
              <w:ind w:left="249" w:hanging="249"/>
              <w:contextualSpacing w:val="0"/>
              <w:rPr>
                <w:rFonts w:asciiTheme="minorHAnsi" w:hAnsiTheme="minorHAnsi" w:cstheme="minorHAnsi"/>
                <w:sz w:val="18"/>
                <w:szCs w:val="18"/>
              </w:rPr>
            </w:pPr>
            <w:r w:rsidRPr="007B5E26">
              <w:rPr>
                <w:rFonts w:asciiTheme="minorHAnsi" w:hAnsiTheme="minorHAnsi" w:cstheme="minorHAnsi"/>
                <w:sz w:val="18"/>
                <w:szCs w:val="18"/>
              </w:rPr>
              <w:t>(</w:t>
            </w:r>
            <w:r w:rsidR="007B5E26">
              <w:rPr>
                <w:rFonts w:asciiTheme="minorHAnsi" w:hAnsiTheme="minorHAnsi" w:cstheme="minorHAnsi"/>
                <w:sz w:val="18"/>
                <w:szCs w:val="18"/>
              </w:rPr>
              <w:t>i</w:t>
            </w:r>
            <w:r w:rsidRPr="007B5E26">
              <w:rPr>
                <w:rFonts w:asciiTheme="minorHAnsi" w:hAnsiTheme="minorHAnsi" w:cstheme="minorHAnsi"/>
                <w:sz w:val="18"/>
                <w:szCs w:val="18"/>
              </w:rPr>
              <w:t>) confirm the size of BT’s cost of materials (excluding fuel oil costs for electricity and/or heat generation), services, and fixed asset maintenance for 2029; (</w:t>
            </w:r>
            <w:r w:rsidR="007B5E26">
              <w:rPr>
                <w:rFonts w:asciiTheme="minorHAnsi" w:hAnsiTheme="minorHAnsi" w:cstheme="minorHAnsi"/>
                <w:sz w:val="18"/>
                <w:szCs w:val="18"/>
              </w:rPr>
              <w:t>ii</w:t>
            </w:r>
            <w:r w:rsidRPr="007B5E26">
              <w:rPr>
                <w:rFonts w:asciiTheme="minorHAnsi" w:hAnsiTheme="minorHAnsi" w:cstheme="minorHAnsi"/>
                <w:sz w:val="18"/>
                <w:szCs w:val="18"/>
              </w:rPr>
              <w:t xml:space="preserve">) receive through MEWR the data from the auditors of SIB and STB annual financial statements, which should be detailed enough to contain the required cost items with necessary break-down; </w:t>
            </w:r>
            <w:r w:rsidR="007B5E26">
              <w:rPr>
                <w:rFonts w:asciiTheme="minorHAnsi" w:hAnsiTheme="minorHAnsi" w:cstheme="minorHAnsi"/>
                <w:sz w:val="18"/>
                <w:szCs w:val="18"/>
              </w:rPr>
              <w:t xml:space="preserve">and </w:t>
            </w:r>
            <w:r w:rsidRPr="007B5E26">
              <w:rPr>
                <w:rFonts w:asciiTheme="minorHAnsi" w:hAnsiTheme="minorHAnsi" w:cstheme="minorHAnsi"/>
                <w:sz w:val="18"/>
                <w:szCs w:val="18"/>
              </w:rPr>
              <w:t>(</w:t>
            </w:r>
            <w:r w:rsidR="007B5E26">
              <w:rPr>
                <w:rFonts w:asciiTheme="minorHAnsi" w:hAnsiTheme="minorHAnsi" w:cstheme="minorHAnsi"/>
                <w:sz w:val="18"/>
                <w:szCs w:val="18"/>
              </w:rPr>
              <w:t>iii</w:t>
            </w:r>
            <w:r w:rsidRPr="007B5E26">
              <w:rPr>
                <w:rFonts w:asciiTheme="minorHAnsi" w:hAnsiTheme="minorHAnsi" w:cstheme="minorHAnsi"/>
                <w:sz w:val="18"/>
                <w:szCs w:val="18"/>
              </w:rPr>
              <w:t xml:space="preserve">) prepare a summary report covering BT, SIB, and STB with computation of the change of 2029 costs of materials, services, and fixed asset maintenance compared to 2028 with adjustment for 2029 inflation. The inflation would be measured through GDP deflator for 2029 based on the data from the System of National Accounts of the Statistical Agency under the President of the Republic of </w:t>
            </w:r>
            <w:r w:rsidRPr="007B5E26">
              <w:rPr>
                <w:rFonts w:asciiTheme="minorHAnsi" w:hAnsiTheme="minorHAnsi" w:cstheme="minorHAnsi"/>
                <w:sz w:val="18"/>
                <w:szCs w:val="18"/>
              </w:rPr>
              <w:lastRenderedPageBreak/>
              <w:t>Tajikistan.</w:t>
            </w:r>
          </w:p>
        </w:tc>
      </w:tr>
      <w:tr w:rsidR="00D205C1" w:rsidRPr="001B1012" w14:paraId="17D1443B" w14:textId="77777777" w:rsidTr="00866A63">
        <w:trPr>
          <w:jc w:val="center"/>
        </w:trPr>
        <w:tc>
          <w:tcPr>
            <w:tcW w:w="1090" w:type="pct"/>
          </w:tcPr>
          <w:p w14:paraId="6F0E2A89" w14:textId="1C218EFA" w:rsidR="00D205C1" w:rsidRPr="00133DF2" w:rsidRDefault="00D205C1" w:rsidP="00D205C1">
            <w:pPr>
              <w:widowControl/>
              <w:autoSpaceDE/>
              <w:autoSpaceDN/>
              <w:adjustRightInd/>
              <w:rPr>
                <w:rFonts w:asciiTheme="minorHAnsi" w:eastAsia="Times New Roman" w:hAnsiTheme="minorHAnsi" w:cstheme="minorHAnsi"/>
                <w:b/>
                <w:bCs/>
                <w:sz w:val="18"/>
                <w:szCs w:val="18"/>
              </w:rPr>
            </w:pPr>
            <w:r w:rsidRPr="00133DF2">
              <w:rPr>
                <w:rFonts w:asciiTheme="minorHAnsi" w:hAnsiTheme="minorHAnsi" w:cstheme="minorHAnsi"/>
                <w:sz w:val="18"/>
                <w:szCs w:val="18"/>
              </w:rPr>
              <w:lastRenderedPageBreak/>
              <w:t>DLR 10.9: By December 31, 2030, (a) BT purchases fuel oil through international competitive process; (b) BT’s stock of fuel oil does not exceed the level required for emergency supply of heat; and (c) the costs of materials, services, and fixed asset maintenance of BT, SIB, and STB do not exceed their respective 2029 levels adjusted by the annual 2030 inflation</w:t>
            </w:r>
          </w:p>
        </w:tc>
        <w:tc>
          <w:tcPr>
            <w:tcW w:w="1091" w:type="pct"/>
          </w:tcPr>
          <w:p w14:paraId="52D67A87" w14:textId="77777777" w:rsidR="00D205C1" w:rsidRDefault="00D205C1" w:rsidP="00D205C1">
            <w:pPr>
              <w:spacing w:after="120"/>
              <w:rPr>
                <w:rFonts w:asciiTheme="minorHAnsi" w:hAnsiTheme="minorHAnsi" w:cstheme="minorHAnsi"/>
                <w:sz w:val="18"/>
                <w:szCs w:val="18"/>
              </w:rPr>
            </w:pPr>
            <w:r>
              <w:rPr>
                <w:rFonts w:asciiTheme="minorHAnsi" w:hAnsiTheme="minorHAnsi" w:cstheme="minorHAnsi"/>
                <w:sz w:val="18"/>
                <w:szCs w:val="18"/>
              </w:rPr>
              <w:t xml:space="preserve">The target will be considered achieved if: </w:t>
            </w:r>
          </w:p>
          <w:p w14:paraId="5BCEB069" w14:textId="77777777" w:rsidR="00D205C1" w:rsidRDefault="00D205C1" w:rsidP="00CB0465">
            <w:pPr>
              <w:pStyle w:val="ListParagraph"/>
              <w:numPr>
                <w:ilvl w:val="0"/>
                <w:numId w:val="39"/>
              </w:numPr>
              <w:spacing w:after="120"/>
              <w:ind w:left="248" w:hanging="248"/>
              <w:contextualSpacing w:val="0"/>
              <w:rPr>
                <w:rFonts w:asciiTheme="minorHAnsi" w:hAnsiTheme="minorHAnsi" w:cstheme="minorHAnsi"/>
                <w:sz w:val="18"/>
                <w:szCs w:val="18"/>
              </w:rPr>
            </w:pPr>
            <w:r w:rsidRPr="00224FB3">
              <w:rPr>
                <w:rFonts w:asciiTheme="minorHAnsi" w:hAnsiTheme="minorHAnsi" w:cstheme="minorHAnsi"/>
                <w:sz w:val="18"/>
                <w:szCs w:val="18"/>
              </w:rPr>
              <w:t>BT procures the fuel oil through international competitive process with resulting price comparable to market price on an international exchange (depending on the type of fuel oil purchased) with adjustment for transportation cost (delivery port plus ground-based transportation</w:t>
            </w:r>
            <w:proofErr w:type="gramStart"/>
            <w:r w:rsidRPr="00224FB3">
              <w:rPr>
                <w:rFonts w:asciiTheme="minorHAnsi" w:hAnsiTheme="minorHAnsi" w:cstheme="minorHAnsi"/>
                <w:sz w:val="18"/>
                <w:szCs w:val="18"/>
              </w:rPr>
              <w:t>);</w:t>
            </w:r>
            <w:proofErr w:type="gramEnd"/>
            <w:r w:rsidRPr="00224FB3">
              <w:rPr>
                <w:rFonts w:asciiTheme="minorHAnsi" w:hAnsiTheme="minorHAnsi" w:cstheme="minorHAnsi"/>
                <w:sz w:val="18"/>
                <w:szCs w:val="18"/>
              </w:rPr>
              <w:t xml:space="preserve"> </w:t>
            </w:r>
          </w:p>
          <w:p w14:paraId="1873EE4A" w14:textId="0FA11FB4" w:rsidR="00D205C1" w:rsidRDefault="00D205C1" w:rsidP="00CB0465">
            <w:pPr>
              <w:pStyle w:val="ListParagraph"/>
              <w:numPr>
                <w:ilvl w:val="0"/>
                <w:numId w:val="39"/>
              </w:numPr>
              <w:spacing w:after="120"/>
              <w:ind w:left="248" w:hanging="248"/>
              <w:contextualSpacing w:val="0"/>
              <w:rPr>
                <w:rFonts w:asciiTheme="minorHAnsi" w:hAnsiTheme="minorHAnsi" w:cstheme="minorHAnsi"/>
                <w:sz w:val="18"/>
                <w:szCs w:val="18"/>
              </w:rPr>
            </w:pPr>
            <w:r w:rsidRPr="00696991">
              <w:rPr>
                <w:rFonts w:asciiTheme="minorHAnsi" w:hAnsiTheme="minorHAnsi" w:cstheme="minorHAnsi"/>
                <w:sz w:val="18"/>
                <w:szCs w:val="18"/>
              </w:rPr>
              <w:t>BT’s stock of fuel oil does not exceed the volume required for 21 days of heat supply; an</w:t>
            </w:r>
            <w:r>
              <w:rPr>
                <w:rFonts w:asciiTheme="minorHAnsi" w:hAnsiTheme="minorHAnsi" w:cstheme="minorHAnsi"/>
                <w:sz w:val="18"/>
                <w:szCs w:val="18"/>
              </w:rPr>
              <w:t>d</w:t>
            </w:r>
          </w:p>
          <w:p w14:paraId="0D82CCD3" w14:textId="47AEA745" w:rsidR="00D205C1" w:rsidRPr="00696991" w:rsidRDefault="00D205C1" w:rsidP="00CB0465">
            <w:pPr>
              <w:pStyle w:val="ListParagraph"/>
              <w:numPr>
                <w:ilvl w:val="0"/>
                <w:numId w:val="39"/>
              </w:numPr>
              <w:spacing w:after="120"/>
              <w:ind w:left="248" w:hanging="248"/>
              <w:contextualSpacing w:val="0"/>
              <w:rPr>
                <w:rFonts w:asciiTheme="minorHAnsi" w:hAnsiTheme="minorHAnsi" w:cstheme="minorHAnsi"/>
                <w:sz w:val="18"/>
                <w:szCs w:val="18"/>
              </w:rPr>
            </w:pPr>
            <w:r w:rsidRPr="00696991">
              <w:rPr>
                <w:rFonts w:asciiTheme="minorHAnsi" w:hAnsiTheme="minorHAnsi" w:cstheme="minorHAnsi"/>
                <w:sz w:val="18"/>
                <w:szCs w:val="18"/>
              </w:rPr>
              <w:t>The costs of materials, services, and fixed asset maintenance of BT, SIB, and STB do not exceed their respective 202</w:t>
            </w:r>
            <w:r>
              <w:rPr>
                <w:rFonts w:asciiTheme="minorHAnsi" w:hAnsiTheme="minorHAnsi" w:cstheme="minorHAnsi"/>
                <w:sz w:val="18"/>
                <w:szCs w:val="18"/>
              </w:rPr>
              <w:t>9</w:t>
            </w:r>
            <w:r w:rsidRPr="00696991">
              <w:rPr>
                <w:rFonts w:asciiTheme="minorHAnsi" w:hAnsiTheme="minorHAnsi" w:cstheme="minorHAnsi"/>
                <w:sz w:val="18"/>
                <w:szCs w:val="18"/>
              </w:rPr>
              <w:t xml:space="preserve"> levels adjusted by the annual 20</w:t>
            </w:r>
            <w:r>
              <w:rPr>
                <w:rFonts w:asciiTheme="minorHAnsi" w:hAnsiTheme="minorHAnsi" w:cstheme="minorHAnsi"/>
                <w:sz w:val="18"/>
                <w:szCs w:val="18"/>
              </w:rPr>
              <w:t>30</w:t>
            </w:r>
            <w:r w:rsidRPr="00696991">
              <w:rPr>
                <w:rFonts w:asciiTheme="minorHAnsi" w:hAnsiTheme="minorHAnsi" w:cstheme="minorHAnsi"/>
                <w:sz w:val="18"/>
                <w:szCs w:val="18"/>
              </w:rPr>
              <w:t xml:space="preserve"> inflation.</w:t>
            </w:r>
          </w:p>
        </w:tc>
        <w:tc>
          <w:tcPr>
            <w:tcW w:w="531" w:type="pct"/>
          </w:tcPr>
          <w:p w14:paraId="6DF86249" w14:textId="77777777" w:rsidR="00D205C1" w:rsidRPr="001B1012" w:rsidRDefault="00D205C1" w:rsidP="00D205C1">
            <w:pPr>
              <w:rPr>
                <w:rFonts w:asciiTheme="minorHAnsi" w:hAnsiTheme="minorHAnsi" w:cstheme="minorHAnsi"/>
                <w:sz w:val="18"/>
                <w:szCs w:val="18"/>
              </w:rPr>
            </w:pPr>
            <w:r>
              <w:rPr>
                <w:rFonts w:asciiTheme="minorHAnsi" w:hAnsiTheme="minorHAnsi" w:cstheme="minorHAnsi"/>
                <w:sz w:val="18"/>
                <w:szCs w:val="18"/>
              </w:rPr>
              <w:t>No</w:t>
            </w:r>
          </w:p>
        </w:tc>
        <w:tc>
          <w:tcPr>
            <w:tcW w:w="717" w:type="pct"/>
          </w:tcPr>
          <w:p w14:paraId="6CDF8E17" w14:textId="77777777" w:rsidR="00D205C1" w:rsidRDefault="00D205C1" w:rsidP="00D205C1">
            <w:pPr>
              <w:rPr>
                <w:rFonts w:asciiTheme="minorHAnsi" w:hAnsiTheme="minorHAnsi" w:cstheme="minorHAnsi"/>
                <w:sz w:val="18"/>
                <w:szCs w:val="18"/>
              </w:rPr>
            </w:pPr>
            <w:r>
              <w:rPr>
                <w:rFonts w:asciiTheme="minorHAnsi" w:hAnsiTheme="minorHAnsi" w:cstheme="minorHAnsi"/>
                <w:sz w:val="18"/>
                <w:szCs w:val="18"/>
              </w:rPr>
              <w:t>Data source: BT, SIB, and STB audited financial statements and other company-level data and information.</w:t>
            </w:r>
          </w:p>
          <w:p w14:paraId="575B070F" w14:textId="77777777" w:rsidR="00D205C1" w:rsidRPr="001B1012" w:rsidRDefault="00D205C1" w:rsidP="00D205C1">
            <w:pPr>
              <w:rPr>
                <w:rFonts w:asciiTheme="minorHAnsi" w:hAnsiTheme="minorHAnsi" w:cstheme="minorHAnsi"/>
                <w:sz w:val="18"/>
                <w:szCs w:val="18"/>
              </w:rPr>
            </w:pPr>
            <w:r>
              <w:rPr>
                <w:rFonts w:asciiTheme="minorHAnsi" w:hAnsiTheme="minorHAnsi" w:cstheme="minorHAnsi"/>
                <w:sz w:val="18"/>
                <w:szCs w:val="18"/>
              </w:rPr>
              <w:t>Agency: MEWR.</w:t>
            </w:r>
          </w:p>
        </w:tc>
        <w:tc>
          <w:tcPr>
            <w:tcW w:w="624" w:type="pct"/>
          </w:tcPr>
          <w:p w14:paraId="5A2AAA48" w14:textId="573498BA" w:rsidR="00D205C1" w:rsidRDefault="00D205C1" w:rsidP="00D205C1">
            <w:pPr>
              <w:rPr>
                <w:rFonts w:asciiTheme="minorHAnsi" w:hAnsiTheme="minorHAnsi" w:cstheme="minorHAnsi"/>
                <w:sz w:val="18"/>
                <w:szCs w:val="18"/>
              </w:rPr>
            </w:pPr>
            <w:r>
              <w:rPr>
                <w:rFonts w:asciiTheme="minorHAnsi" w:hAnsiTheme="minorHAnsi" w:cstheme="minorHAnsi"/>
                <w:sz w:val="18"/>
                <w:szCs w:val="18"/>
              </w:rPr>
              <w:t>Auditor of annual financial statements of BT under TOR acceptable to the Bank. The TORs for audit of SIB and STB annual financial statements should contain requirement for providing those costs with the required break-down and should also be acceptable to the World Bank.</w:t>
            </w:r>
          </w:p>
        </w:tc>
        <w:tc>
          <w:tcPr>
            <w:tcW w:w="947" w:type="pct"/>
          </w:tcPr>
          <w:p w14:paraId="3B2F200D" w14:textId="77777777" w:rsidR="007B5617" w:rsidRPr="00682284" w:rsidRDefault="007B5617" w:rsidP="007B5617">
            <w:pPr>
              <w:spacing w:after="120"/>
              <w:rPr>
                <w:rFonts w:asciiTheme="minorHAnsi" w:hAnsiTheme="minorHAnsi" w:cstheme="minorHAnsi"/>
                <w:sz w:val="18"/>
                <w:szCs w:val="18"/>
              </w:rPr>
            </w:pPr>
            <w:r>
              <w:rPr>
                <w:rFonts w:asciiTheme="minorHAnsi" w:hAnsiTheme="minorHAnsi" w:cstheme="minorHAnsi"/>
                <w:sz w:val="18"/>
                <w:szCs w:val="18"/>
              </w:rPr>
              <w:t>IVA will:</w:t>
            </w:r>
          </w:p>
          <w:p w14:paraId="03594103" w14:textId="77777777" w:rsidR="007B5617" w:rsidRDefault="007B5617" w:rsidP="00CB0465">
            <w:pPr>
              <w:pStyle w:val="ListParagraph"/>
              <w:numPr>
                <w:ilvl w:val="0"/>
                <w:numId w:val="48"/>
              </w:numPr>
              <w:spacing w:after="120"/>
              <w:ind w:left="249" w:hanging="249"/>
              <w:contextualSpacing w:val="0"/>
              <w:rPr>
                <w:rFonts w:asciiTheme="minorHAnsi" w:hAnsiTheme="minorHAnsi" w:cstheme="minorHAnsi"/>
                <w:sz w:val="18"/>
                <w:szCs w:val="18"/>
              </w:rPr>
            </w:pPr>
            <w:r w:rsidRPr="00682284">
              <w:rPr>
                <w:rFonts w:asciiTheme="minorHAnsi" w:hAnsiTheme="minorHAnsi" w:cstheme="minorHAnsi"/>
                <w:sz w:val="18"/>
                <w:szCs w:val="18"/>
              </w:rPr>
              <w:t>Review the procurement process and contract for supply of fuel to determine whether: (i) the procurement process was international competitive and consistent with the procurement legislation of the Republic of Tajikistan; (ii) the price is reasonable. The reasonableness of the price should be determined by comparing it with the traded price (on an international exchange) of fuel oil with same specifications plus transportation costs. IVA should select the benchmark price, but it should be for a well-known international market with standardized contracts.</w:t>
            </w:r>
          </w:p>
          <w:p w14:paraId="44BCF9E9" w14:textId="77777777" w:rsidR="007B5617" w:rsidRDefault="007B5617" w:rsidP="00CB0465">
            <w:pPr>
              <w:pStyle w:val="ListParagraph"/>
              <w:numPr>
                <w:ilvl w:val="0"/>
                <w:numId w:val="48"/>
              </w:numPr>
              <w:spacing w:after="120"/>
              <w:ind w:left="249" w:hanging="249"/>
              <w:contextualSpacing w:val="0"/>
              <w:rPr>
                <w:rFonts w:asciiTheme="minorHAnsi" w:hAnsiTheme="minorHAnsi" w:cstheme="minorHAnsi"/>
                <w:sz w:val="18"/>
                <w:szCs w:val="18"/>
              </w:rPr>
            </w:pPr>
            <w:r w:rsidRPr="007B5617">
              <w:rPr>
                <w:rFonts w:asciiTheme="minorHAnsi" w:hAnsiTheme="minorHAnsi" w:cstheme="minorHAnsi"/>
                <w:sz w:val="18"/>
                <w:szCs w:val="18"/>
              </w:rPr>
              <w:t>Review the purchased volume of fuel oil to validate that the total available stock, including the purchased volume during the year, did not exceed 24,000 tons at any point in time during the entire year for which verification is done.</w:t>
            </w:r>
          </w:p>
          <w:p w14:paraId="31D37236" w14:textId="31B21463" w:rsidR="00D205C1" w:rsidRPr="007B5617" w:rsidRDefault="00D205C1" w:rsidP="00CB0465">
            <w:pPr>
              <w:pStyle w:val="ListParagraph"/>
              <w:numPr>
                <w:ilvl w:val="0"/>
                <w:numId w:val="48"/>
              </w:numPr>
              <w:spacing w:after="120"/>
              <w:ind w:left="249" w:hanging="249"/>
              <w:contextualSpacing w:val="0"/>
              <w:rPr>
                <w:rFonts w:asciiTheme="minorHAnsi" w:hAnsiTheme="minorHAnsi" w:cstheme="minorHAnsi"/>
                <w:sz w:val="18"/>
                <w:szCs w:val="18"/>
              </w:rPr>
            </w:pPr>
            <w:r w:rsidRPr="007B5617">
              <w:rPr>
                <w:rFonts w:asciiTheme="minorHAnsi" w:hAnsiTheme="minorHAnsi" w:cstheme="minorHAnsi"/>
                <w:sz w:val="18"/>
                <w:szCs w:val="18"/>
              </w:rPr>
              <w:t>(</w:t>
            </w:r>
            <w:r w:rsidR="007B5617">
              <w:rPr>
                <w:rFonts w:asciiTheme="minorHAnsi" w:hAnsiTheme="minorHAnsi" w:cstheme="minorHAnsi"/>
                <w:sz w:val="18"/>
                <w:szCs w:val="18"/>
              </w:rPr>
              <w:t>i</w:t>
            </w:r>
            <w:r w:rsidRPr="007B5617">
              <w:rPr>
                <w:rFonts w:asciiTheme="minorHAnsi" w:hAnsiTheme="minorHAnsi" w:cstheme="minorHAnsi"/>
                <w:sz w:val="18"/>
                <w:szCs w:val="18"/>
              </w:rPr>
              <w:t xml:space="preserve">) confirm the size of BT’s cost of materials (excluding fuel oil </w:t>
            </w:r>
            <w:r w:rsidRPr="007B5617">
              <w:rPr>
                <w:rFonts w:asciiTheme="minorHAnsi" w:hAnsiTheme="minorHAnsi" w:cstheme="minorHAnsi"/>
                <w:sz w:val="18"/>
                <w:szCs w:val="18"/>
              </w:rPr>
              <w:lastRenderedPageBreak/>
              <w:t>costs for electricity and/or heat generation), services, and fixed asset maintenance for 2026; (</w:t>
            </w:r>
            <w:r w:rsidR="007B5617">
              <w:rPr>
                <w:rFonts w:asciiTheme="minorHAnsi" w:hAnsiTheme="minorHAnsi" w:cstheme="minorHAnsi"/>
                <w:sz w:val="18"/>
                <w:szCs w:val="18"/>
              </w:rPr>
              <w:t>ii</w:t>
            </w:r>
            <w:r w:rsidRPr="007B5617">
              <w:rPr>
                <w:rFonts w:asciiTheme="minorHAnsi" w:hAnsiTheme="minorHAnsi" w:cstheme="minorHAnsi"/>
                <w:sz w:val="18"/>
                <w:szCs w:val="18"/>
              </w:rPr>
              <w:t>) receive through MEWR the data from the auditors of SIB and STB annual financial statements, which should be detailed enough to contain the required cost items with necessary break-down;</w:t>
            </w:r>
            <w:r w:rsidR="007B5617">
              <w:rPr>
                <w:rFonts w:asciiTheme="minorHAnsi" w:hAnsiTheme="minorHAnsi" w:cstheme="minorHAnsi"/>
                <w:sz w:val="18"/>
                <w:szCs w:val="18"/>
              </w:rPr>
              <w:t xml:space="preserve"> and</w:t>
            </w:r>
            <w:r w:rsidRPr="007B5617">
              <w:rPr>
                <w:rFonts w:asciiTheme="minorHAnsi" w:hAnsiTheme="minorHAnsi" w:cstheme="minorHAnsi"/>
                <w:sz w:val="18"/>
                <w:szCs w:val="18"/>
              </w:rPr>
              <w:t xml:space="preserve"> (</w:t>
            </w:r>
            <w:r w:rsidR="007B5617">
              <w:rPr>
                <w:rFonts w:asciiTheme="minorHAnsi" w:hAnsiTheme="minorHAnsi" w:cstheme="minorHAnsi"/>
                <w:sz w:val="18"/>
                <w:szCs w:val="18"/>
              </w:rPr>
              <w:t>iii</w:t>
            </w:r>
            <w:r w:rsidRPr="007B5617">
              <w:rPr>
                <w:rFonts w:asciiTheme="minorHAnsi" w:hAnsiTheme="minorHAnsi" w:cstheme="minorHAnsi"/>
                <w:sz w:val="18"/>
                <w:szCs w:val="18"/>
              </w:rPr>
              <w:t>) prepare a summary report covering BT, SIB, and STB with computation of the change of 2030 costs of materials, services, and fixed asset maintenance compared to 2029 with adjustment for 2030 inflation. The inflation would be measured through GDP deflator for 2030 based on the data from the System of National Accounts of the Statistical Agency under the President of the Republic of Tajikistan.</w:t>
            </w:r>
          </w:p>
        </w:tc>
      </w:tr>
      <w:tr w:rsidR="00682284" w:rsidRPr="001B1012" w14:paraId="7BDA62D7" w14:textId="77777777" w:rsidTr="00866A63">
        <w:trPr>
          <w:jc w:val="center"/>
        </w:trPr>
        <w:tc>
          <w:tcPr>
            <w:tcW w:w="1090" w:type="pct"/>
          </w:tcPr>
          <w:p w14:paraId="52335144" w14:textId="77777777" w:rsidR="00682284" w:rsidRPr="006714CA" w:rsidRDefault="00682284" w:rsidP="00682284">
            <w:pPr>
              <w:widowControl/>
              <w:autoSpaceDE/>
              <w:autoSpaceDN/>
              <w:adjustRightInd/>
              <w:rPr>
                <w:rFonts w:asciiTheme="minorHAnsi" w:eastAsia="Times New Roman" w:hAnsiTheme="minorHAnsi" w:cstheme="minorHAnsi"/>
                <w:b/>
                <w:bCs/>
                <w:sz w:val="18"/>
                <w:szCs w:val="18"/>
              </w:rPr>
            </w:pPr>
            <w:r w:rsidRPr="006714CA">
              <w:rPr>
                <w:rFonts w:asciiTheme="minorHAnsi" w:hAnsiTheme="minorHAnsi" w:cstheme="minorHAnsi"/>
                <w:b/>
                <w:bCs/>
                <w:sz w:val="18"/>
                <w:szCs w:val="18"/>
              </w:rPr>
              <w:lastRenderedPageBreak/>
              <w:t>DLI 11: Improved prioritization, predictability, and transparency of cash flows in the electricity sector</w:t>
            </w:r>
          </w:p>
        </w:tc>
        <w:tc>
          <w:tcPr>
            <w:tcW w:w="1091" w:type="pct"/>
          </w:tcPr>
          <w:p w14:paraId="15C182A2" w14:textId="77777777" w:rsidR="00682284" w:rsidRPr="001B1012" w:rsidRDefault="00682284" w:rsidP="00682284">
            <w:pPr>
              <w:rPr>
                <w:rFonts w:asciiTheme="minorHAnsi" w:hAnsiTheme="minorHAnsi" w:cstheme="minorHAnsi"/>
                <w:sz w:val="18"/>
                <w:szCs w:val="18"/>
              </w:rPr>
            </w:pPr>
          </w:p>
        </w:tc>
        <w:tc>
          <w:tcPr>
            <w:tcW w:w="531" w:type="pct"/>
          </w:tcPr>
          <w:p w14:paraId="3BBD4E07" w14:textId="77777777" w:rsidR="00682284" w:rsidRPr="001B1012" w:rsidRDefault="00682284" w:rsidP="00682284">
            <w:pPr>
              <w:rPr>
                <w:rFonts w:asciiTheme="minorHAnsi" w:hAnsiTheme="minorHAnsi" w:cstheme="minorHAnsi"/>
                <w:sz w:val="18"/>
                <w:szCs w:val="18"/>
              </w:rPr>
            </w:pPr>
          </w:p>
        </w:tc>
        <w:tc>
          <w:tcPr>
            <w:tcW w:w="717" w:type="pct"/>
          </w:tcPr>
          <w:p w14:paraId="68673FD4" w14:textId="77777777" w:rsidR="00682284" w:rsidRPr="001B1012" w:rsidRDefault="00682284" w:rsidP="00682284">
            <w:pPr>
              <w:rPr>
                <w:rFonts w:asciiTheme="minorHAnsi" w:hAnsiTheme="minorHAnsi" w:cstheme="minorHAnsi"/>
                <w:sz w:val="18"/>
                <w:szCs w:val="18"/>
              </w:rPr>
            </w:pPr>
          </w:p>
        </w:tc>
        <w:tc>
          <w:tcPr>
            <w:tcW w:w="624" w:type="pct"/>
          </w:tcPr>
          <w:p w14:paraId="5C088753" w14:textId="77777777" w:rsidR="00682284" w:rsidRDefault="00682284" w:rsidP="00682284">
            <w:pPr>
              <w:rPr>
                <w:rFonts w:asciiTheme="minorHAnsi" w:hAnsiTheme="minorHAnsi" w:cstheme="minorHAnsi"/>
                <w:sz w:val="18"/>
                <w:szCs w:val="18"/>
              </w:rPr>
            </w:pPr>
          </w:p>
        </w:tc>
        <w:tc>
          <w:tcPr>
            <w:tcW w:w="947" w:type="pct"/>
          </w:tcPr>
          <w:p w14:paraId="4E3C56CA" w14:textId="77777777" w:rsidR="00682284" w:rsidRDefault="00682284" w:rsidP="00682284">
            <w:pPr>
              <w:rPr>
                <w:rFonts w:asciiTheme="minorHAnsi" w:hAnsiTheme="minorHAnsi" w:cstheme="minorHAnsi"/>
                <w:sz w:val="18"/>
                <w:szCs w:val="18"/>
              </w:rPr>
            </w:pPr>
          </w:p>
        </w:tc>
      </w:tr>
      <w:tr w:rsidR="00682284" w:rsidRPr="001B1012" w14:paraId="2705AFFB" w14:textId="77777777" w:rsidTr="00866A63">
        <w:trPr>
          <w:jc w:val="center"/>
        </w:trPr>
        <w:tc>
          <w:tcPr>
            <w:tcW w:w="1090" w:type="pct"/>
          </w:tcPr>
          <w:p w14:paraId="040EBBAF" w14:textId="63234192" w:rsidR="00682284" w:rsidRPr="00B33FDE" w:rsidRDefault="00682284" w:rsidP="00682284">
            <w:pPr>
              <w:widowControl/>
              <w:autoSpaceDE/>
              <w:autoSpaceDN/>
              <w:adjustRightInd/>
              <w:rPr>
                <w:rFonts w:asciiTheme="minorHAnsi" w:eastAsia="Times New Roman" w:hAnsiTheme="minorHAnsi" w:cstheme="minorHAnsi"/>
                <w:b/>
                <w:bCs/>
                <w:sz w:val="18"/>
                <w:szCs w:val="18"/>
              </w:rPr>
            </w:pPr>
            <w:r w:rsidRPr="008F6D8F">
              <w:rPr>
                <w:rFonts w:asciiTheme="minorHAnsi" w:hAnsiTheme="minorHAnsi" w:cstheme="minorHAnsi"/>
                <w:sz w:val="18"/>
                <w:szCs w:val="18"/>
              </w:rPr>
              <w:t>DLR 11.1: By September 30, 2022, (a) collection and distribution</w:t>
            </w:r>
            <w:r w:rsidRPr="00133DF2">
              <w:rPr>
                <w:rFonts w:asciiTheme="minorHAnsi" w:hAnsiTheme="minorHAnsi" w:cstheme="minorHAnsi"/>
                <w:sz w:val="18"/>
                <w:szCs w:val="18"/>
              </w:rPr>
              <w:t xml:space="preserve"> of electricity sector revenues from domestic market are systematically carried out according to the Escrow Account Regulations; and (b) </w:t>
            </w:r>
            <w:r w:rsidRPr="008F6D8F">
              <w:rPr>
                <w:rFonts w:asciiTheme="minorHAnsi" w:hAnsiTheme="minorHAnsi" w:cstheme="minorHAnsi"/>
                <w:sz w:val="18"/>
                <w:szCs w:val="18"/>
              </w:rPr>
              <w:t xml:space="preserve">expenditures from other account(s) of BT to include US$20 million payment </w:t>
            </w:r>
            <w:r w:rsidRPr="008F6D8F">
              <w:rPr>
                <w:rFonts w:asciiTheme="minorHAnsi" w:hAnsiTheme="minorHAnsi" w:cstheme="minorHAnsi"/>
                <w:sz w:val="18"/>
                <w:szCs w:val="18"/>
              </w:rPr>
              <w:lastRenderedPageBreak/>
              <w:t>under subsidiary agreements with MOF and settlement of other existing liabilities</w:t>
            </w:r>
            <w:r w:rsidR="00004B73">
              <w:rPr>
                <w:rFonts w:asciiTheme="minorHAnsi" w:hAnsiTheme="minorHAnsi" w:cstheme="minorHAnsi"/>
                <w:sz w:val="18"/>
                <w:szCs w:val="18"/>
              </w:rPr>
              <w:t>.</w:t>
            </w:r>
          </w:p>
        </w:tc>
        <w:tc>
          <w:tcPr>
            <w:tcW w:w="1091" w:type="pct"/>
          </w:tcPr>
          <w:p w14:paraId="4442D981" w14:textId="40A4B91E" w:rsidR="00682284" w:rsidRPr="00516811" w:rsidRDefault="00682284" w:rsidP="00682284">
            <w:pPr>
              <w:pStyle w:val="BodyText"/>
              <w:widowControl/>
              <w:ind w:left="0"/>
              <w:rPr>
                <w:rFonts w:asciiTheme="minorHAnsi" w:hAnsiTheme="minorHAnsi" w:cstheme="minorHAnsi"/>
                <w:b w:val="0"/>
                <w:bCs w:val="0"/>
                <w:sz w:val="18"/>
                <w:szCs w:val="18"/>
              </w:rPr>
            </w:pPr>
            <w:r w:rsidRPr="00516811">
              <w:rPr>
                <w:rFonts w:asciiTheme="minorHAnsi" w:hAnsiTheme="minorHAnsi" w:cstheme="minorHAnsi"/>
                <w:b w:val="0"/>
                <w:bCs w:val="0"/>
                <w:sz w:val="18"/>
                <w:szCs w:val="18"/>
              </w:rPr>
              <w:lastRenderedPageBreak/>
              <w:t xml:space="preserve">The target will be considered achieved if: (a) collection and distribution of electricity sector revenues from domestic market is carried out according to </w:t>
            </w:r>
            <w:r>
              <w:rPr>
                <w:rFonts w:asciiTheme="minorHAnsi" w:hAnsiTheme="minorHAnsi" w:cstheme="minorHAnsi"/>
                <w:b w:val="0"/>
                <w:bCs w:val="0"/>
                <w:sz w:val="18"/>
                <w:szCs w:val="18"/>
              </w:rPr>
              <w:t>Escrow Account Regulations; (b)</w:t>
            </w:r>
            <w:r w:rsidR="008647F7">
              <w:rPr>
                <w:rFonts w:asciiTheme="minorHAnsi" w:hAnsiTheme="minorHAnsi" w:cstheme="minorHAnsi"/>
                <w:b w:val="0"/>
                <w:bCs w:val="0"/>
                <w:sz w:val="18"/>
                <w:szCs w:val="18"/>
              </w:rPr>
              <w:t xml:space="preserve"> BT paid MOF US$20 million related to debt service costs </w:t>
            </w:r>
            <w:r w:rsidR="008647F7">
              <w:rPr>
                <w:rFonts w:asciiTheme="minorHAnsi" w:hAnsiTheme="minorHAnsi" w:cstheme="minorHAnsi"/>
                <w:b w:val="0"/>
                <w:bCs w:val="0"/>
                <w:sz w:val="18"/>
                <w:szCs w:val="18"/>
              </w:rPr>
              <w:lastRenderedPageBreak/>
              <w:t>under subsidiary agreements; and (c</w:t>
            </w:r>
            <w:proofErr w:type="gramStart"/>
            <w:r w:rsidR="008647F7">
              <w:rPr>
                <w:rFonts w:asciiTheme="minorHAnsi" w:hAnsiTheme="minorHAnsi" w:cstheme="minorHAnsi"/>
                <w:b w:val="0"/>
                <w:bCs w:val="0"/>
                <w:sz w:val="18"/>
                <w:szCs w:val="18"/>
              </w:rPr>
              <w:t xml:space="preserve">) </w:t>
            </w:r>
            <w:r>
              <w:rPr>
                <w:rFonts w:asciiTheme="minorHAnsi" w:hAnsiTheme="minorHAnsi" w:cstheme="minorHAnsi"/>
                <w:b w:val="0"/>
                <w:bCs w:val="0"/>
                <w:sz w:val="18"/>
                <w:szCs w:val="18"/>
              </w:rPr>
              <w:t xml:space="preserve"> expenditures</w:t>
            </w:r>
            <w:proofErr w:type="gramEnd"/>
            <w:r>
              <w:rPr>
                <w:rFonts w:asciiTheme="minorHAnsi" w:hAnsiTheme="minorHAnsi" w:cstheme="minorHAnsi"/>
                <w:b w:val="0"/>
                <w:bCs w:val="0"/>
                <w:sz w:val="18"/>
                <w:szCs w:val="18"/>
              </w:rPr>
              <w:t xml:space="preserve"> from all other accounts of BT are prioritized in a way to pay for liabilities with the highest cost for BT.</w:t>
            </w:r>
          </w:p>
          <w:p w14:paraId="539EF4CA" w14:textId="77777777" w:rsidR="00682284" w:rsidRPr="001B1012" w:rsidRDefault="00682284" w:rsidP="00682284">
            <w:pPr>
              <w:rPr>
                <w:rFonts w:asciiTheme="minorHAnsi" w:hAnsiTheme="minorHAnsi" w:cstheme="minorHAnsi"/>
                <w:sz w:val="18"/>
                <w:szCs w:val="18"/>
              </w:rPr>
            </w:pPr>
          </w:p>
        </w:tc>
        <w:tc>
          <w:tcPr>
            <w:tcW w:w="531" w:type="pct"/>
          </w:tcPr>
          <w:p w14:paraId="1421DBCD" w14:textId="77777777" w:rsidR="00682284" w:rsidRPr="001B1012" w:rsidRDefault="00682284" w:rsidP="00682284">
            <w:pPr>
              <w:rPr>
                <w:rFonts w:asciiTheme="minorHAnsi" w:hAnsiTheme="minorHAnsi" w:cstheme="minorHAnsi"/>
                <w:sz w:val="18"/>
                <w:szCs w:val="18"/>
              </w:rPr>
            </w:pPr>
            <w:r>
              <w:rPr>
                <w:rFonts w:asciiTheme="minorHAnsi" w:hAnsiTheme="minorHAnsi" w:cstheme="minorHAnsi"/>
                <w:sz w:val="18"/>
                <w:szCs w:val="18"/>
              </w:rPr>
              <w:lastRenderedPageBreak/>
              <w:t>No</w:t>
            </w:r>
          </w:p>
        </w:tc>
        <w:tc>
          <w:tcPr>
            <w:tcW w:w="717" w:type="pct"/>
          </w:tcPr>
          <w:p w14:paraId="71FA08F5" w14:textId="233E778C" w:rsidR="00682284" w:rsidRDefault="00682284" w:rsidP="00682284">
            <w:pPr>
              <w:rPr>
                <w:rFonts w:asciiTheme="minorHAnsi" w:hAnsiTheme="minorHAnsi" w:cstheme="minorHAnsi"/>
                <w:sz w:val="18"/>
                <w:szCs w:val="18"/>
              </w:rPr>
            </w:pPr>
            <w:r>
              <w:rPr>
                <w:rFonts w:asciiTheme="minorHAnsi" w:hAnsiTheme="minorHAnsi" w:cstheme="minorHAnsi"/>
                <w:sz w:val="18"/>
                <w:szCs w:val="18"/>
              </w:rPr>
              <w:t xml:space="preserve">Data source: </w:t>
            </w:r>
            <w:r w:rsidR="00004B73">
              <w:rPr>
                <w:rFonts w:asciiTheme="minorHAnsi" w:hAnsiTheme="minorHAnsi" w:cstheme="minorHAnsi"/>
                <w:sz w:val="18"/>
                <w:szCs w:val="18"/>
              </w:rPr>
              <w:t>(a) e</w:t>
            </w:r>
            <w:r>
              <w:rPr>
                <w:rFonts w:asciiTheme="minorHAnsi" w:hAnsiTheme="minorHAnsi" w:cstheme="minorHAnsi"/>
                <w:sz w:val="18"/>
                <w:szCs w:val="18"/>
              </w:rPr>
              <w:t>scrow account financial statements, reports on collected and distributed revenues, expenditures plans submitted by BT to Escrow Account bank</w:t>
            </w:r>
            <w:r w:rsidR="00004B73">
              <w:rPr>
                <w:rFonts w:asciiTheme="minorHAnsi" w:hAnsiTheme="minorHAnsi" w:cstheme="minorHAnsi"/>
                <w:sz w:val="18"/>
                <w:szCs w:val="18"/>
              </w:rPr>
              <w:t xml:space="preserve">; (b) </w:t>
            </w:r>
            <w:r w:rsidR="00004B73">
              <w:rPr>
                <w:rFonts w:asciiTheme="minorHAnsi" w:hAnsiTheme="minorHAnsi" w:cstheme="minorHAnsi"/>
                <w:sz w:val="18"/>
                <w:szCs w:val="18"/>
              </w:rPr>
              <w:lastRenderedPageBreak/>
              <w:t>statements from other bank accounts.</w:t>
            </w:r>
          </w:p>
          <w:p w14:paraId="203695C4" w14:textId="77777777" w:rsidR="00682284" w:rsidRPr="001B1012" w:rsidRDefault="00682284" w:rsidP="00682284">
            <w:pPr>
              <w:rPr>
                <w:rFonts w:asciiTheme="minorHAnsi" w:hAnsiTheme="minorHAnsi" w:cstheme="minorHAnsi"/>
                <w:sz w:val="18"/>
                <w:szCs w:val="18"/>
              </w:rPr>
            </w:pPr>
            <w:r>
              <w:rPr>
                <w:rFonts w:asciiTheme="minorHAnsi" w:hAnsiTheme="minorHAnsi" w:cstheme="minorHAnsi"/>
                <w:sz w:val="18"/>
                <w:szCs w:val="18"/>
              </w:rPr>
              <w:t>Agency: MEWR</w:t>
            </w:r>
          </w:p>
        </w:tc>
        <w:tc>
          <w:tcPr>
            <w:tcW w:w="624" w:type="pct"/>
          </w:tcPr>
          <w:p w14:paraId="691C564B" w14:textId="77777777" w:rsidR="00682284" w:rsidRDefault="00682284" w:rsidP="00682284">
            <w:pPr>
              <w:rPr>
                <w:rFonts w:asciiTheme="minorHAnsi" w:hAnsiTheme="minorHAnsi" w:cstheme="minorHAnsi"/>
                <w:sz w:val="18"/>
                <w:szCs w:val="18"/>
              </w:rPr>
            </w:pPr>
            <w:r>
              <w:rPr>
                <w:rFonts w:asciiTheme="minorHAnsi" w:hAnsiTheme="minorHAnsi" w:cstheme="minorHAnsi"/>
                <w:sz w:val="18"/>
                <w:szCs w:val="18"/>
              </w:rPr>
              <w:lastRenderedPageBreak/>
              <w:t>Auditor/financial consultant with qualifications and TOR acceptable to the Bank.</w:t>
            </w:r>
          </w:p>
        </w:tc>
        <w:tc>
          <w:tcPr>
            <w:tcW w:w="947" w:type="pct"/>
          </w:tcPr>
          <w:p w14:paraId="7F277021" w14:textId="190877EE" w:rsidR="00682284" w:rsidRDefault="00682284" w:rsidP="00682284">
            <w:pPr>
              <w:rPr>
                <w:rFonts w:asciiTheme="minorHAnsi" w:hAnsiTheme="minorHAnsi" w:cstheme="minorHAnsi"/>
                <w:sz w:val="18"/>
                <w:szCs w:val="18"/>
              </w:rPr>
            </w:pPr>
            <w:r>
              <w:rPr>
                <w:rFonts w:asciiTheme="minorHAnsi" w:hAnsiTheme="minorHAnsi" w:cstheme="minorHAnsi"/>
                <w:sz w:val="18"/>
                <w:szCs w:val="18"/>
              </w:rPr>
              <w:t xml:space="preserve">The IVA will: (a) validate whether the Escrow Account Agreement between the Escrow Account bank and BT, SIB, and STB is effective; (b) confirm whether the minimum required terms and conditions of the Escrow Account </w:t>
            </w:r>
            <w:r>
              <w:rPr>
                <w:rFonts w:asciiTheme="minorHAnsi" w:hAnsiTheme="minorHAnsi" w:cstheme="minorHAnsi"/>
                <w:sz w:val="18"/>
                <w:szCs w:val="18"/>
              </w:rPr>
              <w:lastRenderedPageBreak/>
              <w:t xml:space="preserve">Agreement are consistent with the requirements of the </w:t>
            </w:r>
            <w:r w:rsidRPr="005C6541">
              <w:rPr>
                <w:rFonts w:asciiTheme="minorHAnsi" w:hAnsiTheme="minorHAnsi" w:cstheme="minorHAnsi"/>
                <w:sz w:val="18"/>
                <w:szCs w:val="18"/>
              </w:rPr>
              <w:t>Escrow Account Regulations and other applicable legislation</w:t>
            </w:r>
            <w:r>
              <w:rPr>
                <w:rFonts w:asciiTheme="minorHAnsi" w:hAnsiTheme="minorHAnsi" w:cstheme="minorHAnsi"/>
                <w:sz w:val="18"/>
                <w:szCs w:val="18"/>
              </w:rPr>
              <w:t>;</w:t>
            </w:r>
            <w:r w:rsidRPr="005C6541">
              <w:rPr>
                <w:rFonts w:asciiTheme="minorHAnsi" w:hAnsiTheme="minorHAnsi" w:cstheme="minorHAnsi"/>
                <w:sz w:val="18"/>
                <w:szCs w:val="18"/>
              </w:rPr>
              <w:t xml:space="preserve"> (c) confirm that collection and distribution of revenues is carried out in accordance with the requirements of the Escrow Account Regulations</w:t>
            </w:r>
            <w:r>
              <w:rPr>
                <w:rFonts w:asciiTheme="minorHAnsi" w:hAnsiTheme="minorHAnsi" w:cstheme="minorHAnsi"/>
                <w:sz w:val="18"/>
                <w:szCs w:val="18"/>
              </w:rPr>
              <w:t>; (d)</w:t>
            </w:r>
            <w:r w:rsidR="00004B73">
              <w:rPr>
                <w:rFonts w:asciiTheme="minorHAnsi" w:hAnsiTheme="minorHAnsi" w:cstheme="minorHAnsi"/>
                <w:sz w:val="18"/>
                <w:szCs w:val="18"/>
              </w:rPr>
              <w:t xml:space="preserve"> validate whether BT paid MOF US$20 million for debt service under subsidiary agreements; and (e)</w:t>
            </w:r>
            <w:r>
              <w:rPr>
                <w:rFonts w:asciiTheme="minorHAnsi" w:hAnsiTheme="minorHAnsi" w:cstheme="minorHAnsi"/>
                <w:sz w:val="18"/>
                <w:szCs w:val="18"/>
              </w:rPr>
              <w:t xml:space="preserve"> validate whether cash from other account(s) of BT was prioritized to cover the most expensive liabilities of BT including but not limited to servicing of sovereign-guaranteed debt.</w:t>
            </w:r>
          </w:p>
        </w:tc>
      </w:tr>
      <w:tr w:rsidR="00004B73" w:rsidRPr="001B1012" w14:paraId="7BAACC13" w14:textId="77777777" w:rsidTr="00866A63">
        <w:trPr>
          <w:jc w:val="center"/>
        </w:trPr>
        <w:tc>
          <w:tcPr>
            <w:tcW w:w="1090" w:type="pct"/>
          </w:tcPr>
          <w:p w14:paraId="203CEBC1" w14:textId="61111799" w:rsidR="00004B73" w:rsidRPr="00AF5CCB" w:rsidRDefault="00004B73" w:rsidP="00004B73">
            <w:pPr>
              <w:widowControl/>
              <w:autoSpaceDE/>
              <w:autoSpaceDN/>
              <w:adjustRightInd/>
              <w:rPr>
                <w:rFonts w:asciiTheme="minorHAnsi" w:hAnsiTheme="minorHAnsi" w:cstheme="minorHAnsi"/>
                <w:sz w:val="18"/>
                <w:szCs w:val="18"/>
              </w:rPr>
            </w:pPr>
            <w:r w:rsidRPr="00AF5CCB">
              <w:rPr>
                <w:rFonts w:asciiTheme="minorHAnsi" w:hAnsiTheme="minorHAnsi" w:cstheme="minorHAnsi"/>
                <w:sz w:val="18"/>
                <w:szCs w:val="18"/>
              </w:rPr>
              <w:lastRenderedPageBreak/>
              <w:t xml:space="preserve">DLR 11.2: By December 31, 2022, (a) collection and distribution of electricity sector revenues from domestic market are systematically carried out according to the Escrow Account Regulations; and (b) </w:t>
            </w:r>
            <w:r w:rsidRPr="008F6D8F">
              <w:rPr>
                <w:rFonts w:asciiTheme="minorHAnsi" w:hAnsiTheme="minorHAnsi" w:cstheme="minorHAnsi"/>
                <w:sz w:val="18"/>
                <w:szCs w:val="18"/>
              </w:rPr>
              <w:t>expenditures from other account(s) of BT were prioritized consistent with the existing liabilities including payments on sovereign-guaranteed debt</w:t>
            </w:r>
            <w:r>
              <w:rPr>
                <w:rFonts w:asciiTheme="minorHAnsi" w:hAnsiTheme="minorHAnsi" w:cstheme="minorHAnsi"/>
                <w:sz w:val="18"/>
                <w:szCs w:val="18"/>
              </w:rPr>
              <w:t>.</w:t>
            </w:r>
          </w:p>
        </w:tc>
        <w:tc>
          <w:tcPr>
            <w:tcW w:w="1091" w:type="pct"/>
          </w:tcPr>
          <w:p w14:paraId="5C2D0E19" w14:textId="31534377" w:rsidR="00004B73" w:rsidRPr="00516811" w:rsidRDefault="00004B73" w:rsidP="00004B73">
            <w:pPr>
              <w:pStyle w:val="BodyText"/>
              <w:widowControl/>
              <w:ind w:left="0"/>
              <w:rPr>
                <w:rFonts w:asciiTheme="minorHAnsi" w:hAnsiTheme="minorHAnsi" w:cstheme="minorHAnsi"/>
                <w:b w:val="0"/>
                <w:bCs w:val="0"/>
                <w:sz w:val="18"/>
                <w:szCs w:val="18"/>
              </w:rPr>
            </w:pPr>
            <w:r w:rsidRPr="00516811">
              <w:rPr>
                <w:rFonts w:asciiTheme="minorHAnsi" w:hAnsiTheme="minorHAnsi" w:cstheme="minorHAnsi"/>
                <w:b w:val="0"/>
                <w:bCs w:val="0"/>
                <w:sz w:val="18"/>
                <w:szCs w:val="18"/>
              </w:rPr>
              <w:t xml:space="preserve">The target will be considered achieved if: (a) collection and distribution of electricity sector revenues from domestic market is carried out according to </w:t>
            </w:r>
            <w:r>
              <w:rPr>
                <w:rFonts w:asciiTheme="minorHAnsi" w:hAnsiTheme="minorHAnsi" w:cstheme="minorHAnsi"/>
                <w:b w:val="0"/>
                <w:bCs w:val="0"/>
                <w:sz w:val="18"/>
                <w:szCs w:val="18"/>
              </w:rPr>
              <w:t>Escrow Account Regulations; and (b) expenditures from all other accounts of BT are prioritized in a way to pay for liabilities with the highest cost for BT.</w:t>
            </w:r>
          </w:p>
          <w:p w14:paraId="4782BDC2" w14:textId="77777777" w:rsidR="00004B73" w:rsidRPr="001B1012" w:rsidRDefault="00004B73" w:rsidP="00004B73">
            <w:pPr>
              <w:rPr>
                <w:rFonts w:asciiTheme="minorHAnsi" w:hAnsiTheme="minorHAnsi" w:cstheme="minorHAnsi"/>
                <w:sz w:val="18"/>
                <w:szCs w:val="18"/>
              </w:rPr>
            </w:pPr>
          </w:p>
        </w:tc>
        <w:tc>
          <w:tcPr>
            <w:tcW w:w="531" w:type="pct"/>
          </w:tcPr>
          <w:p w14:paraId="7DB68BCC" w14:textId="77777777" w:rsidR="00004B73" w:rsidRPr="001B1012" w:rsidRDefault="00004B73" w:rsidP="00004B73">
            <w:pPr>
              <w:rPr>
                <w:rFonts w:asciiTheme="minorHAnsi" w:hAnsiTheme="minorHAnsi" w:cstheme="minorHAnsi"/>
                <w:sz w:val="18"/>
                <w:szCs w:val="18"/>
              </w:rPr>
            </w:pPr>
            <w:r>
              <w:rPr>
                <w:rFonts w:asciiTheme="minorHAnsi" w:hAnsiTheme="minorHAnsi" w:cstheme="minorHAnsi"/>
                <w:sz w:val="18"/>
                <w:szCs w:val="18"/>
              </w:rPr>
              <w:t>No</w:t>
            </w:r>
          </w:p>
        </w:tc>
        <w:tc>
          <w:tcPr>
            <w:tcW w:w="717" w:type="pct"/>
          </w:tcPr>
          <w:p w14:paraId="117C4F10" w14:textId="77777777" w:rsidR="00004B73" w:rsidRDefault="00004B73" w:rsidP="00004B73">
            <w:pPr>
              <w:rPr>
                <w:rFonts w:asciiTheme="minorHAnsi" w:hAnsiTheme="minorHAnsi" w:cstheme="minorHAnsi"/>
                <w:sz w:val="18"/>
                <w:szCs w:val="18"/>
              </w:rPr>
            </w:pPr>
            <w:r>
              <w:rPr>
                <w:rFonts w:asciiTheme="minorHAnsi" w:hAnsiTheme="minorHAnsi" w:cstheme="minorHAnsi"/>
                <w:sz w:val="18"/>
                <w:szCs w:val="18"/>
              </w:rPr>
              <w:t>Data source: (a) escrow account financial statements, reports on collected and distributed revenues, expenditures plans submitted by BT to Escrow Account bank; (b) statements from other bank accounts.</w:t>
            </w:r>
          </w:p>
          <w:p w14:paraId="1DED0E6F" w14:textId="68F1C8B1" w:rsidR="00004B73" w:rsidRPr="001B1012" w:rsidRDefault="00004B73" w:rsidP="00004B73">
            <w:pPr>
              <w:rPr>
                <w:rFonts w:asciiTheme="minorHAnsi" w:hAnsiTheme="minorHAnsi" w:cstheme="minorHAnsi"/>
                <w:sz w:val="18"/>
                <w:szCs w:val="18"/>
              </w:rPr>
            </w:pPr>
            <w:r>
              <w:rPr>
                <w:rFonts w:asciiTheme="minorHAnsi" w:hAnsiTheme="minorHAnsi" w:cstheme="minorHAnsi"/>
                <w:sz w:val="18"/>
                <w:szCs w:val="18"/>
              </w:rPr>
              <w:t>Agency: MEWR</w:t>
            </w:r>
          </w:p>
        </w:tc>
        <w:tc>
          <w:tcPr>
            <w:tcW w:w="624" w:type="pct"/>
          </w:tcPr>
          <w:p w14:paraId="2A4F844E" w14:textId="77777777" w:rsidR="00004B73" w:rsidRDefault="00004B73" w:rsidP="00004B73">
            <w:pPr>
              <w:rPr>
                <w:rFonts w:asciiTheme="minorHAnsi" w:hAnsiTheme="minorHAnsi" w:cstheme="minorHAnsi"/>
                <w:sz w:val="18"/>
                <w:szCs w:val="18"/>
              </w:rPr>
            </w:pPr>
            <w:r>
              <w:rPr>
                <w:rFonts w:asciiTheme="minorHAnsi" w:hAnsiTheme="minorHAnsi" w:cstheme="minorHAnsi"/>
                <w:sz w:val="18"/>
                <w:szCs w:val="18"/>
              </w:rPr>
              <w:t>Auditor/financial consultant with qualifications and TOR acceptable to the Bank.</w:t>
            </w:r>
          </w:p>
        </w:tc>
        <w:tc>
          <w:tcPr>
            <w:tcW w:w="947" w:type="pct"/>
          </w:tcPr>
          <w:p w14:paraId="47935EDB" w14:textId="77777777" w:rsidR="00004B73" w:rsidRDefault="00004B73" w:rsidP="00004B73">
            <w:pPr>
              <w:rPr>
                <w:rFonts w:asciiTheme="minorHAnsi" w:hAnsiTheme="minorHAnsi" w:cstheme="minorHAnsi"/>
                <w:sz w:val="18"/>
                <w:szCs w:val="18"/>
              </w:rPr>
            </w:pPr>
            <w:r>
              <w:rPr>
                <w:rFonts w:asciiTheme="minorHAnsi" w:hAnsiTheme="minorHAnsi" w:cstheme="minorHAnsi"/>
                <w:sz w:val="18"/>
                <w:szCs w:val="18"/>
              </w:rPr>
              <w:t xml:space="preserve">The IVA will: (a) validate whether the Escrow Account Agreement between the Escrow Account bank and BT, SIB, and STB is effective; (b) confirm whether the minimum required terms and conditions of the Escrow Account Agreement are consistent with the requirements of the </w:t>
            </w:r>
            <w:r w:rsidRPr="005C6541">
              <w:rPr>
                <w:rFonts w:asciiTheme="minorHAnsi" w:hAnsiTheme="minorHAnsi" w:cstheme="minorHAnsi"/>
                <w:sz w:val="18"/>
                <w:szCs w:val="18"/>
              </w:rPr>
              <w:t>Escrow Account Regulations and other applicable legislation</w:t>
            </w:r>
            <w:r>
              <w:rPr>
                <w:rFonts w:asciiTheme="minorHAnsi" w:hAnsiTheme="minorHAnsi" w:cstheme="minorHAnsi"/>
                <w:sz w:val="18"/>
                <w:szCs w:val="18"/>
              </w:rPr>
              <w:t>;</w:t>
            </w:r>
            <w:r w:rsidRPr="005C6541">
              <w:rPr>
                <w:rFonts w:asciiTheme="minorHAnsi" w:hAnsiTheme="minorHAnsi" w:cstheme="minorHAnsi"/>
                <w:sz w:val="18"/>
                <w:szCs w:val="18"/>
              </w:rPr>
              <w:t xml:space="preserve"> (c) confirm that collection and distribution of revenues is carried out in accordance with the requirements of the Escrow Account Regulations</w:t>
            </w:r>
            <w:r>
              <w:rPr>
                <w:rFonts w:asciiTheme="minorHAnsi" w:hAnsiTheme="minorHAnsi" w:cstheme="minorHAnsi"/>
                <w:sz w:val="18"/>
                <w:szCs w:val="18"/>
              </w:rPr>
              <w:t xml:space="preserve">; and (d) validate whether cash from other account(s) of BT was prioritized to </w:t>
            </w:r>
            <w:r>
              <w:rPr>
                <w:rFonts w:asciiTheme="minorHAnsi" w:hAnsiTheme="minorHAnsi" w:cstheme="minorHAnsi"/>
                <w:sz w:val="18"/>
                <w:szCs w:val="18"/>
              </w:rPr>
              <w:lastRenderedPageBreak/>
              <w:t>cover the most expensive liabilities of BT including but not limited to servicing of sovereign-guaranteed debt.</w:t>
            </w:r>
          </w:p>
        </w:tc>
      </w:tr>
      <w:tr w:rsidR="00004B73" w:rsidRPr="001B1012" w14:paraId="0620646A" w14:textId="77777777" w:rsidTr="00591244">
        <w:trPr>
          <w:jc w:val="center"/>
        </w:trPr>
        <w:tc>
          <w:tcPr>
            <w:tcW w:w="1090" w:type="pct"/>
          </w:tcPr>
          <w:p w14:paraId="6263F0E8" w14:textId="40F5F4FB" w:rsidR="00004B73" w:rsidRPr="008F6D8F" w:rsidRDefault="00004B73" w:rsidP="00004B73">
            <w:pPr>
              <w:widowControl/>
              <w:autoSpaceDE/>
              <w:autoSpaceDN/>
              <w:adjustRightInd/>
              <w:rPr>
                <w:rFonts w:asciiTheme="minorHAnsi" w:hAnsiTheme="minorHAnsi" w:cstheme="minorHAnsi"/>
                <w:sz w:val="18"/>
                <w:szCs w:val="18"/>
              </w:rPr>
            </w:pPr>
            <w:r w:rsidRPr="008F6D8F">
              <w:rPr>
                <w:rFonts w:asciiTheme="minorHAnsi" w:hAnsiTheme="minorHAnsi" w:cstheme="minorHAnsi"/>
                <w:sz w:val="18"/>
                <w:szCs w:val="18"/>
              </w:rPr>
              <w:lastRenderedPageBreak/>
              <w:t>DLR 11.3: By June 30, 2023, (a) collection and distribution of electricity sector revenues from domestic market are systematically carried out according to the Escrow Account Regulations; and (b) expenditures from other account(s) of BT were prioritized consistent with the existing liabilities including payments on sovereign-guaranteed debt</w:t>
            </w:r>
            <w:r>
              <w:rPr>
                <w:rFonts w:asciiTheme="minorHAnsi" w:hAnsiTheme="minorHAnsi" w:cstheme="minorHAnsi"/>
                <w:sz w:val="18"/>
                <w:szCs w:val="18"/>
              </w:rPr>
              <w:t>.</w:t>
            </w:r>
          </w:p>
        </w:tc>
        <w:tc>
          <w:tcPr>
            <w:tcW w:w="1091" w:type="pct"/>
          </w:tcPr>
          <w:p w14:paraId="2F1DE5CD" w14:textId="3695AFE3" w:rsidR="00004B73" w:rsidRPr="00516811" w:rsidRDefault="00004B73" w:rsidP="00004B73">
            <w:pPr>
              <w:pStyle w:val="BodyText"/>
              <w:widowControl/>
              <w:ind w:left="0"/>
              <w:rPr>
                <w:rFonts w:asciiTheme="minorHAnsi" w:hAnsiTheme="minorHAnsi" w:cstheme="minorHAnsi"/>
                <w:b w:val="0"/>
                <w:bCs w:val="0"/>
                <w:sz w:val="18"/>
                <w:szCs w:val="18"/>
              </w:rPr>
            </w:pPr>
            <w:r w:rsidRPr="00516811">
              <w:rPr>
                <w:rFonts w:asciiTheme="minorHAnsi" w:hAnsiTheme="minorHAnsi" w:cstheme="minorHAnsi"/>
                <w:b w:val="0"/>
                <w:bCs w:val="0"/>
                <w:sz w:val="18"/>
                <w:szCs w:val="18"/>
              </w:rPr>
              <w:t xml:space="preserve">The target will be considered achieved if: (a) collection and distribution of electricity sector revenues from domestic market is carried out according to </w:t>
            </w:r>
            <w:r>
              <w:rPr>
                <w:rFonts w:asciiTheme="minorHAnsi" w:hAnsiTheme="minorHAnsi" w:cstheme="minorHAnsi"/>
                <w:b w:val="0"/>
                <w:bCs w:val="0"/>
                <w:sz w:val="18"/>
                <w:szCs w:val="18"/>
              </w:rPr>
              <w:t>Escrow Account Regulations; and (b) expenditures from all other accounts of BT are prioritized in a way to pay for liabilities with the highest cost for BT.</w:t>
            </w:r>
          </w:p>
          <w:p w14:paraId="2905A411" w14:textId="77777777" w:rsidR="00004B73" w:rsidRPr="001B1012" w:rsidRDefault="00004B73" w:rsidP="00004B73">
            <w:pPr>
              <w:rPr>
                <w:rFonts w:asciiTheme="minorHAnsi" w:hAnsiTheme="minorHAnsi" w:cstheme="minorHAnsi"/>
                <w:sz w:val="18"/>
                <w:szCs w:val="18"/>
              </w:rPr>
            </w:pPr>
          </w:p>
        </w:tc>
        <w:tc>
          <w:tcPr>
            <w:tcW w:w="531" w:type="pct"/>
          </w:tcPr>
          <w:p w14:paraId="5873FBA9" w14:textId="77777777" w:rsidR="00004B73" w:rsidRPr="001B1012" w:rsidRDefault="00004B73" w:rsidP="00004B73">
            <w:pPr>
              <w:rPr>
                <w:rFonts w:asciiTheme="minorHAnsi" w:hAnsiTheme="minorHAnsi" w:cstheme="minorHAnsi"/>
                <w:sz w:val="18"/>
                <w:szCs w:val="18"/>
              </w:rPr>
            </w:pPr>
            <w:r>
              <w:rPr>
                <w:rFonts w:asciiTheme="minorHAnsi" w:hAnsiTheme="minorHAnsi" w:cstheme="minorHAnsi"/>
                <w:sz w:val="18"/>
                <w:szCs w:val="18"/>
              </w:rPr>
              <w:t>No</w:t>
            </w:r>
          </w:p>
        </w:tc>
        <w:tc>
          <w:tcPr>
            <w:tcW w:w="717" w:type="pct"/>
          </w:tcPr>
          <w:p w14:paraId="03E2C2FD" w14:textId="77777777" w:rsidR="00004B73" w:rsidRDefault="00004B73" w:rsidP="00004B73">
            <w:pPr>
              <w:rPr>
                <w:rFonts w:asciiTheme="minorHAnsi" w:hAnsiTheme="minorHAnsi" w:cstheme="minorHAnsi"/>
                <w:sz w:val="18"/>
                <w:szCs w:val="18"/>
              </w:rPr>
            </w:pPr>
            <w:r>
              <w:rPr>
                <w:rFonts w:asciiTheme="minorHAnsi" w:hAnsiTheme="minorHAnsi" w:cstheme="minorHAnsi"/>
                <w:sz w:val="18"/>
                <w:szCs w:val="18"/>
              </w:rPr>
              <w:t>Data source: (a) escrow account financial statements, reports on collected and distributed revenues, expenditures plans submitted by BT to Escrow Account bank; (b) statements from other bank accounts.</w:t>
            </w:r>
          </w:p>
          <w:p w14:paraId="7F81E79B" w14:textId="2D5F106B" w:rsidR="00004B73" w:rsidRPr="001B1012" w:rsidRDefault="00004B73" w:rsidP="00004B73">
            <w:pPr>
              <w:rPr>
                <w:rFonts w:asciiTheme="minorHAnsi" w:hAnsiTheme="minorHAnsi" w:cstheme="minorHAnsi"/>
                <w:sz w:val="18"/>
                <w:szCs w:val="18"/>
              </w:rPr>
            </w:pPr>
            <w:r>
              <w:rPr>
                <w:rFonts w:asciiTheme="minorHAnsi" w:hAnsiTheme="minorHAnsi" w:cstheme="minorHAnsi"/>
                <w:sz w:val="18"/>
                <w:szCs w:val="18"/>
              </w:rPr>
              <w:t>Agency: MEWR</w:t>
            </w:r>
          </w:p>
        </w:tc>
        <w:tc>
          <w:tcPr>
            <w:tcW w:w="624" w:type="pct"/>
          </w:tcPr>
          <w:p w14:paraId="359F2237" w14:textId="77777777" w:rsidR="00004B73" w:rsidRDefault="00004B73" w:rsidP="00004B73">
            <w:pPr>
              <w:rPr>
                <w:rFonts w:asciiTheme="minorHAnsi" w:hAnsiTheme="minorHAnsi" w:cstheme="minorHAnsi"/>
                <w:sz w:val="18"/>
                <w:szCs w:val="18"/>
              </w:rPr>
            </w:pPr>
            <w:r>
              <w:rPr>
                <w:rFonts w:asciiTheme="minorHAnsi" w:hAnsiTheme="minorHAnsi" w:cstheme="minorHAnsi"/>
                <w:sz w:val="18"/>
                <w:szCs w:val="18"/>
              </w:rPr>
              <w:t>Auditor/financial consultant with qualifications and TOR acceptable to the Bank.</w:t>
            </w:r>
          </w:p>
        </w:tc>
        <w:tc>
          <w:tcPr>
            <w:tcW w:w="947" w:type="pct"/>
          </w:tcPr>
          <w:p w14:paraId="34F06A07" w14:textId="77777777" w:rsidR="00004B73" w:rsidRDefault="00004B73" w:rsidP="00004B73">
            <w:pPr>
              <w:rPr>
                <w:rFonts w:asciiTheme="minorHAnsi" w:hAnsiTheme="minorHAnsi" w:cstheme="minorHAnsi"/>
                <w:sz w:val="18"/>
                <w:szCs w:val="18"/>
              </w:rPr>
            </w:pPr>
            <w:r>
              <w:rPr>
                <w:rFonts w:asciiTheme="minorHAnsi" w:hAnsiTheme="minorHAnsi" w:cstheme="minorHAnsi"/>
                <w:sz w:val="18"/>
                <w:szCs w:val="18"/>
              </w:rPr>
              <w:t xml:space="preserve">The IVA will: (a) validate whether the Escrow Account Agreement between the Escrow Account bank and BT, SIB, and STB is effective; (b) confirm whether the minimum required terms and conditions of the Escrow Account Agreement are consistent with the requirements of the </w:t>
            </w:r>
            <w:r w:rsidRPr="005C6541">
              <w:rPr>
                <w:rFonts w:asciiTheme="minorHAnsi" w:hAnsiTheme="minorHAnsi" w:cstheme="minorHAnsi"/>
                <w:sz w:val="18"/>
                <w:szCs w:val="18"/>
              </w:rPr>
              <w:t>Escrow Account Regulations and other applicable legislation</w:t>
            </w:r>
            <w:r>
              <w:rPr>
                <w:rFonts w:asciiTheme="minorHAnsi" w:hAnsiTheme="minorHAnsi" w:cstheme="minorHAnsi"/>
                <w:sz w:val="18"/>
                <w:szCs w:val="18"/>
              </w:rPr>
              <w:t>;</w:t>
            </w:r>
            <w:r w:rsidRPr="005C6541">
              <w:rPr>
                <w:rFonts w:asciiTheme="minorHAnsi" w:hAnsiTheme="minorHAnsi" w:cstheme="minorHAnsi"/>
                <w:sz w:val="18"/>
                <w:szCs w:val="18"/>
              </w:rPr>
              <w:t xml:space="preserve"> (c) confirm that collection and distribution of revenues is carried out in accordance with the requirements of the Escrow Account Regulations</w:t>
            </w:r>
            <w:r>
              <w:rPr>
                <w:rFonts w:asciiTheme="minorHAnsi" w:hAnsiTheme="minorHAnsi" w:cstheme="minorHAnsi"/>
                <w:sz w:val="18"/>
                <w:szCs w:val="18"/>
              </w:rPr>
              <w:t>; and (d) validate whether cash from other account(s) of BT was prioritized to cover the most expensive liabilities of BT.</w:t>
            </w:r>
          </w:p>
        </w:tc>
      </w:tr>
      <w:tr w:rsidR="00004B73" w:rsidRPr="001B1012" w14:paraId="15230734" w14:textId="77777777" w:rsidTr="00866A63">
        <w:trPr>
          <w:jc w:val="center"/>
        </w:trPr>
        <w:tc>
          <w:tcPr>
            <w:tcW w:w="1090" w:type="pct"/>
          </w:tcPr>
          <w:p w14:paraId="23B8F021" w14:textId="6ADD14D9" w:rsidR="00004B73" w:rsidRPr="00AF5CCB" w:rsidRDefault="00004B73" w:rsidP="00004B73">
            <w:pPr>
              <w:widowControl/>
              <w:autoSpaceDE/>
              <w:autoSpaceDN/>
              <w:adjustRightInd/>
              <w:rPr>
                <w:rFonts w:asciiTheme="minorHAnsi" w:hAnsiTheme="minorHAnsi" w:cstheme="minorHAnsi"/>
                <w:sz w:val="18"/>
                <w:szCs w:val="18"/>
              </w:rPr>
            </w:pPr>
            <w:r w:rsidRPr="00AF5CCB">
              <w:rPr>
                <w:rFonts w:asciiTheme="minorHAnsi" w:hAnsiTheme="minorHAnsi" w:cstheme="minorHAnsi"/>
                <w:sz w:val="18"/>
                <w:szCs w:val="18"/>
              </w:rPr>
              <w:t>DLR 11.4: By December 31, 2022, (a) collection and distribution of electricity sector revenues from domestic market are systematically carried out according to the Escrow Account Regulations; and (b) expenditures from other account(s) of BT were prioritized consistent with the existing liabilities including payments on sovereign-guaranteed debt</w:t>
            </w:r>
            <w:r>
              <w:rPr>
                <w:rFonts w:asciiTheme="minorHAnsi" w:hAnsiTheme="minorHAnsi" w:cstheme="minorHAnsi"/>
                <w:sz w:val="18"/>
                <w:szCs w:val="18"/>
              </w:rPr>
              <w:t>.</w:t>
            </w:r>
          </w:p>
        </w:tc>
        <w:tc>
          <w:tcPr>
            <w:tcW w:w="1091" w:type="pct"/>
          </w:tcPr>
          <w:p w14:paraId="08E0EF9E" w14:textId="3A644D4F" w:rsidR="00004B73" w:rsidRPr="00516811" w:rsidRDefault="00004B73" w:rsidP="00004B73">
            <w:pPr>
              <w:pStyle w:val="BodyText"/>
              <w:widowControl/>
              <w:ind w:left="0"/>
              <w:rPr>
                <w:rFonts w:asciiTheme="minorHAnsi" w:hAnsiTheme="minorHAnsi" w:cstheme="minorHAnsi"/>
                <w:b w:val="0"/>
                <w:bCs w:val="0"/>
                <w:sz w:val="18"/>
                <w:szCs w:val="18"/>
              </w:rPr>
            </w:pPr>
            <w:r w:rsidRPr="00516811">
              <w:rPr>
                <w:rFonts w:asciiTheme="minorHAnsi" w:hAnsiTheme="minorHAnsi" w:cstheme="minorHAnsi"/>
                <w:b w:val="0"/>
                <w:bCs w:val="0"/>
                <w:sz w:val="18"/>
                <w:szCs w:val="18"/>
              </w:rPr>
              <w:t xml:space="preserve">The target will be considered achieved if: (a) collection and distribution of electricity sector revenues from domestic market is carried out according to </w:t>
            </w:r>
            <w:r>
              <w:rPr>
                <w:rFonts w:asciiTheme="minorHAnsi" w:hAnsiTheme="minorHAnsi" w:cstheme="minorHAnsi"/>
                <w:b w:val="0"/>
                <w:bCs w:val="0"/>
                <w:sz w:val="18"/>
                <w:szCs w:val="18"/>
              </w:rPr>
              <w:t>Escrow Account Regulations; and (b) expenditures from all other accounts of BT are prioritized in a way to pay for liabilities with the highest cost for BT.</w:t>
            </w:r>
          </w:p>
          <w:p w14:paraId="38553AC5" w14:textId="77777777" w:rsidR="00004B73" w:rsidRPr="001B1012" w:rsidRDefault="00004B73" w:rsidP="00004B73">
            <w:pPr>
              <w:rPr>
                <w:rFonts w:asciiTheme="minorHAnsi" w:hAnsiTheme="minorHAnsi" w:cstheme="minorHAnsi"/>
                <w:sz w:val="18"/>
                <w:szCs w:val="18"/>
              </w:rPr>
            </w:pPr>
          </w:p>
        </w:tc>
        <w:tc>
          <w:tcPr>
            <w:tcW w:w="531" w:type="pct"/>
          </w:tcPr>
          <w:p w14:paraId="38BC5E26" w14:textId="77777777" w:rsidR="00004B73" w:rsidRPr="001B1012" w:rsidRDefault="00004B73" w:rsidP="00004B73">
            <w:pPr>
              <w:rPr>
                <w:rFonts w:asciiTheme="minorHAnsi" w:hAnsiTheme="minorHAnsi" w:cstheme="minorHAnsi"/>
                <w:sz w:val="18"/>
                <w:szCs w:val="18"/>
              </w:rPr>
            </w:pPr>
            <w:r>
              <w:rPr>
                <w:rFonts w:asciiTheme="minorHAnsi" w:hAnsiTheme="minorHAnsi" w:cstheme="minorHAnsi"/>
                <w:sz w:val="18"/>
                <w:szCs w:val="18"/>
              </w:rPr>
              <w:t>No</w:t>
            </w:r>
          </w:p>
        </w:tc>
        <w:tc>
          <w:tcPr>
            <w:tcW w:w="717" w:type="pct"/>
          </w:tcPr>
          <w:p w14:paraId="6475DCBE" w14:textId="77777777" w:rsidR="00004B73" w:rsidRDefault="00004B73" w:rsidP="00004B73">
            <w:pPr>
              <w:rPr>
                <w:rFonts w:asciiTheme="minorHAnsi" w:hAnsiTheme="minorHAnsi" w:cstheme="minorHAnsi"/>
                <w:sz w:val="18"/>
                <w:szCs w:val="18"/>
              </w:rPr>
            </w:pPr>
            <w:r>
              <w:rPr>
                <w:rFonts w:asciiTheme="minorHAnsi" w:hAnsiTheme="minorHAnsi" w:cstheme="minorHAnsi"/>
                <w:sz w:val="18"/>
                <w:szCs w:val="18"/>
              </w:rPr>
              <w:t>Data source: (a) escrow account financial statements, reports on collected and distributed revenues, expenditures plans submitted by BT to Escrow Account bank; (b) statements from other bank accounts.</w:t>
            </w:r>
          </w:p>
          <w:p w14:paraId="716B11A1" w14:textId="18A249E1" w:rsidR="00004B73" w:rsidRPr="001B1012" w:rsidRDefault="00004B73" w:rsidP="00004B73">
            <w:pPr>
              <w:rPr>
                <w:rFonts w:asciiTheme="minorHAnsi" w:hAnsiTheme="minorHAnsi" w:cstheme="minorHAnsi"/>
                <w:sz w:val="18"/>
                <w:szCs w:val="18"/>
              </w:rPr>
            </w:pPr>
            <w:r>
              <w:rPr>
                <w:rFonts w:asciiTheme="minorHAnsi" w:hAnsiTheme="minorHAnsi" w:cstheme="minorHAnsi"/>
                <w:sz w:val="18"/>
                <w:szCs w:val="18"/>
              </w:rPr>
              <w:t>Agency: MEWR</w:t>
            </w:r>
          </w:p>
        </w:tc>
        <w:tc>
          <w:tcPr>
            <w:tcW w:w="624" w:type="pct"/>
          </w:tcPr>
          <w:p w14:paraId="33902E86" w14:textId="77777777" w:rsidR="00004B73" w:rsidRDefault="00004B73" w:rsidP="00004B73">
            <w:pPr>
              <w:rPr>
                <w:rFonts w:asciiTheme="minorHAnsi" w:hAnsiTheme="minorHAnsi" w:cstheme="minorHAnsi"/>
                <w:sz w:val="18"/>
                <w:szCs w:val="18"/>
              </w:rPr>
            </w:pPr>
            <w:r>
              <w:rPr>
                <w:rFonts w:asciiTheme="minorHAnsi" w:hAnsiTheme="minorHAnsi" w:cstheme="minorHAnsi"/>
                <w:sz w:val="18"/>
                <w:szCs w:val="18"/>
              </w:rPr>
              <w:t>Auditor/financial consultant with qualifications and TOR acceptable to the Bank.</w:t>
            </w:r>
          </w:p>
        </w:tc>
        <w:tc>
          <w:tcPr>
            <w:tcW w:w="947" w:type="pct"/>
          </w:tcPr>
          <w:p w14:paraId="3D5586D9" w14:textId="77777777" w:rsidR="00004B73" w:rsidRDefault="00004B73" w:rsidP="00004B73">
            <w:pPr>
              <w:rPr>
                <w:rFonts w:asciiTheme="minorHAnsi" w:hAnsiTheme="minorHAnsi" w:cstheme="minorHAnsi"/>
                <w:sz w:val="18"/>
                <w:szCs w:val="18"/>
              </w:rPr>
            </w:pPr>
            <w:r>
              <w:rPr>
                <w:rFonts w:asciiTheme="minorHAnsi" w:hAnsiTheme="minorHAnsi" w:cstheme="minorHAnsi"/>
                <w:sz w:val="18"/>
                <w:szCs w:val="18"/>
              </w:rPr>
              <w:t xml:space="preserve">The IVA will: (a) validate whether the Escrow Account Agreement between the Escrow Account bank and BT, SIB, and STB is effective; (b) confirm whether the minimum required terms and conditions of the Escrow Account Agreement are consistent with the requirements of the </w:t>
            </w:r>
            <w:r w:rsidRPr="005C6541">
              <w:rPr>
                <w:rFonts w:asciiTheme="minorHAnsi" w:hAnsiTheme="minorHAnsi" w:cstheme="minorHAnsi"/>
                <w:sz w:val="18"/>
                <w:szCs w:val="18"/>
              </w:rPr>
              <w:t>Escrow Account Regulations and other applicable legislation</w:t>
            </w:r>
            <w:r>
              <w:rPr>
                <w:rFonts w:asciiTheme="minorHAnsi" w:hAnsiTheme="minorHAnsi" w:cstheme="minorHAnsi"/>
                <w:sz w:val="18"/>
                <w:szCs w:val="18"/>
              </w:rPr>
              <w:t>;</w:t>
            </w:r>
            <w:r w:rsidRPr="005C6541">
              <w:rPr>
                <w:rFonts w:asciiTheme="minorHAnsi" w:hAnsiTheme="minorHAnsi" w:cstheme="minorHAnsi"/>
                <w:sz w:val="18"/>
                <w:szCs w:val="18"/>
              </w:rPr>
              <w:t xml:space="preserve"> (c) confirm that collection and distribution of </w:t>
            </w:r>
            <w:r w:rsidRPr="005C6541">
              <w:rPr>
                <w:rFonts w:asciiTheme="minorHAnsi" w:hAnsiTheme="minorHAnsi" w:cstheme="minorHAnsi"/>
                <w:sz w:val="18"/>
                <w:szCs w:val="18"/>
              </w:rPr>
              <w:lastRenderedPageBreak/>
              <w:t>revenues is carried out in accordance with the requirements of the Escrow Account Regulations</w:t>
            </w:r>
            <w:r>
              <w:rPr>
                <w:rFonts w:asciiTheme="minorHAnsi" w:hAnsiTheme="minorHAnsi" w:cstheme="minorHAnsi"/>
                <w:sz w:val="18"/>
                <w:szCs w:val="18"/>
              </w:rPr>
              <w:t>; and (d) validate whether cash from other account(s) of BT was prioritized to cover the most expensive liabilities of BT.</w:t>
            </w:r>
          </w:p>
        </w:tc>
      </w:tr>
      <w:tr w:rsidR="00004B73" w:rsidRPr="001B1012" w14:paraId="6E7855F4" w14:textId="77777777" w:rsidTr="00866A63">
        <w:trPr>
          <w:jc w:val="center"/>
        </w:trPr>
        <w:tc>
          <w:tcPr>
            <w:tcW w:w="1090" w:type="pct"/>
          </w:tcPr>
          <w:p w14:paraId="7BD81D98" w14:textId="7338BC75" w:rsidR="00004B73" w:rsidRPr="00AF5CCB" w:rsidRDefault="00004B73" w:rsidP="00004B73">
            <w:pPr>
              <w:widowControl/>
              <w:autoSpaceDE/>
              <w:autoSpaceDN/>
              <w:adjustRightInd/>
              <w:rPr>
                <w:rFonts w:asciiTheme="minorHAnsi" w:hAnsiTheme="minorHAnsi" w:cstheme="minorHAnsi"/>
                <w:sz w:val="18"/>
                <w:szCs w:val="18"/>
              </w:rPr>
            </w:pPr>
            <w:r w:rsidRPr="00AF5CCB">
              <w:rPr>
                <w:rFonts w:asciiTheme="minorHAnsi" w:hAnsiTheme="minorHAnsi" w:cstheme="minorHAnsi"/>
                <w:sz w:val="18"/>
                <w:szCs w:val="18"/>
              </w:rPr>
              <w:lastRenderedPageBreak/>
              <w:t>DLR 11.5: By June 30, 2024, (a) collection and distribution of electricity sector revenues from domestic market are systematically carried out according to the Escrow Account Regulations; and (b) expenditures from other account(s) of BT were prioritized consistent with the existing liabilities including payments on sovereign-guaranteed debt</w:t>
            </w:r>
            <w:r>
              <w:rPr>
                <w:rFonts w:asciiTheme="minorHAnsi" w:hAnsiTheme="minorHAnsi" w:cstheme="minorHAnsi"/>
                <w:sz w:val="18"/>
                <w:szCs w:val="18"/>
              </w:rPr>
              <w:t>.</w:t>
            </w:r>
          </w:p>
        </w:tc>
        <w:tc>
          <w:tcPr>
            <w:tcW w:w="1091" w:type="pct"/>
          </w:tcPr>
          <w:p w14:paraId="2CF449E7" w14:textId="373A6C22" w:rsidR="00004B73" w:rsidRPr="00516811" w:rsidRDefault="00004B73" w:rsidP="00004B73">
            <w:pPr>
              <w:pStyle w:val="BodyText"/>
              <w:widowControl/>
              <w:ind w:left="0"/>
              <w:rPr>
                <w:rFonts w:asciiTheme="minorHAnsi" w:hAnsiTheme="minorHAnsi" w:cstheme="minorHAnsi"/>
                <w:b w:val="0"/>
                <w:bCs w:val="0"/>
                <w:sz w:val="18"/>
                <w:szCs w:val="18"/>
              </w:rPr>
            </w:pPr>
            <w:r w:rsidRPr="00516811">
              <w:rPr>
                <w:rFonts w:asciiTheme="minorHAnsi" w:hAnsiTheme="minorHAnsi" w:cstheme="minorHAnsi"/>
                <w:b w:val="0"/>
                <w:bCs w:val="0"/>
                <w:sz w:val="18"/>
                <w:szCs w:val="18"/>
              </w:rPr>
              <w:t xml:space="preserve">The target will be considered achieved if: (a) collection and distribution of electricity sector revenues from domestic market is carried out according to </w:t>
            </w:r>
            <w:r>
              <w:rPr>
                <w:rFonts w:asciiTheme="minorHAnsi" w:hAnsiTheme="minorHAnsi" w:cstheme="minorHAnsi"/>
                <w:b w:val="0"/>
                <w:bCs w:val="0"/>
                <w:sz w:val="18"/>
                <w:szCs w:val="18"/>
              </w:rPr>
              <w:t>Escrow Account Regulations; and (b) expenditures from all other accounts of BT are prioritized in a way to pay for liabilities with the highest cost for BT.</w:t>
            </w:r>
          </w:p>
          <w:p w14:paraId="32C3FC29" w14:textId="77777777" w:rsidR="00004B73" w:rsidRPr="001B1012" w:rsidRDefault="00004B73" w:rsidP="00004B73">
            <w:pPr>
              <w:rPr>
                <w:rFonts w:asciiTheme="minorHAnsi" w:hAnsiTheme="minorHAnsi" w:cstheme="minorHAnsi"/>
                <w:sz w:val="18"/>
                <w:szCs w:val="18"/>
              </w:rPr>
            </w:pPr>
          </w:p>
        </w:tc>
        <w:tc>
          <w:tcPr>
            <w:tcW w:w="531" w:type="pct"/>
          </w:tcPr>
          <w:p w14:paraId="23AD712F" w14:textId="77777777" w:rsidR="00004B73" w:rsidRPr="001B1012" w:rsidRDefault="00004B73" w:rsidP="00004B73">
            <w:pPr>
              <w:rPr>
                <w:rFonts w:asciiTheme="minorHAnsi" w:hAnsiTheme="minorHAnsi" w:cstheme="minorHAnsi"/>
                <w:sz w:val="18"/>
                <w:szCs w:val="18"/>
              </w:rPr>
            </w:pPr>
            <w:r>
              <w:rPr>
                <w:rFonts w:asciiTheme="minorHAnsi" w:hAnsiTheme="minorHAnsi" w:cstheme="minorHAnsi"/>
                <w:sz w:val="18"/>
                <w:szCs w:val="18"/>
              </w:rPr>
              <w:t>No</w:t>
            </w:r>
          </w:p>
        </w:tc>
        <w:tc>
          <w:tcPr>
            <w:tcW w:w="717" w:type="pct"/>
          </w:tcPr>
          <w:p w14:paraId="2565EFF6" w14:textId="77777777" w:rsidR="00004B73" w:rsidRDefault="00004B73" w:rsidP="00004B73">
            <w:pPr>
              <w:rPr>
                <w:rFonts w:asciiTheme="minorHAnsi" w:hAnsiTheme="minorHAnsi" w:cstheme="minorHAnsi"/>
                <w:sz w:val="18"/>
                <w:szCs w:val="18"/>
              </w:rPr>
            </w:pPr>
            <w:r>
              <w:rPr>
                <w:rFonts w:asciiTheme="minorHAnsi" w:hAnsiTheme="minorHAnsi" w:cstheme="minorHAnsi"/>
                <w:sz w:val="18"/>
                <w:szCs w:val="18"/>
              </w:rPr>
              <w:t>Data source: (a) escrow account financial statements, reports on collected and distributed revenues, expenditures plans submitted by BT to Escrow Account bank; (b) statements from other bank accounts.</w:t>
            </w:r>
          </w:p>
          <w:p w14:paraId="42FC39C4" w14:textId="52B383B0" w:rsidR="00004B73" w:rsidRPr="001B1012" w:rsidRDefault="00004B73" w:rsidP="00004B73">
            <w:pPr>
              <w:rPr>
                <w:rFonts w:asciiTheme="minorHAnsi" w:hAnsiTheme="minorHAnsi" w:cstheme="minorHAnsi"/>
                <w:sz w:val="18"/>
                <w:szCs w:val="18"/>
              </w:rPr>
            </w:pPr>
            <w:r>
              <w:rPr>
                <w:rFonts w:asciiTheme="minorHAnsi" w:hAnsiTheme="minorHAnsi" w:cstheme="minorHAnsi"/>
                <w:sz w:val="18"/>
                <w:szCs w:val="18"/>
              </w:rPr>
              <w:t>Agency: MEWR</w:t>
            </w:r>
          </w:p>
        </w:tc>
        <w:tc>
          <w:tcPr>
            <w:tcW w:w="624" w:type="pct"/>
          </w:tcPr>
          <w:p w14:paraId="6140FC21" w14:textId="77777777" w:rsidR="00004B73" w:rsidRDefault="00004B73" w:rsidP="00004B73">
            <w:pPr>
              <w:rPr>
                <w:rFonts w:asciiTheme="minorHAnsi" w:hAnsiTheme="minorHAnsi" w:cstheme="minorHAnsi"/>
                <w:sz w:val="18"/>
                <w:szCs w:val="18"/>
              </w:rPr>
            </w:pPr>
            <w:r>
              <w:rPr>
                <w:rFonts w:asciiTheme="minorHAnsi" w:hAnsiTheme="minorHAnsi" w:cstheme="minorHAnsi"/>
                <w:sz w:val="18"/>
                <w:szCs w:val="18"/>
              </w:rPr>
              <w:t>Auditor/financial consultant with qualifications and TOR acceptable to the Bank.</w:t>
            </w:r>
          </w:p>
        </w:tc>
        <w:tc>
          <w:tcPr>
            <w:tcW w:w="947" w:type="pct"/>
          </w:tcPr>
          <w:p w14:paraId="1515555C" w14:textId="77777777" w:rsidR="00004B73" w:rsidRDefault="00004B73" w:rsidP="00004B73">
            <w:pPr>
              <w:rPr>
                <w:rFonts w:asciiTheme="minorHAnsi" w:hAnsiTheme="minorHAnsi" w:cstheme="minorHAnsi"/>
                <w:sz w:val="18"/>
                <w:szCs w:val="18"/>
              </w:rPr>
            </w:pPr>
            <w:r>
              <w:rPr>
                <w:rFonts w:asciiTheme="minorHAnsi" w:hAnsiTheme="minorHAnsi" w:cstheme="minorHAnsi"/>
                <w:sz w:val="18"/>
                <w:szCs w:val="18"/>
              </w:rPr>
              <w:t xml:space="preserve">The IVA will: (a) validate whether the Escrow Account Agreement between the Escrow Account bank and BT, SIB, and STB is effective; (b) confirm whether the minimum required terms and conditions of the Escrow Account Agreement are consistent with the requirements of the </w:t>
            </w:r>
            <w:r w:rsidRPr="005C6541">
              <w:rPr>
                <w:rFonts w:asciiTheme="minorHAnsi" w:hAnsiTheme="minorHAnsi" w:cstheme="minorHAnsi"/>
                <w:sz w:val="18"/>
                <w:szCs w:val="18"/>
              </w:rPr>
              <w:t>Escrow Account Regulations and other applicable legislation</w:t>
            </w:r>
            <w:r>
              <w:rPr>
                <w:rFonts w:asciiTheme="minorHAnsi" w:hAnsiTheme="minorHAnsi" w:cstheme="minorHAnsi"/>
                <w:sz w:val="18"/>
                <w:szCs w:val="18"/>
              </w:rPr>
              <w:t>;</w:t>
            </w:r>
            <w:r w:rsidRPr="005C6541">
              <w:rPr>
                <w:rFonts w:asciiTheme="minorHAnsi" w:hAnsiTheme="minorHAnsi" w:cstheme="minorHAnsi"/>
                <w:sz w:val="18"/>
                <w:szCs w:val="18"/>
              </w:rPr>
              <w:t xml:space="preserve"> (c) confirm that collection and distribution of revenues is carried out in accordance with the requirements of the Escrow Account Regulations</w:t>
            </w:r>
            <w:r>
              <w:rPr>
                <w:rFonts w:asciiTheme="minorHAnsi" w:hAnsiTheme="minorHAnsi" w:cstheme="minorHAnsi"/>
                <w:sz w:val="18"/>
                <w:szCs w:val="18"/>
              </w:rPr>
              <w:t>; and (d) validate whether cash from other account(s) of BT was prioritized to cover the most expensive liabilities of BT.</w:t>
            </w:r>
          </w:p>
        </w:tc>
      </w:tr>
      <w:tr w:rsidR="00004B73" w:rsidRPr="001B1012" w14:paraId="69041396" w14:textId="77777777" w:rsidTr="00866A63">
        <w:trPr>
          <w:jc w:val="center"/>
        </w:trPr>
        <w:tc>
          <w:tcPr>
            <w:tcW w:w="1090" w:type="pct"/>
          </w:tcPr>
          <w:p w14:paraId="19865FF0" w14:textId="2D91762E" w:rsidR="00004B73" w:rsidRPr="00AF5CCB" w:rsidRDefault="00004B73" w:rsidP="00004B73">
            <w:pPr>
              <w:widowControl/>
              <w:autoSpaceDE/>
              <w:autoSpaceDN/>
              <w:adjustRightInd/>
              <w:rPr>
                <w:rFonts w:asciiTheme="minorHAnsi" w:hAnsiTheme="minorHAnsi" w:cstheme="minorHAnsi"/>
                <w:sz w:val="18"/>
                <w:szCs w:val="18"/>
              </w:rPr>
            </w:pPr>
            <w:r w:rsidRPr="00AF5CCB">
              <w:rPr>
                <w:rFonts w:asciiTheme="minorHAnsi" w:hAnsiTheme="minorHAnsi" w:cstheme="minorHAnsi"/>
                <w:sz w:val="18"/>
                <w:szCs w:val="18"/>
              </w:rPr>
              <w:t xml:space="preserve">DLR 11.6: By December 31, 2024, (a) collection and distribution of electricity sector revenues from domestic market are systematically carried out according to the Escrow Account Regulations; and (b) expenditures from other account(s) of BT were prioritized consistent with the existing liabilities including </w:t>
            </w:r>
            <w:r w:rsidRPr="00AF5CCB">
              <w:rPr>
                <w:rFonts w:asciiTheme="minorHAnsi" w:hAnsiTheme="minorHAnsi" w:cstheme="minorHAnsi"/>
                <w:sz w:val="18"/>
                <w:szCs w:val="18"/>
              </w:rPr>
              <w:lastRenderedPageBreak/>
              <w:t>payments on sovereign-guaranteed debt</w:t>
            </w:r>
            <w:r>
              <w:rPr>
                <w:rFonts w:asciiTheme="minorHAnsi" w:hAnsiTheme="minorHAnsi" w:cstheme="minorHAnsi"/>
                <w:sz w:val="18"/>
                <w:szCs w:val="18"/>
              </w:rPr>
              <w:t>.</w:t>
            </w:r>
          </w:p>
        </w:tc>
        <w:tc>
          <w:tcPr>
            <w:tcW w:w="1091" w:type="pct"/>
          </w:tcPr>
          <w:p w14:paraId="531B3C0C" w14:textId="04EDAA9E" w:rsidR="00004B73" w:rsidRPr="00516811" w:rsidRDefault="00004B73" w:rsidP="00004B73">
            <w:pPr>
              <w:pStyle w:val="BodyText"/>
              <w:widowControl/>
              <w:ind w:left="0"/>
              <w:rPr>
                <w:rFonts w:asciiTheme="minorHAnsi" w:hAnsiTheme="minorHAnsi" w:cstheme="minorHAnsi"/>
                <w:b w:val="0"/>
                <w:bCs w:val="0"/>
                <w:sz w:val="18"/>
                <w:szCs w:val="18"/>
              </w:rPr>
            </w:pPr>
            <w:r w:rsidRPr="00516811">
              <w:rPr>
                <w:rFonts w:asciiTheme="minorHAnsi" w:hAnsiTheme="minorHAnsi" w:cstheme="minorHAnsi"/>
                <w:b w:val="0"/>
                <w:bCs w:val="0"/>
                <w:sz w:val="18"/>
                <w:szCs w:val="18"/>
              </w:rPr>
              <w:lastRenderedPageBreak/>
              <w:t xml:space="preserve">The target will be considered achieved if: (a) collection and distribution of electricity sector revenues from domestic market is carried out according to </w:t>
            </w:r>
            <w:r>
              <w:rPr>
                <w:rFonts w:asciiTheme="minorHAnsi" w:hAnsiTheme="minorHAnsi" w:cstheme="minorHAnsi"/>
                <w:b w:val="0"/>
                <w:bCs w:val="0"/>
                <w:sz w:val="18"/>
                <w:szCs w:val="18"/>
              </w:rPr>
              <w:t xml:space="preserve">Escrow Account Regulations; and (b) expenditures from all other accounts of BT are prioritized </w:t>
            </w:r>
            <w:r>
              <w:rPr>
                <w:rFonts w:asciiTheme="minorHAnsi" w:hAnsiTheme="minorHAnsi" w:cstheme="minorHAnsi"/>
                <w:b w:val="0"/>
                <w:bCs w:val="0"/>
                <w:sz w:val="18"/>
                <w:szCs w:val="18"/>
              </w:rPr>
              <w:lastRenderedPageBreak/>
              <w:t>in a way to pay for liabilities with the highest cost for BT.</w:t>
            </w:r>
          </w:p>
          <w:p w14:paraId="56DB8B99" w14:textId="77777777" w:rsidR="00004B73" w:rsidRPr="001B1012" w:rsidRDefault="00004B73" w:rsidP="00004B73">
            <w:pPr>
              <w:rPr>
                <w:rFonts w:asciiTheme="minorHAnsi" w:hAnsiTheme="minorHAnsi" w:cstheme="minorHAnsi"/>
                <w:sz w:val="18"/>
                <w:szCs w:val="18"/>
              </w:rPr>
            </w:pPr>
          </w:p>
        </w:tc>
        <w:tc>
          <w:tcPr>
            <w:tcW w:w="531" w:type="pct"/>
          </w:tcPr>
          <w:p w14:paraId="3F87545C" w14:textId="77777777" w:rsidR="00004B73" w:rsidRPr="001B1012" w:rsidRDefault="00004B73" w:rsidP="00004B73">
            <w:pPr>
              <w:rPr>
                <w:rFonts w:asciiTheme="minorHAnsi" w:hAnsiTheme="minorHAnsi" w:cstheme="minorHAnsi"/>
                <w:sz w:val="18"/>
                <w:szCs w:val="18"/>
              </w:rPr>
            </w:pPr>
            <w:r>
              <w:rPr>
                <w:rFonts w:asciiTheme="minorHAnsi" w:hAnsiTheme="minorHAnsi" w:cstheme="minorHAnsi"/>
                <w:sz w:val="18"/>
                <w:szCs w:val="18"/>
              </w:rPr>
              <w:lastRenderedPageBreak/>
              <w:t>No</w:t>
            </w:r>
          </w:p>
        </w:tc>
        <w:tc>
          <w:tcPr>
            <w:tcW w:w="717" w:type="pct"/>
          </w:tcPr>
          <w:p w14:paraId="1D4F1ACE" w14:textId="77777777" w:rsidR="00004B73" w:rsidRDefault="00004B73" w:rsidP="00004B73">
            <w:pPr>
              <w:rPr>
                <w:rFonts w:asciiTheme="minorHAnsi" w:hAnsiTheme="minorHAnsi" w:cstheme="minorHAnsi"/>
                <w:sz w:val="18"/>
                <w:szCs w:val="18"/>
              </w:rPr>
            </w:pPr>
            <w:r>
              <w:rPr>
                <w:rFonts w:asciiTheme="minorHAnsi" w:hAnsiTheme="minorHAnsi" w:cstheme="minorHAnsi"/>
                <w:sz w:val="18"/>
                <w:szCs w:val="18"/>
              </w:rPr>
              <w:t xml:space="preserve">Data source: (a) escrow account financial statements, reports on collected and distributed revenues, expenditures plans submitted by BT to Escrow Account bank; (b) statements from other </w:t>
            </w:r>
            <w:r>
              <w:rPr>
                <w:rFonts w:asciiTheme="minorHAnsi" w:hAnsiTheme="minorHAnsi" w:cstheme="minorHAnsi"/>
                <w:sz w:val="18"/>
                <w:szCs w:val="18"/>
              </w:rPr>
              <w:lastRenderedPageBreak/>
              <w:t>bank accounts.</w:t>
            </w:r>
          </w:p>
          <w:p w14:paraId="5BC58355" w14:textId="7EC406B5" w:rsidR="00004B73" w:rsidRPr="001B1012" w:rsidRDefault="00004B73" w:rsidP="00004B73">
            <w:pPr>
              <w:rPr>
                <w:rFonts w:asciiTheme="minorHAnsi" w:hAnsiTheme="minorHAnsi" w:cstheme="minorHAnsi"/>
                <w:sz w:val="18"/>
                <w:szCs w:val="18"/>
              </w:rPr>
            </w:pPr>
            <w:r>
              <w:rPr>
                <w:rFonts w:asciiTheme="minorHAnsi" w:hAnsiTheme="minorHAnsi" w:cstheme="minorHAnsi"/>
                <w:sz w:val="18"/>
                <w:szCs w:val="18"/>
              </w:rPr>
              <w:t>Agency: MEWR</w:t>
            </w:r>
          </w:p>
        </w:tc>
        <w:tc>
          <w:tcPr>
            <w:tcW w:w="624" w:type="pct"/>
          </w:tcPr>
          <w:p w14:paraId="434C416D" w14:textId="77777777" w:rsidR="00004B73" w:rsidRDefault="00004B73" w:rsidP="00004B73">
            <w:pPr>
              <w:rPr>
                <w:rFonts w:asciiTheme="minorHAnsi" w:hAnsiTheme="minorHAnsi" w:cstheme="minorHAnsi"/>
                <w:sz w:val="18"/>
                <w:szCs w:val="18"/>
              </w:rPr>
            </w:pPr>
            <w:r>
              <w:rPr>
                <w:rFonts w:asciiTheme="minorHAnsi" w:hAnsiTheme="minorHAnsi" w:cstheme="minorHAnsi"/>
                <w:sz w:val="18"/>
                <w:szCs w:val="18"/>
              </w:rPr>
              <w:lastRenderedPageBreak/>
              <w:t>Auditor/financial consultant with qualifications and TOR acceptable to the Bank.</w:t>
            </w:r>
          </w:p>
        </w:tc>
        <w:tc>
          <w:tcPr>
            <w:tcW w:w="947" w:type="pct"/>
          </w:tcPr>
          <w:p w14:paraId="5F76BB80" w14:textId="77777777" w:rsidR="00004B73" w:rsidRDefault="00004B73" w:rsidP="00004B73">
            <w:pPr>
              <w:rPr>
                <w:rFonts w:asciiTheme="minorHAnsi" w:hAnsiTheme="minorHAnsi" w:cstheme="minorHAnsi"/>
                <w:sz w:val="18"/>
                <w:szCs w:val="18"/>
              </w:rPr>
            </w:pPr>
            <w:r>
              <w:rPr>
                <w:rFonts w:asciiTheme="minorHAnsi" w:hAnsiTheme="minorHAnsi" w:cstheme="minorHAnsi"/>
                <w:sz w:val="18"/>
                <w:szCs w:val="18"/>
              </w:rPr>
              <w:t xml:space="preserve">The IVA will: (a) validate whether the Escrow Account Agreement between the Escrow Account bank and BT, SIB, and STB is effective; (b) confirm whether the minimum required terms and conditions of the Escrow Account Agreement are consistent with </w:t>
            </w:r>
            <w:r>
              <w:rPr>
                <w:rFonts w:asciiTheme="minorHAnsi" w:hAnsiTheme="minorHAnsi" w:cstheme="minorHAnsi"/>
                <w:sz w:val="18"/>
                <w:szCs w:val="18"/>
              </w:rPr>
              <w:lastRenderedPageBreak/>
              <w:t xml:space="preserve">the requirements of the </w:t>
            </w:r>
            <w:r w:rsidRPr="005C6541">
              <w:rPr>
                <w:rFonts w:asciiTheme="minorHAnsi" w:hAnsiTheme="minorHAnsi" w:cstheme="minorHAnsi"/>
                <w:sz w:val="18"/>
                <w:szCs w:val="18"/>
              </w:rPr>
              <w:t>Escrow Account Regulations and other applicable legislation</w:t>
            </w:r>
            <w:r>
              <w:rPr>
                <w:rFonts w:asciiTheme="minorHAnsi" w:hAnsiTheme="minorHAnsi" w:cstheme="minorHAnsi"/>
                <w:sz w:val="18"/>
                <w:szCs w:val="18"/>
              </w:rPr>
              <w:t>;</w:t>
            </w:r>
            <w:r w:rsidRPr="005C6541">
              <w:rPr>
                <w:rFonts w:asciiTheme="minorHAnsi" w:hAnsiTheme="minorHAnsi" w:cstheme="minorHAnsi"/>
                <w:sz w:val="18"/>
                <w:szCs w:val="18"/>
              </w:rPr>
              <w:t xml:space="preserve"> (c) confirm that collection and distribution of revenues is carried out in accordance with the requirements of the Escrow Account Regulations</w:t>
            </w:r>
            <w:r>
              <w:rPr>
                <w:rFonts w:asciiTheme="minorHAnsi" w:hAnsiTheme="minorHAnsi" w:cstheme="minorHAnsi"/>
                <w:sz w:val="18"/>
                <w:szCs w:val="18"/>
              </w:rPr>
              <w:t>; and (d) validate whether cash from other account(s) of BT was prioritized to cover the most expensive liabilities of BT.</w:t>
            </w:r>
          </w:p>
        </w:tc>
      </w:tr>
      <w:tr w:rsidR="00004B73" w:rsidRPr="001B1012" w14:paraId="22E33197" w14:textId="77777777" w:rsidTr="00866A63">
        <w:trPr>
          <w:jc w:val="center"/>
        </w:trPr>
        <w:tc>
          <w:tcPr>
            <w:tcW w:w="1090" w:type="pct"/>
          </w:tcPr>
          <w:p w14:paraId="5C704585" w14:textId="34CC19AC" w:rsidR="00004B73" w:rsidRPr="00D37E11" w:rsidRDefault="00004B73" w:rsidP="00004B73">
            <w:pPr>
              <w:widowControl/>
              <w:autoSpaceDE/>
              <w:autoSpaceDN/>
              <w:adjustRightInd/>
              <w:rPr>
                <w:rFonts w:asciiTheme="minorHAnsi" w:hAnsiTheme="minorHAnsi" w:cstheme="minorHAnsi"/>
                <w:sz w:val="18"/>
                <w:szCs w:val="18"/>
              </w:rPr>
            </w:pPr>
            <w:r w:rsidRPr="00004B73">
              <w:rPr>
                <w:rFonts w:asciiTheme="minorHAnsi" w:hAnsiTheme="minorHAnsi" w:cstheme="minorHAnsi"/>
                <w:sz w:val="18"/>
                <w:szCs w:val="18"/>
              </w:rPr>
              <w:lastRenderedPageBreak/>
              <w:t>DLR 11.7: By December 31, 2025, (a) collection and distribution of electricity sector revenues from domestic market are systematically carried out according to the Escrow Account Regulations; and (b) expenditures from other account(s) of BT were prioritized consistent with the existing liabilities including payments on sovereign-guaranteed debt</w:t>
            </w:r>
          </w:p>
        </w:tc>
        <w:tc>
          <w:tcPr>
            <w:tcW w:w="1091" w:type="pct"/>
          </w:tcPr>
          <w:p w14:paraId="5A27EBF6" w14:textId="0038B636" w:rsidR="00004B73" w:rsidRPr="00516811" w:rsidRDefault="00004B73" w:rsidP="00004B73">
            <w:pPr>
              <w:pStyle w:val="BodyText"/>
              <w:widowControl/>
              <w:ind w:left="0"/>
              <w:rPr>
                <w:rFonts w:asciiTheme="minorHAnsi" w:hAnsiTheme="minorHAnsi" w:cstheme="minorHAnsi"/>
                <w:b w:val="0"/>
                <w:bCs w:val="0"/>
                <w:sz w:val="18"/>
                <w:szCs w:val="18"/>
              </w:rPr>
            </w:pPr>
            <w:r w:rsidRPr="00516811">
              <w:rPr>
                <w:rFonts w:asciiTheme="minorHAnsi" w:hAnsiTheme="minorHAnsi" w:cstheme="minorHAnsi"/>
                <w:b w:val="0"/>
                <w:bCs w:val="0"/>
                <w:sz w:val="18"/>
                <w:szCs w:val="18"/>
              </w:rPr>
              <w:t xml:space="preserve">The target will be considered achieved if: (a) collection and distribution of electricity sector revenues from domestic market is carried out according </w:t>
            </w:r>
            <w:r>
              <w:rPr>
                <w:rFonts w:asciiTheme="minorHAnsi" w:hAnsiTheme="minorHAnsi" w:cstheme="minorHAnsi"/>
                <w:b w:val="0"/>
                <w:bCs w:val="0"/>
                <w:sz w:val="18"/>
                <w:szCs w:val="18"/>
              </w:rPr>
              <w:t>to Escrow Account Regulations; and (b) expenditures from all other accounts of BT are prioritized in a way to pay for liabilities with the highest cost for BT.</w:t>
            </w:r>
          </w:p>
          <w:p w14:paraId="489424BE" w14:textId="77777777" w:rsidR="00004B73" w:rsidRPr="001B1012" w:rsidRDefault="00004B73" w:rsidP="00004B73">
            <w:pPr>
              <w:rPr>
                <w:rFonts w:asciiTheme="minorHAnsi" w:hAnsiTheme="minorHAnsi" w:cstheme="minorHAnsi"/>
                <w:sz w:val="18"/>
                <w:szCs w:val="18"/>
              </w:rPr>
            </w:pPr>
          </w:p>
        </w:tc>
        <w:tc>
          <w:tcPr>
            <w:tcW w:w="531" w:type="pct"/>
          </w:tcPr>
          <w:p w14:paraId="765267D5" w14:textId="77777777" w:rsidR="00004B73" w:rsidRPr="001B1012" w:rsidRDefault="00004B73" w:rsidP="00004B73">
            <w:pPr>
              <w:rPr>
                <w:rFonts w:asciiTheme="minorHAnsi" w:hAnsiTheme="minorHAnsi" w:cstheme="minorHAnsi"/>
                <w:sz w:val="18"/>
                <w:szCs w:val="18"/>
              </w:rPr>
            </w:pPr>
            <w:r>
              <w:rPr>
                <w:rFonts w:asciiTheme="minorHAnsi" w:hAnsiTheme="minorHAnsi" w:cstheme="minorHAnsi"/>
                <w:sz w:val="18"/>
                <w:szCs w:val="18"/>
              </w:rPr>
              <w:t>No</w:t>
            </w:r>
          </w:p>
        </w:tc>
        <w:tc>
          <w:tcPr>
            <w:tcW w:w="717" w:type="pct"/>
          </w:tcPr>
          <w:p w14:paraId="1F9FAF5A" w14:textId="77777777" w:rsidR="00004B73" w:rsidRDefault="00004B73" w:rsidP="00004B73">
            <w:pPr>
              <w:rPr>
                <w:rFonts w:asciiTheme="minorHAnsi" w:hAnsiTheme="minorHAnsi" w:cstheme="minorHAnsi"/>
                <w:sz w:val="18"/>
                <w:szCs w:val="18"/>
              </w:rPr>
            </w:pPr>
            <w:r>
              <w:rPr>
                <w:rFonts w:asciiTheme="minorHAnsi" w:hAnsiTheme="minorHAnsi" w:cstheme="minorHAnsi"/>
                <w:sz w:val="18"/>
                <w:szCs w:val="18"/>
              </w:rPr>
              <w:t>Data source: (a) escrow account financial statements, reports on collected and distributed revenues, expenditures plans submitted by BT to Escrow Account bank; (b) statements from other bank accounts.</w:t>
            </w:r>
          </w:p>
          <w:p w14:paraId="3BEEDA0C" w14:textId="4C16CAF7" w:rsidR="00004B73" w:rsidRPr="001B1012" w:rsidRDefault="00004B73" w:rsidP="00004B73">
            <w:pPr>
              <w:rPr>
                <w:rFonts w:asciiTheme="minorHAnsi" w:hAnsiTheme="minorHAnsi" w:cstheme="minorHAnsi"/>
                <w:sz w:val="18"/>
                <w:szCs w:val="18"/>
              </w:rPr>
            </w:pPr>
            <w:r>
              <w:rPr>
                <w:rFonts w:asciiTheme="minorHAnsi" w:hAnsiTheme="minorHAnsi" w:cstheme="minorHAnsi"/>
                <w:sz w:val="18"/>
                <w:szCs w:val="18"/>
              </w:rPr>
              <w:t>Agency: MEWR</w:t>
            </w:r>
          </w:p>
        </w:tc>
        <w:tc>
          <w:tcPr>
            <w:tcW w:w="624" w:type="pct"/>
          </w:tcPr>
          <w:p w14:paraId="552FD86C" w14:textId="77777777" w:rsidR="00004B73" w:rsidRDefault="00004B73" w:rsidP="00004B73">
            <w:pPr>
              <w:rPr>
                <w:rFonts w:asciiTheme="minorHAnsi" w:hAnsiTheme="minorHAnsi" w:cstheme="minorHAnsi"/>
                <w:sz w:val="18"/>
                <w:szCs w:val="18"/>
              </w:rPr>
            </w:pPr>
            <w:r>
              <w:rPr>
                <w:rFonts w:asciiTheme="minorHAnsi" w:hAnsiTheme="minorHAnsi" w:cstheme="minorHAnsi"/>
                <w:sz w:val="18"/>
                <w:szCs w:val="18"/>
              </w:rPr>
              <w:t>Auditor/financial consultant with qualifications and TOR acceptable to the Bank.</w:t>
            </w:r>
          </w:p>
        </w:tc>
        <w:tc>
          <w:tcPr>
            <w:tcW w:w="947" w:type="pct"/>
          </w:tcPr>
          <w:p w14:paraId="278E8DD0" w14:textId="77777777" w:rsidR="00004B73" w:rsidRDefault="00004B73" w:rsidP="00004B73">
            <w:pPr>
              <w:rPr>
                <w:rFonts w:asciiTheme="minorHAnsi" w:hAnsiTheme="minorHAnsi" w:cstheme="minorHAnsi"/>
                <w:sz w:val="18"/>
                <w:szCs w:val="18"/>
              </w:rPr>
            </w:pPr>
            <w:r>
              <w:rPr>
                <w:rFonts w:asciiTheme="minorHAnsi" w:hAnsiTheme="minorHAnsi" w:cstheme="minorHAnsi"/>
                <w:sz w:val="18"/>
                <w:szCs w:val="18"/>
              </w:rPr>
              <w:t xml:space="preserve">The IVA will: (a) validate whether the Escrow Account Agreement between the Escrow Account bank and BT, SIB, and STB is effective; (b) confirm whether the minimum required terms and conditions of the Escrow Account Agreement are consistent with the requirements of the </w:t>
            </w:r>
            <w:r w:rsidRPr="005C6541">
              <w:rPr>
                <w:rFonts w:asciiTheme="minorHAnsi" w:hAnsiTheme="minorHAnsi" w:cstheme="minorHAnsi"/>
                <w:sz w:val="18"/>
                <w:szCs w:val="18"/>
              </w:rPr>
              <w:t>Escrow Account Regulations and other applicable legislation</w:t>
            </w:r>
            <w:r>
              <w:rPr>
                <w:rFonts w:asciiTheme="minorHAnsi" w:hAnsiTheme="minorHAnsi" w:cstheme="minorHAnsi"/>
                <w:sz w:val="18"/>
                <w:szCs w:val="18"/>
              </w:rPr>
              <w:t>;</w:t>
            </w:r>
            <w:r w:rsidRPr="005C6541">
              <w:rPr>
                <w:rFonts w:asciiTheme="minorHAnsi" w:hAnsiTheme="minorHAnsi" w:cstheme="minorHAnsi"/>
                <w:sz w:val="18"/>
                <w:szCs w:val="18"/>
              </w:rPr>
              <w:t xml:space="preserve"> (c) confirm that collection and distribution of revenues is carried out in accordance with the requirements of the Escrow Account Regulations</w:t>
            </w:r>
            <w:r>
              <w:rPr>
                <w:rFonts w:asciiTheme="minorHAnsi" w:hAnsiTheme="minorHAnsi" w:cstheme="minorHAnsi"/>
                <w:sz w:val="18"/>
                <w:szCs w:val="18"/>
              </w:rPr>
              <w:t>; and (d) validate whether cash from other account(s) of BT was prioritized to cover the most expensive liabilities of BT.</w:t>
            </w:r>
          </w:p>
        </w:tc>
      </w:tr>
      <w:tr w:rsidR="00004B73" w:rsidRPr="001B1012" w14:paraId="601A5C5B" w14:textId="77777777" w:rsidTr="00866A63">
        <w:trPr>
          <w:jc w:val="center"/>
        </w:trPr>
        <w:tc>
          <w:tcPr>
            <w:tcW w:w="1090" w:type="pct"/>
          </w:tcPr>
          <w:p w14:paraId="00F23D35" w14:textId="1501B3D4" w:rsidR="00004B73" w:rsidRPr="00D37E11" w:rsidRDefault="00004B73" w:rsidP="00004B73">
            <w:pPr>
              <w:widowControl/>
              <w:autoSpaceDE/>
              <w:autoSpaceDN/>
              <w:adjustRightInd/>
              <w:rPr>
                <w:rFonts w:asciiTheme="minorHAnsi" w:hAnsiTheme="minorHAnsi" w:cstheme="minorHAnsi"/>
                <w:sz w:val="18"/>
                <w:szCs w:val="18"/>
              </w:rPr>
            </w:pPr>
            <w:r w:rsidRPr="00004B73">
              <w:rPr>
                <w:rFonts w:asciiTheme="minorHAnsi" w:hAnsiTheme="minorHAnsi" w:cstheme="minorHAnsi"/>
                <w:sz w:val="18"/>
                <w:szCs w:val="18"/>
              </w:rPr>
              <w:t xml:space="preserve">DLR 11.8: By December 31, 2026, (a) collection and distribution of electricity sector revenues from domestic market are systematically carried out according </w:t>
            </w:r>
            <w:r w:rsidRPr="00004B73">
              <w:rPr>
                <w:rFonts w:asciiTheme="minorHAnsi" w:hAnsiTheme="minorHAnsi" w:cstheme="minorHAnsi"/>
                <w:sz w:val="18"/>
                <w:szCs w:val="18"/>
              </w:rPr>
              <w:lastRenderedPageBreak/>
              <w:t>to the Escrow Account Regulations; and (b) expenditures from other account(s) of BT were prioritized consistent with the</w:t>
            </w:r>
            <w:r w:rsidRPr="00004B73">
              <w:rPr>
                <w:rFonts w:asciiTheme="minorHAnsi" w:hAnsiTheme="minorHAnsi" w:cstheme="minorHAnsi"/>
                <w:b/>
                <w:bCs/>
                <w:sz w:val="18"/>
                <w:szCs w:val="18"/>
              </w:rPr>
              <w:t xml:space="preserve"> </w:t>
            </w:r>
            <w:r w:rsidRPr="00004B73">
              <w:rPr>
                <w:rFonts w:asciiTheme="minorHAnsi" w:hAnsiTheme="minorHAnsi" w:cstheme="minorHAnsi"/>
                <w:sz w:val="18"/>
                <w:szCs w:val="18"/>
              </w:rPr>
              <w:t>existing liabilities including payments on sovereign-guaranteed debt</w:t>
            </w:r>
          </w:p>
        </w:tc>
        <w:tc>
          <w:tcPr>
            <w:tcW w:w="1091" w:type="pct"/>
          </w:tcPr>
          <w:p w14:paraId="6822DB70" w14:textId="6BA5484C" w:rsidR="00004B73" w:rsidRPr="00516811" w:rsidRDefault="00004B73" w:rsidP="00004B73">
            <w:pPr>
              <w:pStyle w:val="BodyText"/>
              <w:widowControl/>
              <w:ind w:left="0"/>
              <w:rPr>
                <w:rFonts w:asciiTheme="minorHAnsi" w:hAnsiTheme="minorHAnsi" w:cstheme="minorHAnsi"/>
                <w:b w:val="0"/>
                <w:bCs w:val="0"/>
                <w:sz w:val="18"/>
                <w:szCs w:val="18"/>
              </w:rPr>
            </w:pPr>
            <w:r w:rsidRPr="00516811">
              <w:rPr>
                <w:rFonts w:asciiTheme="minorHAnsi" w:hAnsiTheme="minorHAnsi" w:cstheme="minorHAnsi"/>
                <w:b w:val="0"/>
                <w:bCs w:val="0"/>
                <w:sz w:val="18"/>
                <w:szCs w:val="18"/>
              </w:rPr>
              <w:lastRenderedPageBreak/>
              <w:t xml:space="preserve">The target will be considered achieved if: (a) collection and distribution of electricity sector revenues from domestic market is carried out </w:t>
            </w:r>
            <w:r w:rsidRPr="00516811">
              <w:rPr>
                <w:rFonts w:asciiTheme="minorHAnsi" w:hAnsiTheme="minorHAnsi" w:cstheme="minorHAnsi"/>
                <w:b w:val="0"/>
                <w:bCs w:val="0"/>
                <w:sz w:val="18"/>
                <w:szCs w:val="18"/>
              </w:rPr>
              <w:lastRenderedPageBreak/>
              <w:t xml:space="preserve">according to </w:t>
            </w:r>
            <w:r>
              <w:rPr>
                <w:rFonts w:asciiTheme="minorHAnsi" w:hAnsiTheme="minorHAnsi" w:cstheme="minorHAnsi"/>
                <w:b w:val="0"/>
                <w:bCs w:val="0"/>
                <w:sz w:val="18"/>
                <w:szCs w:val="18"/>
              </w:rPr>
              <w:t>Escrow Account Regulations; and (b) expenditures from all other accounts of BT are prioritized in a way to pay for liabilities with the highest cost for BT.</w:t>
            </w:r>
          </w:p>
          <w:p w14:paraId="1C4958F1" w14:textId="77777777" w:rsidR="00004B73" w:rsidRPr="001B1012" w:rsidRDefault="00004B73" w:rsidP="00004B73">
            <w:pPr>
              <w:rPr>
                <w:rFonts w:asciiTheme="minorHAnsi" w:hAnsiTheme="minorHAnsi" w:cstheme="minorHAnsi"/>
                <w:sz w:val="18"/>
                <w:szCs w:val="18"/>
              </w:rPr>
            </w:pPr>
          </w:p>
        </w:tc>
        <w:tc>
          <w:tcPr>
            <w:tcW w:w="531" w:type="pct"/>
          </w:tcPr>
          <w:p w14:paraId="44E5E127" w14:textId="77777777" w:rsidR="00004B73" w:rsidRPr="001B1012" w:rsidRDefault="00004B73" w:rsidP="00004B73">
            <w:pPr>
              <w:rPr>
                <w:rFonts w:asciiTheme="minorHAnsi" w:hAnsiTheme="minorHAnsi" w:cstheme="minorHAnsi"/>
                <w:sz w:val="18"/>
                <w:szCs w:val="18"/>
              </w:rPr>
            </w:pPr>
            <w:r>
              <w:rPr>
                <w:rFonts w:asciiTheme="minorHAnsi" w:hAnsiTheme="minorHAnsi" w:cstheme="minorHAnsi"/>
                <w:sz w:val="18"/>
                <w:szCs w:val="18"/>
              </w:rPr>
              <w:lastRenderedPageBreak/>
              <w:t>No</w:t>
            </w:r>
          </w:p>
        </w:tc>
        <w:tc>
          <w:tcPr>
            <w:tcW w:w="717" w:type="pct"/>
          </w:tcPr>
          <w:p w14:paraId="16DEB84B" w14:textId="77777777" w:rsidR="00004B73" w:rsidRDefault="00004B73" w:rsidP="00004B73">
            <w:pPr>
              <w:rPr>
                <w:rFonts w:asciiTheme="minorHAnsi" w:hAnsiTheme="minorHAnsi" w:cstheme="minorHAnsi"/>
                <w:sz w:val="18"/>
                <w:szCs w:val="18"/>
              </w:rPr>
            </w:pPr>
            <w:r>
              <w:rPr>
                <w:rFonts w:asciiTheme="minorHAnsi" w:hAnsiTheme="minorHAnsi" w:cstheme="minorHAnsi"/>
                <w:sz w:val="18"/>
                <w:szCs w:val="18"/>
              </w:rPr>
              <w:t xml:space="preserve">Data source: (a) escrow account financial statements, reports on collected and distributed </w:t>
            </w:r>
            <w:r>
              <w:rPr>
                <w:rFonts w:asciiTheme="minorHAnsi" w:hAnsiTheme="minorHAnsi" w:cstheme="minorHAnsi"/>
                <w:sz w:val="18"/>
                <w:szCs w:val="18"/>
              </w:rPr>
              <w:lastRenderedPageBreak/>
              <w:t>revenues, expenditures plans submitted by BT to Escrow Account bank; (b) statements from other bank accounts.</w:t>
            </w:r>
          </w:p>
          <w:p w14:paraId="6773BF29" w14:textId="7950E3EB" w:rsidR="00004B73" w:rsidRPr="001B1012" w:rsidRDefault="00004B73" w:rsidP="00004B73">
            <w:pPr>
              <w:rPr>
                <w:rFonts w:asciiTheme="minorHAnsi" w:hAnsiTheme="minorHAnsi" w:cstheme="minorHAnsi"/>
                <w:sz w:val="18"/>
                <w:szCs w:val="18"/>
              </w:rPr>
            </w:pPr>
            <w:r>
              <w:rPr>
                <w:rFonts w:asciiTheme="minorHAnsi" w:hAnsiTheme="minorHAnsi" w:cstheme="minorHAnsi"/>
                <w:sz w:val="18"/>
                <w:szCs w:val="18"/>
              </w:rPr>
              <w:t>Agency: MEWR</w:t>
            </w:r>
          </w:p>
        </w:tc>
        <w:tc>
          <w:tcPr>
            <w:tcW w:w="624" w:type="pct"/>
          </w:tcPr>
          <w:p w14:paraId="5E798207" w14:textId="77777777" w:rsidR="00004B73" w:rsidRDefault="00004B73" w:rsidP="00004B73">
            <w:pPr>
              <w:rPr>
                <w:rFonts w:asciiTheme="minorHAnsi" w:hAnsiTheme="minorHAnsi" w:cstheme="minorHAnsi"/>
                <w:sz w:val="18"/>
                <w:szCs w:val="18"/>
              </w:rPr>
            </w:pPr>
            <w:r>
              <w:rPr>
                <w:rFonts w:asciiTheme="minorHAnsi" w:hAnsiTheme="minorHAnsi" w:cstheme="minorHAnsi"/>
                <w:sz w:val="18"/>
                <w:szCs w:val="18"/>
              </w:rPr>
              <w:lastRenderedPageBreak/>
              <w:t xml:space="preserve">Auditor/financial consultant with qualifications and TOR acceptable to </w:t>
            </w:r>
            <w:r>
              <w:rPr>
                <w:rFonts w:asciiTheme="minorHAnsi" w:hAnsiTheme="minorHAnsi" w:cstheme="minorHAnsi"/>
                <w:sz w:val="18"/>
                <w:szCs w:val="18"/>
              </w:rPr>
              <w:lastRenderedPageBreak/>
              <w:t>the Bank.</w:t>
            </w:r>
          </w:p>
        </w:tc>
        <w:tc>
          <w:tcPr>
            <w:tcW w:w="947" w:type="pct"/>
          </w:tcPr>
          <w:p w14:paraId="767E233A" w14:textId="77777777" w:rsidR="00004B73" w:rsidRDefault="00004B73" w:rsidP="00004B73">
            <w:pPr>
              <w:rPr>
                <w:rFonts w:asciiTheme="minorHAnsi" w:hAnsiTheme="minorHAnsi" w:cstheme="minorHAnsi"/>
                <w:sz w:val="18"/>
                <w:szCs w:val="18"/>
              </w:rPr>
            </w:pPr>
            <w:r>
              <w:rPr>
                <w:rFonts w:asciiTheme="minorHAnsi" w:hAnsiTheme="minorHAnsi" w:cstheme="minorHAnsi"/>
                <w:sz w:val="18"/>
                <w:szCs w:val="18"/>
              </w:rPr>
              <w:lastRenderedPageBreak/>
              <w:t xml:space="preserve">The IVA will: (a) validate whether the Escrow Account Agreement between the Escrow Account bank and BT, SIB, and STB is </w:t>
            </w:r>
            <w:r>
              <w:rPr>
                <w:rFonts w:asciiTheme="minorHAnsi" w:hAnsiTheme="minorHAnsi" w:cstheme="minorHAnsi"/>
                <w:sz w:val="18"/>
                <w:szCs w:val="18"/>
              </w:rPr>
              <w:lastRenderedPageBreak/>
              <w:t xml:space="preserve">effective; (b) confirm whether the minimum required terms and conditions of the Escrow Account Agreement are consistent with the requirements of the </w:t>
            </w:r>
            <w:r w:rsidRPr="005C6541">
              <w:rPr>
                <w:rFonts w:asciiTheme="minorHAnsi" w:hAnsiTheme="minorHAnsi" w:cstheme="minorHAnsi"/>
                <w:sz w:val="18"/>
                <w:szCs w:val="18"/>
              </w:rPr>
              <w:t>Escrow Account Regulations and other applicable legislation</w:t>
            </w:r>
            <w:r>
              <w:rPr>
                <w:rFonts w:asciiTheme="minorHAnsi" w:hAnsiTheme="minorHAnsi" w:cstheme="minorHAnsi"/>
                <w:sz w:val="18"/>
                <w:szCs w:val="18"/>
              </w:rPr>
              <w:t>;</w:t>
            </w:r>
            <w:r w:rsidRPr="005C6541">
              <w:rPr>
                <w:rFonts w:asciiTheme="minorHAnsi" w:hAnsiTheme="minorHAnsi" w:cstheme="minorHAnsi"/>
                <w:sz w:val="18"/>
                <w:szCs w:val="18"/>
              </w:rPr>
              <w:t xml:space="preserve"> (c) confirm that collection and distribution of revenues is carried out in accordance with the requirements of the Escrow Account Regulations</w:t>
            </w:r>
            <w:r>
              <w:rPr>
                <w:rFonts w:asciiTheme="minorHAnsi" w:hAnsiTheme="minorHAnsi" w:cstheme="minorHAnsi"/>
                <w:sz w:val="18"/>
                <w:szCs w:val="18"/>
              </w:rPr>
              <w:t>; and (d) validate whether cash from other account(s) of BT was prioritized to cover the most expensive liabilities of BT.</w:t>
            </w:r>
          </w:p>
        </w:tc>
      </w:tr>
      <w:tr w:rsidR="00004B73" w:rsidRPr="001B1012" w14:paraId="077A927C" w14:textId="77777777" w:rsidTr="00866A63">
        <w:trPr>
          <w:jc w:val="center"/>
        </w:trPr>
        <w:tc>
          <w:tcPr>
            <w:tcW w:w="1090" w:type="pct"/>
          </w:tcPr>
          <w:p w14:paraId="6E560BA9" w14:textId="7D5C8568" w:rsidR="00004B73" w:rsidRPr="00004B73" w:rsidRDefault="00004B73" w:rsidP="00004B73">
            <w:pPr>
              <w:widowControl/>
              <w:autoSpaceDE/>
              <w:autoSpaceDN/>
              <w:adjustRightInd/>
              <w:rPr>
                <w:rFonts w:asciiTheme="minorHAnsi" w:hAnsiTheme="minorHAnsi" w:cstheme="minorHAnsi"/>
                <w:sz w:val="18"/>
                <w:szCs w:val="18"/>
              </w:rPr>
            </w:pPr>
            <w:r w:rsidRPr="00004B73">
              <w:rPr>
                <w:rFonts w:asciiTheme="minorHAnsi" w:hAnsiTheme="minorHAnsi" w:cstheme="minorHAnsi"/>
                <w:sz w:val="18"/>
                <w:szCs w:val="18"/>
              </w:rPr>
              <w:lastRenderedPageBreak/>
              <w:t>DLR 11.9: By December 31, 2027, (a) collection and distribution of electricity sector revenues from domestic market are systematically carried out according to the Escrow Account Regulations; and (b) expenditures from other account(s) of BT were prioritized consistent with the existing liabilities including payments on sovereign-guaranteed debt</w:t>
            </w:r>
          </w:p>
        </w:tc>
        <w:tc>
          <w:tcPr>
            <w:tcW w:w="1091" w:type="pct"/>
          </w:tcPr>
          <w:p w14:paraId="760A5537" w14:textId="5677012D" w:rsidR="00004B73" w:rsidRPr="00516811" w:rsidRDefault="00004B73" w:rsidP="00004B73">
            <w:pPr>
              <w:pStyle w:val="BodyText"/>
              <w:widowControl/>
              <w:ind w:left="0"/>
              <w:rPr>
                <w:rFonts w:asciiTheme="minorHAnsi" w:hAnsiTheme="minorHAnsi" w:cstheme="minorHAnsi"/>
                <w:b w:val="0"/>
                <w:bCs w:val="0"/>
                <w:sz w:val="18"/>
                <w:szCs w:val="18"/>
              </w:rPr>
            </w:pPr>
            <w:r w:rsidRPr="00516811">
              <w:rPr>
                <w:rFonts w:asciiTheme="minorHAnsi" w:hAnsiTheme="minorHAnsi" w:cstheme="minorHAnsi"/>
                <w:b w:val="0"/>
                <w:bCs w:val="0"/>
                <w:sz w:val="18"/>
                <w:szCs w:val="18"/>
              </w:rPr>
              <w:t xml:space="preserve">The target will be considered achieved if: (a) collection and distribution of electricity sector revenues from domestic market is carried out according to </w:t>
            </w:r>
            <w:r>
              <w:rPr>
                <w:rFonts w:asciiTheme="minorHAnsi" w:hAnsiTheme="minorHAnsi" w:cstheme="minorHAnsi"/>
                <w:b w:val="0"/>
                <w:bCs w:val="0"/>
                <w:sz w:val="18"/>
                <w:szCs w:val="18"/>
              </w:rPr>
              <w:t>Escrow Account Regulations; and (b) expenditures from all other accounts of BT are prioritized in a way to pay for liabilities with the highest cost for BT.</w:t>
            </w:r>
          </w:p>
          <w:p w14:paraId="057424E2" w14:textId="77777777" w:rsidR="00004B73" w:rsidRPr="001B1012" w:rsidRDefault="00004B73" w:rsidP="00004B73">
            <w:pPr>
              <w:rPr>
                <w:rFonts w:asciiTheme="minorHAnsi" w:hAnsiTheme="minorHAnsi" w:cstheme="minorHAnsi"/>
                <w:sz w:val="18"/>
                <w:szCs w:val="18"/>
              </w:rPr>
            </w:pPr>
          </w:p>
        </w:tc>
        <w:tc>
          <w:tcPr>
            <w:tcW w:w="531" w:type="pct"/>
          </w:tcPr>
          <w:p w14:paraId="53B795FE" w14:textId="77777777" w:rsidR="00004B73" w:rsidRPr="001B1012" w:rsidRDefault="00004B73" w:rsidP="00004B73">
            <w:pPr>
              <w:rPr>
                <w:rFonts w:asciiTheme="minorHAnsi" w:hAnsiTheme="minorHAnsi" w:cstheme="minorHAnsi"/>
                <w:sz w:val="18"/>
                <w:szCs w:val="18"/>
              </w:rPr>
            </w:pPr>
            <w:r>
              <w:rPr>
                <w:rFonts w:asciiTheme="minorHAnsi" w:hAnsiTheme="minorHAnsi" w:cstheme="minorHAnsi"/>
                <w:sz w:val="18"/>
                <w:szCs w:val="18"/>
              </w:rPr>
              <w:t>No</w:t>
            </w:r>
          </w:p>
        </w:tc>
        <w:tc>
          <w:tcPr>
            <w:tcW w:w="717" w:type="pct"/>
          </w:tcPr>
          <w:p w14:paraId="6E5CD28B" w14:textId="77777777" w:rsidR="00004B73" w:rsidRDefault="00004B73" w:rsidP="00004B73">
            <w:pPr>
              <w:rPr>
                <w:rFonts w:asciiTheme="minorHAnsi" w:hAnsiTheme="minorHAnsi" w:cstheme="minorHAnsi"/>
                <w:sz w:val="18"/>
                <w:szCs w:val="18"/>
              </w:rPr>
            </w:pPr>
            <w:r>
              <w:rPr>
                <w:rFonts w:asciiTheme="minorHAnsi" w:hAnsiTheme="minorHAnsi" w:cstheme="minorHAnsi"/>
                <w:sz w:val="18"/>
                <w:szCs w:val="18"/>
              </w:rPr>
              <w:t>Data source: (a) escrow account financial statements, reports on collected and distributed revenues, expenditures plans submitted by BT to Escrow Account bank; (b) statements from other bank accounts.</w:t>
            </w:r>
          </w:p>
          <w:p w14:paraId="7A79C8D1" w14:textId="7A060FC9" w:rsidR="00004B73" w:rsidRPr="001B1012" w:rsidRDefault="00004B73" w:rsidP="00004B73">
            <w:pPr>
              <w:rPr>
                <w:rFonts w:asciiTheme="minorHAnsi" w:hAnsiTheme="minorHAnsi" w:cstheme="minorHAnsi"/>
                <w:sz w:val="18"/>
                <w:szCs w:val="18"/>
              </w:rPr>
            </w:pPr>
            <w:r>
              <w:rPr>
                <w:rFonts w:asciiTheme="minorHAnsi" w:hAnsiTheme="minorHAnsi" w:cstheme="minorHAnsi"/>
                <w:sz w:val="18"/>
                <w:szCs w:val="18"/>
              </w:rPr>
              <w:t>Agency: MEWR</w:t>
            </w:r>
          </w:p>
        </w:tc>
        <w:tc>
          <w:tcPr>
            <w:tcW w:w="624" w:type="pct"/>
          </w:tcPr>
          <w:p w14:paraId="2D19ED51" w14:textId="77777777" w:rsidR="00004B73" w:rsidRDefault="00004B73" w:rsidP="00004B73">
            <w:pPr>
              <w:rPr>
                <w:rFonts w:asciiTheme="minorHAnsi" w:hAnsiTheme="minorHAnsi" w:cstheme="minorHAnsi"/>
                <w:sz w:val="18"/>
                <w:szCs w:val="18"/>
              </w:rPr>
            </w:pPr>
            <w:r>
              <w:rPr>
                <w:rFonts w:asciiTheme="minorHAnsi" w:hAnsiTheme="minorHAnsi" w:cstheme="minorHAnsi"/>
                <w:sz w:val="18"/>
                <w:szCs w:val="18"/>
              </w:rPr>
              <w:t>Auditor/financial consultant with qualifications and TOR acceptable to the Bank.</w:t>
            </w:r>
          </w:p>
        </w:tc>
        <w:tc>
          <w:tcPr>
            <w:tcW w:w="947" w:type="pct"/>
          </w:tcPr>
          <w:p w14:paraId="56B20BC6" w14:textId="77777777" w:rsidR="00004B73" w:rsidRDefault="00004B73" w:rsidP="00004B73">
            <w:pPr>
              <w:rPr>
                <w:rFonts w:asciiTheme="minorHAnsi" w:hAnsiTheme="minorHAnsi" w:cstheme="minorHAnsi"/>
                <w:sz w:val="18"/>
                <w:szCs w:val="18"/>
              </w:rPr>
            </w:pPr>
            <w:r>
              <w:rPr>
                <w:rFonts w:asciiTheme="minorHAnsi" w:hAnsiTheme="minorHAnsi" w:cstheme="minorHAnsi"/>
                <w:sz w:val="18"/>
                <w:szCs w:val="18"/>
              </w:rPr>
              <w:t xml:space="preserve">The IVA will: (a) validate whether the Escrow Account Agreement between the Escrow Account bank and BT, SIB, and STB is effective; (b) confirm whether the minimum required terms and conditions of the Escrow Account Agreement are consistent with the requirements of the </w:t>
            </w:r>
            <w:r w:rsidRPr="005C6541">
              <w:rPr>
                <w:rFonts w:asciiTheme="minorHAnsi" w:hAnsiTheme="minorHAnsi" w:cstheme="minorHAnsi"/>
                <w:sz w:val="18"/>
                <w:szCs w:val="18"/>
              </w:rPr>
              <w:t>Escrow Account Regulations and other applicable legislation</w:t>
            </w:r>
            <w:r>
              <w:rPr>
                <w:rFonts w:asciiTheme="minorHAnsi" w:hAnsiTheme="minorHAnsi" w:cstheme="minorHAnsi"/>
                <w:sz w:val="18"/>
                <w:szCs w:val="18"/>
              </w:rPr>
              <w:t>;</w:t>
            </w:r>
            <w:r w:rsidRPr="005C6541">
              <w:rPr>
                <w:rFonts w:asciiTheme="minorHAnsi" w:hAnsiTheme="minorHAnsi" w:cstheme="minorHAnsi"/>
                <w:sz w:val="18"/>
                <w:szCs w:val="18"/>
              </w:rPr>
              <w:t xml:space="preserve"> (c) confirm that collection and distribution of revenues is carried out in accordance with the requirements of the Escrow Account Regulations</w:t>
            </w:r>
            <w:r>
              <w:rPr>
                <w:rFonts w:asciiTheme="minorHAnsi" w:hAnsiTheme="minorHAnsi" w:cstheme="minorHAnsi"/>
                <w:sz w:val="18"/>
                <w:szCs w:val="18"/>
              </w:rPr>
              <w:t>; and (d) validate whether cash from other account(s) of BT was prioritized to cover the most expensive liabilities of BT.</w:t>
            </w:r>
          </w:p>
        </w:tc>
      </w:tr>
      <w:tr w:rsidR="00004B73" w:rsidRPr="001B1012" w14:paraId="5B1C4BDE" w14:textId="77777777" w:rsidTr="00591244">
        <w:trPr>
          <w:jc w:val="center"/>
        </w:trPr>
        <w:tc>
          <w:tcPr>
            <w:tcW w:w="1090" w:type="pct"/>
          </w:tcPr>
          <w:p w14:paraId="04525393" w14:textId="6176EC3A" w:rsidR="00004B73" w:rsidRPr="00004B73" w:rsidRDefault="00004B73" w:rsidP="00004B73">
            <w:pPr>
              <w:widowControl/>
              <w:autoSpaceDE/>
              <w:autoSpaceDN/>
              <w:adjustRightInd/>
              <w:rPr>
                <w:rFonts w:asciiTheme="minorHAnsi" w:hAnsiTheme="minorHAnsi" w:cstheme="minorHAnsi"/>
                <w:sz w:val="18"/>
                <w:szCs w:val="18"/>
              </w:rPr>
            </w:pPr>
            <w:r w:rsidRPr="00004B73">
              <w:rPr>
                <w:rFonts w:asciiTheme="minorHAnsi" w:hAnsiTheme="minorHAnsi" w:cstheme="minorHAnsi"/>
                <w:sz w:val="18"/>
                <w:szCs w:val="18"/>
              </w:rPr>
              <w:lastRenderedPageBreak/>
              <w:t>DLR 11.10: By December 31, 2028, (a) collection and distribution of electricity sector revenues from domestic market are systematically carried out according to the Escrow Account Regulations; and (b) expenditures from other account(s) of BT were prioritized consistent with the existing liabilities including payments on sovereign-guaranteed debt</w:t>
            </w:r>
          </w:p>
        </w:tc>
        <w:tc>
          <w:tcPr>
            <w:tcW w:w="1091" w:type="pct"/>
          </w:tcPr>
          <w:p w14:paraId="655CEE8A" w14:textId="7E55542A" w:rsidR="00004B73" w:rsidRPr="00516811" w:rsidRDefault="00004B73" w:rsidP="00004B73">
            <w:pPr>
              <w:pStyle w:val="BodyText"/>
              <w:widowControl/>
              <w:ind w:left="0"/>
              <w:rPr>
                <w:rFonts w:asciiTheme="minorHAnsi" w:hAnsiTheme="minorHAnsi" w:cstheme="minorHAnsi"/>
                <w:b w:val="0"/>
                <w:bCs w:val="0"/>
                <w:sz w:val="18"/>
                <w:szCs w:val="18"/>
              </w:rPr>
            </w:pPr>
            <w:r w:rsidRPr="00516811">
              <w:rPr>
                <w:rFonts w:asciiTheme="minorHAnsi" w:hAnsiTheme="minorHAnsi" w:cstheme="minorHAnsi"/>
                <w:b w:val="0"/>
                <w:bCs w:val="0"/>
                <w:sz w:val="18"/>
                <w:szCs w:val="18"/>
              </w:rPr>
              <w:t xml:space="preserve">The target will be considered achieved if: (a) collection and distribution of electricity sector revenues from domestic market is carried out according to </w:t>
            </w:r>
            <w:r>
              <w:rPr>
                <w:rFonts w:asciiTheme="minorHAnsi" w:hAnsiTheme="minorHAnsi" w:cstheme="minorHAnsi"/>
                <w:b w:val="0"/>
                <w:bCs w:val="0"/>
                <w:sz w:val="18"/>
                <w:szCs w:val="18"/>
              </w:rPr>
              <w:t>Escrow Account Regulations; and (b) expenditures from all other accounts of BT are prioritized in a way to pay for liabilities with the highest cost for BT.</w:t>
            </w:r>
          </w:p>
          <w:p w14:paraId="3938108E" w14:textId="77777777" w:rsidR="00004B73" w:rsidRPr="001B1012" w:rsidRDefault="00004B73" w:rsidP="00004B73">
            <w:pPr>
              <w:rPr>
                <w:rFonts w:asciiTheme="minorHAnsi" w:hAnsiTheme="minorHAnsi" w:cstheme="minorHAnsi"/>
                <w:sz w:val="18"/>
                <w:szCs w:val="18"/>
              </w:rPr>
            </w:pPr>
          </w:p>
        </w:tc>
        <w:tc>
          <w:tcPr>
            <w:tcW w:w="531" w:type="pct"/>
          </w:tcPr>
          <w:p w14:paraId="36DFEB0F" w14:textId="77777777" w:rsidR="00004B73" w:rsidRPr="001B1012" w:rsidRDefault="00004B73" w:rsidP="00004B73">
            <w:pPr>
              <w:rPr>
                <w:rFonts w:asciiTheme="minorHAnsi" w:hAnsiTheme="minorHAnsi" w:cstheme="minorHAnsi"/>
                <w:sz w:val="18"/>
                <w:szCs w:val="18"/>
              </w:rPr>
            </w:pPr>
            <w:r>
              <w:rPr>
                <w:rFonts w:asciiTheme="minorHAnsi" w:hAnsiTheme="minorHAnsi" w:cstheme="minorHAnsi"/>
                <w:sz w:val="18"/>
                <w:szCs w:val="18"/>
              </w:rPr>
              <w:t>No</w:t>
            </w:r>
          </w:p>
        </w:tc>
        <w:tc>
          <w:tcPr>
            <w:tcW w:w="717" w:type="pct"/>
          </w:tcPr>
          <w:p w14:paraId="1216B8D8" w14:textId="77777777" w:rsidR="00004B73" w:rsidRDefault="00004B73" w:rsidP="00004B73">
            <w:pPr>
              <w:rPr>
                <w:rFonts w:asciiTheme="minorHAnsi" w:hAnsiTheme="minorHAnsi" w:cstheme="minorHAnsi"/>
                <w:sz w:val="18"/>
                <w:szCs w:val="18"/>
              </w:rPr>
            </w:pPr>
            <w:r>
              <w:rPr>
                <w:rFonts w:asciiTheme="minorHAnsi" w:hAnsiTheme="minorHAnsi" w:cstheme="minorHAnsi"/>
                <w:sz w:val="18"/>
                <w:szCs w:val="18"/>
              </w:rPr>
              <w:t>Data source: (a) escrow account financial statements, reports on collected and distributed revenues, expenditures plans submitted by BT to Escrow Account bank; (b) statements from other bank accounts.</w:t>
            </w:r>
          </w:p>
          <w:p w14:paraId="64D86BBF" w14:textId="0CBDEC7F" w:rsidR="00004B73" w:rsidRPr="001B1012" w:rsidRDefault="00004B73" w:rsidP="00004B73">
            <w:pPr>
              <w:rPr>
                <w:rFonts w:asciiTheme="minorHAnsi" w:hAnsiTheme="minorHAnsi" w:cstheme="minorHAnsi"/>
                <w:sz w:val="18"/>
                <w:szCs w:val="18"/>
              </w:rPr>
            </w:pPr>
            <w:r>
              <w:rPr>
                <w:rFonts w:asciiTheme="minorHAnsi" w:hAnsiTheme="minorHAnsi" w:cstheme="minorHAnsi"/>
                <w:sz w:val="18"/>
                <w:szCs w:val="18"/>
              </w:rPr>
              <w:t>Agency: MEWR</w:t>
            </w:r>
          </w:p>
        </w:tc>
        <w:tc>
          <w:tcPr>
            <w:tcW w:w="624" w:type="pct"/>
          </w:tcPr>
          <w:p w14:paraId="5DAA797E" w14:textId="77777777" w:rsidR="00004B73" w:rsidRDefault="00004B73" w:rsidP="00004B73">
            <w:pPr>
              <w:rPr>
                <w:rFonts w:asciiTheme="minorHAnsi" w:hAnsiTheme="minorHAnsi" w:cstheme="minorHAnsi"/>
                <w:sz w:val="18"/>
                <w:szCs w:val="18"/>
              </w:rPr>
            </w:pPr>
            <w:r>
              <w:rPr>
                <w:rFonts w:asciiTheme="minorHAnsi" w:hAnsiTheme="minorHAnsi" w:cstheme="minorHAnsi"/>
                <w:sz w:val="18"/>
                <w:szCs w:val="18"/>
              </w:rPr>
              <w:t>Auditor/financial consultant with qualifications and TOR acceptable to the Bank.</w:t>
            </w:r>
          </w:p>
        </w:tc>
        <w:tc>
          <w:tcPr>
            <w:tcW w:w="947" w:type="pct"/>
          </w:tcPr>
          <w:p w14:paraId="7003C152" w14:textId="77777777" w:rsidR="00004B73" w:rsidRDefault="00004B73" w:rsidP="00004B73">
            <w:pPr>
              <w:rPr>
                <w:rFonts w:asciiTheme="minorHAnsi" w:hAnsiTheme="minorHAnsi" w:cstheme="minorHAnsi"/>
                <w:sz w:val="18"/>
                <w:szCs w:val="18"/>
              </w:rPr>
            </w:pPr>
            <w:r>
              <w:rPr>
                <w:rFonts w:asciiTheme="minorHAnsi" w:hAnsiTheme="minorHAnsi" w:cstheme="minorHAnsi"/>
                <w:sz w:val="18"/>
                <w:szCs w:val="18"/>
              </w:rPr>
              <w:t xml:space="preserve">The IVA will: (a) validate whether the Escrow Account Agreement between the Escrow Account bank and BT, SIB, and STB is effective; (b) confirm whether the minimum required terms and conditions of the Escrow Account Agreement are consistent with the requirements of the </w:t>
            </w:r>
            <w:r w:rsidRPr="005C6541">
              <w:rPr>
                <w:rFonts w:asciiTheme="minorHAnsi" w:hAnsiTheme="minorHAnsi" w:cstheme="minorHAnsi"/>
                <w:sz w:val="18"/>
                <w:szCs w:val="18"/>
              </w:rPr>
              <w:t>Escrow Account Regulations and other applicable legislation</w:t>
            </w:r>
            <w:r>
              <w:rPr>
                <w:rFonts w:asciiTheme="minorHAnsi" w:hAnsiTheme="minorHAnsi" w:cstheme="minorHAnsi"/>
                <w:sz w:val="18"/>
                <w:szCs w:val="18"/>
              </w:rPr>
              <w:t>;</w:t>
            </w:r>
            <w:r w:rsidRPr="005C6541">
              <w:rPr>
                <w:rFonts w:asciiTheme="minorHAnsi" w:hAnsiTheme="minorHAnsi" w:cstheme="minorHAnsi"/>
                <w:sz w:val="18"/>
                <w:szCs w:val="18"/>
              </w:rPr>
              <w:t xml:space="preserve"> (c) confirm that collection and distribution of revenues is carried out in accordance with the requirements of the Escrow Account Regulations</w:t>
            </w:r>
            <w:r>
              <w:rPr>
                <w:rFonts w:asciiTheme="minorHAnsi" w:hAnsiTheme="minorHAnsi" w:cstheme="minorHAnsi"/>
                <w:sz w:val="18"/>
                <w:szCs w:val="18"/>
              </w:rPr>
              <w:t>; and (d) validate whether cash from other account(s) of BT was prioritized to cover the most expensive liabilities of BT.</w:t>
            </w:r>
          </w:p>
        </w:tc>
      </w:tr>
      <w:tr w:rsidR="00004B73" w:rsidRPr="001B1012" w14:paraId="251B3067" w14:textId="77777777" w:rsidTr="00866A63">
        <w:trPr>
          <w:jc w:val="center"/>
        </w:trPr>
        <w:tc>
          <w:tcPr>
            <w:tcW w:w="1090" w:type="pct"/>
          </w:tcPr>
          <w:p w14:paraId="67975ED6" w14:textId="2A515A3E" w:rsidR="00004B73" w:rsidRPr="00004B73" w:rsidRDefault="00004B73" w:rsidP="00004B73">
            <w:pPr>
              <w:widowControl/>
              <w:autoSpaceDE/>
              <w:autoSpaceDN/>
              <w:adjustRightInd/>
              <w:rPr>
                <w:rFonts w:asciiTheme="minorHAnsi" w:hAnsiTheme="minorHAnsi" w:cstheme="minorHAnsi"/>
                <w:sz w:val="18"/>
                <w:szCs w:val="18"/>
              </w:rPr>
            </w:pPr>
            <w:r w:rsidRPr="00004B73">
              <w:rPr>
                <w:rFonts w:asciiTheme="minorHAnsi" w:hAnsiTheme="minorHAnsi" w:cstheme="minorHAnsi"/>
                <w:sz w:val="18"/>
                <w:szCs w:val="18"/>
              </w:rPr>
              <w:t>DLR 11.11: By December 31, 2029, (a) collection and distribution of electricity sector revenues from domestic market are systematically carried out according to the Escrow Account Regulations; and (b) expenditures from other account(s) of BT were prioritized consistent with the existing liabilities including payments on sovereign-guaranteed debt</w:t>
            </w:r>
          </w:p>
        </w:tc>
        <w:tc>
          <w:tcPr>
            <w:tcW w:w="1091" w:type="pct"/>
          </w:tcPr>
          <w:p w14:paraId="351E13C1" w14:textId="59908F74" w:rsidR="00004B73" w:rsidRPr="00516811" w:rsidRDefault="00004B73" w:rsidP="00004B73">
            <w:pPr>
              <w:pStyle w:val="BodyText"/>
              <w:widowControl/>
              <w:ind w:left="0"/>
              <w:rPr>
                <w:rFonts w:asciiTheme="minorHAnsi" w:hAnsiTheme="minorHAnsi" w:cstheme="minorHAnsi"/>
                <w:b w:val="0"/>
                <w:bCs w:val="0"/>
                <w:sz w:val="18"/>
                <w:szCs w:val="18"/>
              </w:rPr>
            </w:pPr>
            <w:r w:rsidRPr="00516811">
              <w:rPr>
                <w:rFonts w:asciiTheme="minorHAnsi" w:hAnsiTheme="minorHAnsi" w:cstheme="minorHAnsi"/>
                <w:b w:val="0"/>
                <w:bCs w:val="0"/>
                <w:sz w:val="18"/>
                <w:szCs w:val="18"/>
              </w:rPr>
              <w:t xml:space="preserve">The target will be considered achieved if: (a) collection and distribution of electricity sector revenues from domestic market is carried out according to </w:t>
            </w:r>
            <w:r>
              <w:rPr>
                <w:rFonts w:asciiTheme="minorHAnsi" w:hAnsiTheme="minorHAnsi" w:cstheme="minorHAnsi"/>
                <w:b w:val="0"/>
                <w:bCs w:val="0"/>
                <w:sz w:val="18"/>
                <w:szCs w:val="18"/>
              </w:rPr>
              <w:t>Escrow Account Regulations; and (b) expenditures from all other accounts of BT are prioritized in a way to pay for liabilities with the highest cost for BT.</w:t>
            </w:r>
          </w:p>
          <w:p w14:paraId="5DE8AF0C" w14:textId="77777777" w:rsidR="00004B73" w:rsidRPr="001B1012" w:rsidRDefault="00004B73" w:rsidP="00004B73">
            <w:pPr>
              <w:rPr>
                <w:rFonts w:asciiTheme="minorHAnsi" w:hAnsiTheme="minorHAnsi" w:cstheme="minorHAnsi"/>
                <w:sz w:val="18"/>
                <w:szCs w:val="18"/>
              </w:rPr>
            </w:pPr>
          </w:p>
        </w:tc>
        <w:tc>
          <w:tcPr>
            <w:tcW w:w="531" w:type="pct"/>
          </w:tcPr>
          <w:p w14:paraId="42905AB1" w14:textId="77777777" w:rsidR="00004B73" w:rsidRPr="001B1012" w:rsidRDefault="00004B73" w:rsidP="00004B73">
            <w:pPr>
              <w:rPr>
                <w:rFonts w:asciiTheme="minorHAnsi" w:hAnsiTheme="minorHAnsi" w:cstheme="minorHAnsi"/>
                <w:sz w:val="18"/>
                <w:szCs w:val="18"/>
              </w:rPr>
            </w:pPr>
            <w:r>
              <w:rPr>
                <w:rFonts w:asciiTheme="minorHAnsi" w:hAnsiTheme="minorHAnsi" w:cstheme="minorHAnsi"/>
                <w:sz w:val="18"/>
                <w:szCs w:val="18"/>
              </w:rPr>
              <w:t>No</w:t>
            </w:r>
          </w:p>
        </w:tc>
        <w:tc>
          <w:tcPr>
            <w:tcW w:w="717" w:type="pct"/>
          </w:tcPr>
          <w:p w14:paraId="4309C282" w14:textId="77777777" w:rsidR="00004B73" w:rsidRDefault="00004B73" w:rsidP="00004B73">
            <w:pPr>
              <w:rPr>
                <w:rFonts w:asciiTheme="minorHAnsi" w:hAnsiTheme="minorHAnsi" w:cstheme="minorHAnsi"/>
                <w:sz w:val="18"/>
                <w:szCs w:val="18"/>
              </w:rPr>
            </w:pPr>
            <w:r>
              <w:rPr>
                <w:rFonts w:asciiTheme="minorHAnsi" w:hAnsiTheme="minorHAnsi" w:cstheme="minorHAnsi"/>
                <w:sz w:val="18"/>
                <w:szCs w:val="18"/>
              </w:rPr>
              <w:t>Data source: (a) escrow account financial statements, reports on collected and distributed revenues, expenditures plans submitted by BT to Escrow Account bank; (b) statements from other bank accounts.</w:t>
            </w:r>
          </w:p>
          <w:p w14:paraId="4C4C020B" w14:textId="6877DD99" w:rsidR="00004B73" w:rsidRPr="001B1012" w:rsidRDefault="00004B73" w:rsidP="00004B73">
            <w:pPr>
              <w:rPr>
                <w:rFonts w:asciiTheme="minorHAnsi" w:hAnsiTheme="minorHAnsi" w:cstheme="minorHAnsi"/>
                <w:sz w:val="18"/>
                <w:szCs w:val="18"/>
              </w:rPr>
            </w:pPr>
            <w:r>
              <w:rPr>
                <w:rFonts w:asciiTheme="minorHAnsi" w:hAnsiTheme="minorHAnsi" w:cstheme="minorHAnsi"/>
                <w:sz w:val="18"/>
                <w:szCs w:val="18"/>
              </w:rPr>
              <w:t>Agency: MEWR</w:t>
            </w:r>
          </w:p>
        </w:tc>
        <w:tc>
          <w:tcPr>
            <w:tcW w:w="624" w:type="pct"/>
          </w:tcPr>
          <w:p w14:paraId="1AF73C3C" w14:textId="77777777" w:rsidR="00004B73" w:rsidRDefault="00004B73" w:rsidP="00004B73">
            <w:pPr>
              <w:rPr>
                <w:rFonts w:asciiTheme="minorHAnsi" w:hAnsiTheme="minorHAnsi" w:cstheme="minorHAnsi"/>
                <w:sz w:val="18"/>
                <w:szCs w:val="18"/>
              </w:rPr>
            </w:pPr>
            <w:r>
              <w:rPr>
                <w:rFonts w:asciiTheme="minorHAnsi" w:hAnsiTheme="minorHAnsi" w:cstheme="minorHAnsi"/>
                <w:sz w:val="18"/>
                <w:szCs w:val="18"/>
              </w:rPr>
              <w:t>Auditor/financial consultant with qualifications and TOR acceptable to the Bank.</w:t>
            </w:r>
          </w:p>
        </w:tc>
        <w:tc>
          <w:tcPr>
            <w:tcW w:w="947" w:type="pct"/>
          </w:tcPr>
          <w:p w14:paraId="19CE9447" w14:textId="77777777" w:rsidR="00004B73" w:rsidRDefault="00004B73" w:rsidP="00004B73">
            <w:pPr>
              <w:rPr>
                <w:rFonts w:asciiTheme="minorHAnsi" w:hAnsiTheme="minorHAnsi" w:cstheme="minorHAnsi"/>
                <w:sz w:val="18"/>
                <w:szCs w:val="18"/>
              </w:rPr>
            </w:pPr>
            <w:r>
              <w:rPr>
                <w:rFonts w:asciiTheme="minorHAnsi" w:hAnsiTheme="minorHAnsi" w:cstheme="minorHAnsi"/>
                <w:sz w:val="18"/>
                <w:szCs w:val="18"/>
              </w:rPr>
              <w:t xml:space="preserve">The IVA will: (a) validate whether the Escrow Account Agreement between the Escrow Account bank and BT, SIB, and STB is effective; (b) confirm whether the minimum required terms and conditions of the Escrow Account Agreement are consistent with the requirements of the </w:t>
            </w:r>
            <w:r w:rsidRPr="005C6541">
              <w:rPr>
                <w:rFonts w:asciiTheme="minorHAnsi" w:hAnsiTheme="minorHAnsi" w:cstheme="minorHAnsi"/>
                <w:sz w:val="18"/>
                <w:szCs w:val="18"/>
              </w:rPr>
              <w:t>Escrow Account Regulations and other applicable legislation</w:t>
            </w:r>
            <w:r>
              <w:rPr>
                <w:rFonts w:asciiTheme="minorHAnsi" w:hAnsiTheme="minorHAnsi" w:cstheme="minorHAnsi"/>
                <w:sz w:val="18"/>
                <w:szCs w:val="18"/>
              </w:rPr>
              <w:t>;</w:t>
            </w:r>
            <w:r w:rsidRPr="005C6541">
              <w:rPr>
                <w:rFonts w:asciiTheme="minorHAnsi" w:hAnsiTheme="minorHAnsi" w:cstheme="minorHAnsi"/>
                <w:sz w:val="18"/>
                <w:szCs w:val="18"/>
              </w:rPr>
              <w:t xml:space="preserve"> (c) confirm that collection and distribution of revenues is carried out in accordance with the requirements of the Escrow Account Regulations</w:t>
            </w:r>
            <w:r>
              <w:rPr>
                <w:rFonts w:asciiTheme="minorHAnsi" w:hAnsiTheme="minorHAnsi" w:cstheme="minorHAnsi"/>
                <w:sz w:val="18"/>
                <w:szCs w:val="18"/>
              </w:rPr>
              <w:t xml:space="preserve">; and (d) </w:t>
            </w:r>
            <w:r>
              <w:rPr>
                <w:rFonts w:asciiTheme="minorHAnsi" w:hAnsiTheme="minorHAnsi" w:cstheme="minorHAnsi"/>
                <w:sz w:val="18"/>
                <w:szCs w:val="18"/>
              </w:rPr>
              <w:lastRenderedPageBreak/>
              <w:t>validate whether cash from other account(s) of BT was prioritized to cover the most expensive liabilities of BT.</w:t>
            </w:r>
          </w:p>
        </w:tc>
      </w:tr>
      <w:tr w:rsidR="00004B73" w:rsidRPr="001B1012" w14:paraId="4FA84553" w14:textId="77777777" w:rsidTr="00591244">
        <w:trPr>
          <w:jc w:val="center"/>
        </w:trPr>
        <w:tc>
          <w:tcPr>
            <w:tcW w:w="1090" w:type="pct"/>
          </w:tcPr>
          <w:p w14:paraId="1F1C9345" w14:textId="0DFFC8F4" w:rsidR="00004B73" w:rsidRPr="00004B73" w:rsidRDefault="00004B73" w:rsidP="00004B73">
            <w:pPr>
              <w:widowControl/>
              <w:autoSpaceDE/>
              <w:autoSpaceDN/>
              <w:adjustRightInd/>
              <w:rPr>
                <w:rFonts w:asciiTheme="minorHAnsi" w:hAnsiTheme="minorHAnsi" w:cstheme="minorHAnsi"/>
                <w:sz w:val="18"/>
                <w:szCs w:val="18"/>
              </w:rPr>
            </w:pPr>
            <w:r w:rsidRPr="00004B73">
              <w:rPr>
                <w:rFonts w:asciiTheme="minorHAnsi" w:hAnsiTheme="minorHAnsi" w:cstheme="minorHAnsi"/>
                <w:sz w:val="18"/>
                <w:szCs w:val="18"/>
              </w:rPr>
              <w:lastRenderedPageBreak/>
              <w:t>DLR 11.12: By December 31, 2030, (a) collection and distribution of electricity sector revenues from domestic market are systematically carried out according to the Escrow Account Regulations; and (b) expenditures from other account(s) of BT were prioritized consistent with the existing liabilities including payments on sovereign-guaranteed debt</w:t>
            </w:r>
          </w:p>
        </w:tc>
        <w:tc>
          <w:tcPr>
            <w:tcW w:w="1091" w:type="pct"/>
          </w:tcPr>
          <w:p w14:paraId="264A8C38" w14:textId="3909C0A9" w:rsidR="00004B73" w:rsidRPr="00516811" w:rsidRDefault="00004B73" w:rsidP="00004B73">
            <w:pPr>
              <w:pStyle w:val="BodyText"/>
              <w:widowControl/>
              <w:ind w:left="0"/>
              <w:rPr>
                <w:rFonts w:asciiTheme="minorHAnsi" w:hAnsiTheme="minorHAnsi" w:cstheme="minorHAnsi"/>
                <w:b w:val="0"/>
                <w:bCs w:val="0"/>
                <w:sz w:val="18"/>
                <w:szCs w:val="18"/>
              </w:rPr>
            </w:pPr>
            <w:r w:rsidRPr="00516811">
              <w:rPr>
                <w:rFonts w:asciiTheme="minorHAnsi" w:hAnsiTheme="minorHAnsi" w:cstheme="minorHAnsi"/>
                <w:b w:val="0"/>
                <w:bCs w:val="0"/>
                <w:sz w:val="18"/>
                <w:szCs w:val="18"/>
              </w:rPr>
              <w:t xml:space="preserve">The target will be considered achieved if: (a) collection and distribution of electricity sector revenues from domestic market is carried out according to </w:t>
            </w:r>
            <w:r>
              <w:rPr>
                <w:rFonts w:asciiTheme="minorHAnsi" w:hAnsiTheme="minorHAnsi" w:cstheme="minorHAnsi"/>
                <w:b w:val="0"/>
                <w:bCs w:val="0"/>
                <w:sz w:val="18"/>
                <w:szCs w:val="18"/>
              </w:rPr>
              <w:t>Escrow Account Regulations; and (b) expenditures from all other accounts of BT are prioritized in a way to pay for liabilities with the highest cost for BT.</w:t>
            </w:r>
          </w:p>
          <w:p w14:paraId="14F20522" w14:textId="77777777" w:rsidR="00004B73" w:rsidRPr="001B1012" w:rsidRDefault="00004B73" w:rsidP="00004B73">
            <w:pPr>
              <w:rPr>
                <w:rFonts w:asciiTheme="minorHAnsi" w:hAnsiTheme="minorHAnsi" w:cstheme="minorHAnsi"/>
                <w:sz w:val="18"/>
                <w:szCs w:val="18"/>
              </w:rPr>
            </w:pPr>
          </w:p>
        </w:tc>
        <w:tc>
          <w:tcPr>
            <w:tcW w:w="531" w:type="pct"/>
          </w:tcPr>
          <w:p w14:paraId="23BB9317" w14:textId="77777777" w:rsidR="00004B73" w:rsidRPr="001B1012" w:rsidRDefault="00004B73" w:rsidP="00004B73">
            <w:pPr>
              <w:rPr>
                <w:rFonts w:asciiTheme="minorHAnsi" w:hAnsiTheme="minorHAnsi" w:cstheme="minorHAnsi"/>
                <w:sz w:val="18"/>
                <w:szCs w:val="18"/>
              </w:rPr>
            </w:pPr>
            <w:r>
              <w:rPr>
                <w:rFonts w:asciiTheme="minorHAnsi" w:hAnsiTheme="minorHAnsi" w:cstheme="minorHAnsi"/>
                <w:sz w:val="18"/>
                <w:szCs w:val="18"/>
              </w:rPr>
              <w:t>No</w:t>
            </w:r>
          </w:p>
        </w:tc>
        <w:tc>
          <w:tcPr>
            <w:tcW w:w="717" w:type="pct"/>
          </w:tcPr>
          <w:p w14:paraId="6B82E788" w14:textId="77777777" w:rsidR="00004B73" w:rsidRDefault="00004B73" w:rsidP="00004B73">
            <w:pPr>
              <w:rPr>
                <w:rFonts w:asciiTheme="minorHAnsi" w:hAnsiTheme="minorHAnsi" w:cstheme="minorHAnsi"/>
                <w:sz w:val="18"/>
                <w:szCs w:val="18"/>
              </w:rPr>
            </w:pPr>
            <w:r>
              <w:rPr>
                <w:rFonts w:asciiTheme="minorHAnsi" w:hAnsiTheme="minorHAnsi" w:cstheme="minorHAnsi"/>
                <w:sz w:val="18"/>
                <w:szCs w:val="18"/>
              </w:rPr>
              <w:t>Data source: (a) escrow account financial statements, reports on collected and distributed revenues, expenditures plans submitted by BT to Escrow Account bank; (b) statements from other bank accounts.</w:t>
            </w:r>
          </w:p>
          <w:p w14:paraId="0D556D8B" w14:textId="17F94831" w:rsidR="00004B73" w:rsidRPr="001B1012" w:rsidRDefault="00004B73" w:rsidP="00004B73">
            <w:pPr>
              <w:rPr>
                <w:rFonts w:asciiTheme="minorHAnsi" w:hAnsiTheme="minorHAnsi" w:cstheme="minorHAnsi"/>
                <w:sz w:val="18"/>
                <w:szCs w:val="18"/>
              </w:rPr>
            </w:pPr>
            <w:r>
              <w:rPr>
                <w:rFonts w:asciiTheme="minorHAnsi" w:hAnsiTheme="minorHAnsi" w:cstheme="minorHAnsi"/>
                <w:sz w:val="18"/>
                <w:szCs w:val="18"/>
              </w:rPr>
              <w:t>Agency: MEWR</w:t>
            </w:r>
          </w:p>
        </w:tc>
        <w:tc>
          <w:tcPr>
            <w:tcW w:w="624" w:type="pct"/>
          </w:tcPr>
          <w:p w14:paraId="21583175" w14:textId="77777777" w:rsidR="00004B73" w:rsidRDefault="00004B73" w:rsidP="00004B73">
            <w:pPr>
              <w:rPr>
                <w:rFonts w:asciiTheme="minorHAnsi" w:hAnsiTheme="minorHAnsi" w:cstheme="minorHAnsi"/>
                <w:sz w:val="18"/>
                <w:szCs w:val="18"/>
              </w:rPr>
            </w:pPr>
            <w:r>
              <w:rPr>
                <w:rFonts w:asciiTheme="minorHAnsi" w:hAnsiTheme="minorHAnsi" w:cstheme="minorHAnsi"/>
                <w:sz w:val="18"/>
                <w:szCs w:val="18"/>
              </w:rPr>
              <w:t>Auditor/financial consultant with qualifications and TOR acceptable to the Bank.</w:t>
            </w:r>
          </w:p>
        </w:tc>
        <w:tc>
          <w:tcPr>
            <w:tcW w:w="947" w:type="pct"/>
          </w:tcPr>
          <w:p w14:paraId="4F6E25AD" w14:textId="77777777" w:rsidR="00004B73" w:rsidRDefault="00004B73" w:rsidP="00004B73">
            <w:pPr>
              <w:rPr>
                <w:rFonts w:asciiTheme="minorHAnsi" w:hAnsiTheme="minorHAnsi" w:cstheme="minorHAnsi"/>
                <w:sz w:val="18"/>
                <w:szCs w:val="18"/>
              </w:rPr>
            </w:pPr>
            <w:r>
              <w:rPr>
                <w:rFonts w:asciiTheme="minorHAnsi" w:hAnsiTheme="minorHAnsi" w:cstheme="minorHAnsi"/>
                <w:sz w:val="18"/>
                <w:szCs w:val="18"/>
              </w:rPr>
              <w:t xml:space="preserve">The IVA will: (a) validate whether the Escrow Account Agreement between the Escrow Account bank and BT, SIB, and STB is effective; (b) confirm whether the minimum required terms and conditions of the Escrow Account Agreement are consistent with the requirements of the </w:t>
            </w:r>
            <w:r w:rsidRPr="005C6541">
              <w:rPr>
                <w:rFonts w:asciiTheme="minorHAnsi" w:hAnsiTheme="minorHAnsi" w:cstheme="minorHAnsi"/>
                <w:sz w:val="18"/>
                <w:szCs w:val="18"/>
              </w:rPr>
              <w:t>Escrow Account Regulations and other applicable legislation</w:t>
            </w:r>
            <w:r>
              <w:rPr>
                <w:rFonts w:asciiTheme="minorHAnsi" w:hAnsiTheme="minorHAnsi" w:cstheme="minorHAnsi"/>
                <w:sz w:val="18"/>
                <w:szCs w:val="18"/>
              </w:rPr>
              <w:t>;</w:t>
            </w:r>
            <w:r w:rsidRPr="005C6541">
              <w:rPr>
                <w:rFonts w:asciiTheme="minorHAnsi" w:hAnsiTheme="minorHAnsi" w:cstheme="minorHAnsi"/>
                <w:sz w:val="18"/>
                <w:szCs w:val="18"/>
              </w:rPr>
              <w:t xml:space="preserve"> (c) confirm that collection and distribution of revenues is carried out in accordance with the requirements of the Escrow Account Regulations</w:t>
            </w:r>
            <w:r>
              <w:rPr>
                <w:rFonts w:asciiTheme="minorHAnsi" w:hAnsiTheme="minorHAnsi" w:cstheme="minorHAnsi"/>
                <w:sz w:val="18"/>
                <w:szCs w:val="18"/>
              </w:rPr>
              <w:t>; and (d) validate whether cash from other account(s) of BT was prioritized to cover the most expensive liabilities of BT.</w:t>
            </w:r>
          </w:p>
        </w:tc>
      </w:tr>
    </w:tbl>
    <w:p w14:paraId="3C2BCA4C" w14:textId="77777777" w:rsidR="008219C1" w:rsidRDefault="008219C1" w:rsidP="008219C1">
      <w:pPr>
        <w:jc w:val="center"/>
        <w:rPr>
          <w:rFonts w:asciiTheme="minorHAnsi" w:hAnsiTheme="minorHAnsi" w:cstheme="minorHAnsi"/>
          <w:b/>
          <w:sz w:val="22"/>
          <w:szCs w:val="28"/>
        </w:rPr>
      </w:pPr>
    </w:p>
    <w:p w14:paraId="26E81E1C" w14:textId="1284EE16" w:rsidR="008219C1" w:rsidRDefault="008219C1" w:rsidP="005A11BD">
      <w:pPr>
        <w:widowControl/>
        <w:autoSpaceDE/>
        <w:autoSpaceDN/>
        <w:adjustRightInd/>
        <w:jc w:val="center"/>
        <w:rPr>
          <w:rFonts w:asciiTheme="minorHAnsi" w:hAnsiTheme="minorHAnsi"/>
          <w:b/>
          <w:bCs/>
          <w:color w:val="auto"/>
        </w:rPr>
      </w:pPr>
    </w:p>
    <w:p w14:paraId="0CD7743F" w14:textId="77777777" w:rsidR="008219C1" w:rsidRPr="005A11BD" w:rsidRDefault="008219C1" w:rsidP="005A11BD">
      <w:pPr>
        <w:widowControl/>
        <w:autoSpaceDE/>
        <w:autoSpaceDN/>
        <w:adjustRightInd/>
        <w:jc w:val="center"/>
        <w:rPr>
          <w:rFonts w:asciiTheme="minorHAnsi" w:hAnsiTheme="minorHAnsi"/>
          <w:color w:val="auto"/>
        </w:rPr>
      </w:pPr>
    </w:p>
    <w:p w14:paraId="1A2186D2" w14:textId="5C2AC1E0" w:rsidR="00245673" w:rsidRPr="00245673" w:rsidRDefault="00245673" w:rsidP="005A11BD">
      <w:pPr>
        <w:widowControl/>
        <w:autoSpaceDE/>
        <w:autoSpaceDN/>
        <w:adjustRightInd/>
        <w:jc w:val="center"/>
        <w:rPr>
          <w:rFonts w:asciiTheme="minorHAnsi" w:hAnsiTheme="minorHAnsi"/>
          <w:b/>
          <w:bCs/>
          <w:color w:val="auto"/>
        </w:rPr>
        <w:sectPr w:rsidR="00245673" w:rsidRPr="00245673" w:rsidSect="008219C1">
          <w:pgSz w:w="15840" w:h="12240" w:orient="landscape"/>
          <w:pgMar w:top="1440" w:right="1440" w:bottom="1354" w:left="1440" w:header="720" w:footer="720" w:gutter="0"/>
          <w:pgBorders w:offsetFrom="page">
            <w:bottom w:val="single" w:sz="8" w:space="24" w:color="F7F7F7"/>
          </w:pgBorders>
          <w:cols w:space="720"/>
          <w:docGrid w:linePitch="360"/>
        </w:sectPr>
      </w:pPr>
    </w:p>
    <w:p w14:paraId="49770F69" w14:textId="77777777" w:rsidR="005E582D" w:rsidRDefault="005E582D" w:rsidP="00657239">
      <w:pPr>
        <w:pStyle w:val="Normal4"/>
        <w:spacing w:after="0" w:line="240" w:lineRule="auto"/>
        <w:ind w:left="-907"/>
      </w:pPr>
    </w:p>
    <w:tbl>
      <w:tblPr>
        <w:tblStyle w:val="TableGrid"/>
        <w:tblW w:w="1413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50"/>
        <w:gridCol w:w="3180"/>
      </w:tblGrid>
      <w:tr w:rsidR="005E582D" w:rsidRPr="00BB105D" w14:paraId="22BB0DA9" w14:textId="77777777" w:rsidTr="00A64B72">
        <w:tc>
          <w:tcPr>
            <w:tcW w:w="14130" w:type="dxa"/>
            <w:gridSpan w:val="2"/>
          </w:tcPr>
          <w:p w14:paraId="5FA6F2BC" w14:textId="77777777" w:rsidR="005E582D" w:rsidRPr="00BB105D" w:rsidRDefault="005E582D" w:rsidP="00A64B72">
            <w:pPr>
              <w:shd w:val="clear" w:color="auto" w:fill="F7F7F7"/>
              <w:spacing w:line="14" w:lineRule="exact"/>
              <w:ind w:left="-101" w:right="-418"/>
              <w:rPr>
                <w:rFonts w:asciiTheme="minorHAnsi" w:hAnsiTheme="minorHAnsi"/>
                <w:b/>
                <w:bCs/>
                <w:color w:val="F7F7F7"/>
                <w:sz w:val="22"/>
                <w:szCs w:val="22"/>
              </w:rPr>
            </w:pPr>
            <w:r w:rsidRPr="00D814E9">
              <w:rPr>
                <w:rFonts w:asciiTheme="minorHAnsi" w:hAnsiTheme="minorHAnsi"/>
                <w:b/>
                <w:bCs/>
                <w:color w:val="F7F7F7"/>
                <w:sz w:val="22"/>
                <w:szCs w:val="22"/>
              </w:rPr>
              <w:t>ULT_YES_TARGET_VALUES</w:t>
            </w:r>
          </w:p>
        </w:tc>
      </w:tr>
      <w:tr w:rsidR="005E582D" w:rsidRPr="00B77CBF" w14:paraId="2F60E847" w14:textId="77777777" w:rsidTr="00A64B72">
        <w:tblPrEx>
          <w:shd w:val="clear" w:color="auto" w:fill="F2F7FC"/>
        </w:tblPrEx>
        <w:trPr>
          <w:gridAfter w:val="1"/>
          <w:wAfter w:w="3180" w:type="dxa"/>
          <w:trHeight w:val="272"/>
        </w:trPr>
        <w:tc>
          <w:tcPr>
            <w:tcW w:w="10950" w:type="dxa"/>
            <w:shd w:val="clear" w:color="auto" w:fill="F2F7FC"/>
            <w:vAlign w:val="center"/>
          </w:tcPr>
          <w:p w14:paraId="7D07CD6E" w14:textId="77777777" w:rsidR="005E582D" w:rsidRPr="00B77CBF" w:rsidRDefault="005E582D" w:rsidP="00A64B72">
            <w:pPr>
              <w:pStyle w:val="NoSpacing"/>
              <w:jc w:val="center"/>
              <w:outlineLvl w:val="0"/>
              <w:rPr>
                <w:rFonts w:asciiTheme="minorHAnsi" w:hAnsiTheme="minorHAnsi"/>
                <w:b/>
              </w:rPr>
            </w:pPr>
            <w:bookmarkStart w:id="59" w:name="_Toc256000010"/>
            <w:bookmarkStart w:id="60" w:name="_Toc517269165"/>
            <w:bookmarkStart w:id="61" w:name="_Toc520325360"/>
            <w:bookmarkStart w:id="62" w:name="_Toc104869139"/>
            <w:r>
              <w:rPr>
                <w:rFonts w:asciiTheme="minorHAnsi" w:hAnsiTheme="minorHAnsi"/>
                <w:b/>
                <w:color w:val="000000" w:themeColor="text1"/>
              </w:rPr>
              <w:t xml:space="preserve">ANNEX 1: </w:t>
            </w:r>
            <w:r w:rsidRPr="003C3319">
              <w:rPr>
                <w:rFonts w:asciiTheme="minorHAnsi" w:hAnsiTheme="minorHAnsi"/>
                <w:b/>
                <w:color w:val="000000" w:themeColor="text1"/>
              </w:rPr>
              <w:t xml:space="preserve"> </w:t>
            </w:r>
            <w:r>
              <w:rPr>
                <w:rFonts w:asciiTheme="minorHAnsi" w:hAnsiTheme="minorHAnsi"/>
                <w:b/>
                <w:color w:val="000000" w:themeColor="text1"/>
              </w:rPr>
              <w:t>INTEGRATED RISK ASSESSMENT</w:t>
            </w:r>
            <w:bookmarkEnd w:id="59"/>
            <w:bookmarkEnd w:id="60"/>
            <w:bookmarkEnd w:id="61"/>
            <w:bookmarkEnd w:id="62"/>
            <w:r>
              <w:rPr>
                <w:rFonts w:asciiTheme="minorHAnsi" w:hAnsiTheme="minorHAnsi"/>
                <w:b/>
                <w:color w:val="000000" w:themeColor="text1"/>
              </w:rPr>
              <w:t xml:space="preserve"> </w:t>
            </w:r>
          </w:p>
        </w:tc>
      </w:tr>
    </w:tbl>
    <w:p w14:paraId="7119556C" w14:textId="07364EBB" w:rsidR="00657239" w:rsidRDefault="00E60892" w:rsidP="00657239">
      <w:pPr>
        <w:pStyle w:val="Normal4"/>
        <w:spacing w:after="0" w:line="240" w:lineRule="auto"/>
        <w:ind w:left="-907"/>
      </w:pPr>
      <w:r>
        <w:rPr>
          <w:noProof/>
        </w:rPr>
        <mc:AlternateContent>
          <mc:Choice Requires="wps">
            <w:drawing>
              <wp:anchor distT="0" distB="0" distL="114300" distR="114300" simplePos="0" relativeHeight="251670528" behindDoc="0" locked="0" layoutInCell="1" allowOverlap="1" wp14:anchorId="5BD81CAB" wp14:editId="5B63F59A">
                <wp:simplePos x="0" y="0"/>
                <wp:positionH relativeFrom="page">
                  <wp:posOffset>9525</wp:posOffset>
                </wp:positionH>
                <wp:positionV relativeFrom="paragraph">
                  <wp:posOffset>785496</wp:posOffset>
                </wp:positionV>
                <wp:extent cx="7772400" cy="0"/>
                <wp:effectExtent l="0" t="0" r="0" b="0"/>
                <wp:wrapNone/>
                <wp:docPr id="42" name="Straight Connector 42"/>
                <wp:cNvGraphicFramePr/>
                <a:graphic xmlns:a="http://schemas.openxmlformats.org/drawingml/2006/main">
                  <a:graphicData uri="http://schemas.microsoft.com/office/word/2010/wordprocessingShape">
                    <wps:wsp>
                      <wps:cNvCnPr/>
                      <wps:spPr>
                        <a:xfrm>
                          <a:off x="0" y="0"/>
                          <a:ext cx="7772400" cy="0"/>
                        </a:xfrm>
                        <a:prstGeom prst="line">
                          <a:avLst/>
                        </a:prstGeom>
                        <a:ln w="9525">
                          <a:solidFill>
                            <a:schemeClr val="tx1">
                              <a:lumMod val="50000"/>
                              <a:lumOff val="50000"/>
                              <a:alpha val="4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0A0C6D" id="Straight Connector 42"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75pt,61.85pt" to="612.75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" strokecolor="gray [1629]">
                <v:stroke dashstyle="dash" opacity="26214f" joinstyle="miter"/>
                <w10:wrap anchorx="page"/>
              </v:line>
            </w:pict>
          </mc:Fallback>
        </mc:AlternateContent>
      </w:r>
    </w:p>
    <w:sdt>
      <w:sdtPr>
        <w:id w:val="908083107"/>
        <w:lock w:val="sdtContentLocked"/>
        <w:placeholder>
          <w:docPart w:val="FE5BCBFCD7D64654BA77C64E7C2EAB4A"/>
        </w:placeholder>
        <w:showingPlcHdr/>
      </w:sdtPr>
      <w:sdtContent>
        <w:p w14:paraId="73EF0AF7" w14:textId="77777777" w:rsidR="00E60892" w:rsidRDefault="00880CEC" w:rsidP="00081974">
          <w:pPr>
            <w:pStyle w:val="Normal4"/>
            <w:spacing w:after="0" w:line="14" w:lineRule="exact"/>
            <w:ind w:left="-907"/>
          </w:pPr>
          <w:r w:rsidRPr="00081974">
            <w:rPr>
              <w:rStyle w:val="PlaceholderText"/>
              <w:color w:val="FFFFFF" w:themeColor="background1"/>
            </w:rPr>
            <w:t>.</w:t>
          </w:r>
        </w:p>
      </w:sdtContent>
    </w:sdt>
    <w:p w14:paraId="348493F3" w14:textId="77777777" w:rsidR="00A8656A" w:rsidRDefault="00A8656A" w:rsidP="00081974">
      <w:pPr>
        <w:pStyle w:val="Normal4"/>
        <w:spacing w:after="0" w:line="240" w:lineRule="auto"/>
        <w:ind w:left="-907"/>
        <w:sectPr w:rsidR="00A8656A" w:rsidSect="005E582D">
          <w:headerReference w:type="default" r:id="rId34"/>
          <w:footerReference w:type="default" r:id="rId35"/>
          <w:pgSz w:w="12240" w:h="15840"/>
          <w:pgMar w:top="1440" w:right="1354" w:bottom="1440" w:left="1440" w:header="720" w:footer="720" w:gutter="0"/>
          <w:pgBorders w:offsetFrom="page">
            <w:bottom w:val="single" w:sz="8" w:space="24" w:color="F7F7F7"/>
          </w:pgBorders>
          <w:cols w:space="720"/>
          <w:docGrid w:linePitch="360"/>
        </w:sectPr>
      </w:pPr>
    </w:p>
    <w:sdt>
      <w:sdtPr>
        <w:tag w:val="OPS_CORE_SECTION_START_11"/>
        <w:id w:val="1771689640"/>
        <w:lock w:val="sdtContentLocked"/>
        <w:placeholder>
          <w:docPart w:val="BCB53FF608364FF7992FDFDC23CFA9FC"/>
        </w:placeholder>
        <w:showingPlcHdr/>
      </w:sdtPr>
      <w:sdtContent>
        <w:p w14:paraId="5D2CB29C" w14:textId="55F891D5" w:rsidR="00A8656A" w:rsidRDefault="00880CEC" w:rsidP="008111D3">
          <w:pPr>
            <w:pStyle w:val="Normal4"/>
            <w:spacing w:after="0" w:line="14" w:lineRule="exact"/>
            <w:ind w:left="-907"/>
          </w:pPr>
          <w:r w:rsidRPr="008C3D5B">
            <w:rPr>
              <w:rStyle w:val="PlaceholderText"/>
              <w:color w:val="F7F7F7"/>
            </w:rPr>
            <w:t>.</w:t>
          </w:r>
        </w:p>
      </w:sdtContent>
    </w:sdt>
    <w:tbl>
      <w:tblPr>
        <w:tblStyle w:val="TableGrid"/>
        <w:tblW w:w="1053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ook w:val="04A0" w:firstRow="1" w:lastRow="0" w:firstColumn="1" w:lastColumn="0" w:noHBand="0" w:noVBand="1"/>
      </w:tblPr>
      <w:tblGrid>
        <w:gridCol w:w="4805"/>
        <w:gridCol w:w="2411"/>
        <w:gridCol w:w="3423"/>
      </w:tblGrid>
      <w:tr w:rsidR="004F0F3F" w14:paraId="4D1F6A7F" w14:textId="77777777" w:rsidTr="00551B5B">
        <w:trPr>
          <w:trHeight w:val="418"/>
        </w:trPr>
        <w:tc>
          <w:tcPr>
            <w:tcW w:w="10530" w:type="dxa"/>
            <w:gridSpan w:val="3"/>
            <w:shd w:val="clear" w:color="auto" w:fill="F7F7F7"/>
          </w:tcPr>
          <w:p w14:paraId="16CCE2A4" w14:textId="77777777" w:rsidR="00470316" w:rsidRPr="006732E6" w:rsidRDefault="00880CEC" w:rsidP="00551B5B">
            <w:pPr>
              <w:keepNext/>
              <w:shd w:val="clear" w:color="auto" w:fill="F7F7F7"/>
              <w:ind w:left="-14"/>
              <w:rPr>
                <w:rFonts w:ascii="Calibri" w:hAnsi="Calibri" w:cs="Times New Roman"/>
                <w:b/>
                <w:bCs/>
                <w:color w:val="767171"/>
                <w:sz w:val="22"/>
                <w:szCs w:val="22"/>
              </w:rPr>
            </w:pPr>
            <w:r w:rsidRPr="004A6B42">
              <w:rPr>
                <w:rFonts w:ascii="Calibri" w:hAnsi="Calibri" w:cs="Times New Roman"/>
                <w:b/>
                <w:color w:val="002060"/>
                <w:sz w:val="22"/>
                <w:szCs w:val="22"/>
              </w:rPr>
              <w:t>SYSTEMATIC OPERATIONS RISK-RATING TOOL (SORT)</w:t>
            </w:r>
          </w:p>
        </w:tc>
      </w:tr>
      <w:tr w:rsidR="004F0F3F" w14:paraId="72E92D9E" w14:textId="77777777" w:rsidTr="00551B5B">
        <w:trPr>
          <w:trHeight w:val="418"/>
        </w:trPr>
        <w:tc>
          <w:tcPr>
            <w:tcW w:w="4963" w:type="dxa"/>
            <w:tcBorders>
              <w:bottom w:val="single" w:sz="12" w:space="0" w:color="AEAAAA" w:themeColor="background2" w:themeShade="BF"/>
            </w:tcBorders>
            <w:shd w:val="clear" w:color="auto" w:fill="F7F7F7"/>
          </w:tcPr>
          <w:p w14:paraId="49455776" w14:textId="77777777" w:rsidR="00470316" w:rsidRDefault="00880CEC" w:rsidP="00551B5B">
            <w:pPr>
              <w:keepNext/>
              <w:rPr>
                <w:rFonts w:ascii="Calibri" w:eastAsia="Times New Roman" w:hAnsi="Calibri" w:cs="Times New Roman"/>
                <w:b/>
                <w:color w:val="002060"/>
                <w:sz w:val="22"/>
                <w:szCs w:val="22"/>
              </w:rPr>
            </w:pPr>
            <w:r w:rsidRPr="006732E6">
              <w:rPr>
                <w:rFonts w:ascii="Calibri" w:hAnsi="Calibri" w:cs="Times New Roman"/>
                <w:b/>
                <w:bCs/>
                <w:color w:val="767171"/>
                <w:sz w:val="22"/>
                <w:szCs w:val="22"/>
              </w:rPr>
              <w:t>Risk Category</w:t>
            </w:r>
          </w:p>
        </w:tc>
        <w:tc>
          <w:tcPr>
            <w:tcW w:w="2207" w:type="dxa"/>
            <w:tcBorders>
              <w:bottom w:val="single" w:sz="12" w:space="0" w:color="AEAAAA" w:themeColor="background2" w:themeShade="BF"/>
            </w:tcBorders>
            <w:shd w:val="clear" w:color="auto" w:fill="F7F7F7"/>
          </w:tcPr>
          <w:p w14:paraId="04393518" w14:textId="77777777" w:rsidR="00470316" w:rsidRDefault="00880CEC" w:rsidP="00551B5B">
            <w:pPr>
              <w:keepNext/>
              <w:rPr>
                <w:rFonts w:ascii="Calibri" w:eastAsia="Times New Roman" w:hAnsi="Calibri" w:cs="Times New Roman"/>
                <w:b/>
                <w:color w:val="002060"/>
                <w:sz w:val="22"/>
                <w:szCs w:val="22"/>
              </w:rPr>
            </w:pPr>
            <w:r>
              <w:rPr>
                <w:rFonts w:ascii="Calibri" w:hAnsi="Calibri" w:cs="Times New Roman"/>
                <w:b/>
                <w:bCs/>
                <w:color w:val="767171"/>
                <w:sz w:val="22"/>
                <w:szCs w:val="22"/>
              </w:rPr>
              <w:t>Latest ISR Rating</w:t>
            </w:r>
          </w:p>
        </w:tc>
        <w:tc>
          <w:tcPr>
            <w:tcW w:w="3360" w:type="dxa"/>
            <w:tcBorders>
              <w:bottom w:val="single" w:sz="12" w:space="0" w:color="AEAAAA" w:themeColor="background2" w:themeShade="BF"/>
            </w:tcBorders>
            <w:shd w:val="clear" w:color="auto" w:fill="F7F7F7"/>
          </w:tcPr>
          <w:p w14:paraId="21B68A6D" w14:textId="77777777" w:rsidR="00470316" w:rsidRDefault="00880CEC" w:rsidP="00551B5B">
            <w:pPr>
              <w:keepNext/>
              <w:rPr>
                <w:rFonts w:ascii="Calibri" w:eastAsia="Times New Roman" w:hAnsi="Calibri" w:cs="Times New Roman"/>
                <w:b/>
                <w:color w:val="002060"/>
                <w:sz w:val="22"/>
                <w:szCs w:val="22"/>
              </w:rPr>
            </w:pPr>
            <w:r w:rsidRPr="006732E6">
              <w:rPr>
                <w:rFonts w:ascii="Calibri" w:hAnsi="Calibri" w:cs="Times New Roman"/>
                <w:b/>
                <w:bCs/>
                <w:color w:val="767171"/>
                <w:sz w:val="22"/>
                <w:szCs w:val="22"/>
              </w:rPr>
              <w:t>Current Rating</w:t>
            </w:r>
          </w:p>
        </w:tc>
      </w:tr>
      <w:tr w:rsidR="004F0F3F" w14:paraId="41B81EA0" w14:textId="77777777" w:rsidTr="00551B5B">
        <w:trPr>
          <w:trHeight w:val="418"/>
        </w:trPr>
        <w:tc>
          <w:tcPr>
            <w:tcW w:w="10530" w:type="dxa"/>
            <w:gridSpan w:val="3"/>
            <w:tcBorders>
              <w:top w:val="single" w:sz="12" w:space="0" w:color="AEAAAA" w:themeColor="background2" w:themeShade="BF"/>
            </w:tcBorders>
            <w:shd w:val="clear" w:color="auto" w:fill="F7F7F7"/>
            <w:vAlign w:val="center"/>
          </w:tcPr>
          <w:p w14:paraId="7688052D" w14:textId="77777777" w:rsidR="00470316" w:rsidRPr="00A12460" w:rsidRDefault="00470316" w:rsidP="00551B5B">
            <w:pPr>
              <w:spacing w:line="14" w:lineRule="exact"/>
              <w:ind w:left="-43"/>
              <w:rPr>
                <w:rFonts w:asciiTheme="minorHAnsi" w:hAnsiTheme="minorHAnsi"/>
                <w:noProof/>
                <w:sz w:val="22"/>
                <w:szCs w:val="22"/>
              </w:rPr>
            </w:pPr>
          </w:p>
          <w:tbl>
            <w:tblPr>
              <w:tblStyle w:val="TableGrid"/>
              <w:tblW w:w="10422" w:type="dxa"/>
              <w:tblBorders>
                <w:top w:val="none" w:sz="0" w:space="0" w:color="auto"/>
                <w:left w:val="none" w:sz="0" w:space="0" w:color="auto"/>
                <w:bottom w:val="single" w:sz="6" w:space="0" w:color="AEAAAA" w:themeColor="background2" w:themeShade="BF"/>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104"/>
              <w:gridCol w:w="2078"/>
              <w:gridCol w:w="3240"/>
            </w:tblGrid>
            <w:tr w:rsidR="004F0F3F" w14:paraId="20A0164E" w14:textId="77777777" w:rsidTr="001F4FA2">
              <w:tc>
                <w:tcPr>
                  <w:tcW w:w="5104" w:type="dxa"/>
                  <w:tcBorders>
                    <w:bottom w:val="single" w:sz="4" w:space="0" w:color="D9D9D9"/>
                  </w:tcBorders>
                  <w:vAlign w:val="center"/>
                </w:tcPr>
                <w:p w14:paraId="5B3B7613" w14:textId="77777777" w:rsidR="00470316" w:rsidRPr="00A12460" w:rsidRDefault="00880CEC" w:rsidP="00551B5B">
                  <w:pPr>
                    <w:spacing w:before="80"/>
                    <w:rPr>
                      <w:rFonts w:asciiTheme="minorHAnsi" w:hAnsiTheme="minorHAnsi"/>
                      <w:sz w:val="22"/>
                      <w:szCs w:val="22"/>
                    </w:rPr>
                  </w:pPr>
                  <w:r w:rsidRPr="005B30C6">
                    <w:rPr>
                      <w:rFonts w:asciiTheme="minorHAnsi" w:hAnsiTheme="minorHAnsi"/>
                      <w:noProof/>
                      <w:sz w:val="22"/>
                      <w:szCs w:val="22"/>
                    </w:rPr>
                    <w:t>Political and Governance</w:t>
                  </w:r>
                </w:p>
              </w:tc>
              <w:tc>
                <w:tcPr>
                  <w:tcW w:w="2078" w:type="dxa"/>
                  <w:tcBorders>
                    <w:bottom w:val="single" w:sz="4" w:space="0" w:color="D9D9D9"/>
                  </w:tcBorders>
                  <w:vAlign w:val="center"/>
                </w:tcPr>
                <w:p w14:paraId="132D91F1" w14:textId="77777777" w:rsidR="00470316" w:rsidRPr="00A12460" w:rsidRDefault="00880CEC" w:rsidP="00551B5B">
                  <w:pPr>
                    <w:rPr>
                      <w:rFonts w:asciiTheme="minorHAnsi" w:hAnsiTheme="minorHAnsi"/>
                      <w:noProof/>
                      <w:sz w:val="22"/>
                      <w:szCs w:val="22"/>
                    </w:rPr>
                  </w:pP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="L" </w:instrText>
                  </w:r>
                  <w:r w:rsidRPr="00A12460">
                    <w:rPr>
                      <w:rFonts w:ascii="Wingdings" w:hAnsi="Wingdings"/>
                      <w:color w:val="7CAF1B"/>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="M" </w:instrText>
                  </w:r>
                  <w:r w:rsidRPr="00A12460">
                    <w:rPr>
                      <w:rFonts w:ascii="Wingdings" w:hAnsi="Wingdings"/>
                      <w:color w:val="FECC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="H" </w:instrText>
                  </w:r>
                  <w:r w:rsidRPr="00A12460">
                    <w:rPr>
                      <w:rFonts w:ascii="Wingdings" w:hAnsi="Wingdings"/>
                      <w:color w:val="FC0301"/>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="S" </w:instrText>
                  </w:r>
                  <w:r w:rsidRPr="00A12460">
                    <w:rPr>
                      <w:rFonts w:ascii="Wingdings" w:hAnsi="Wingdings"/>
                      <w:color w:val="FFAF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separate"/>
                  </w:r>
                  <w:r w:rsidRPr="00A12460">
                    <w:rPr>
                      <w:rFonts w:ascii="Wingdings" w:hAnsi="Wingdings"/>
                      <w:color w:val="FFAF00"/>
                      <w:sz w:val="22"/>
                      <w:szCs w:val="22"/>
                    </w:rPr>
                    <w:sym w:font="Wingdings" w:char="F06C"/>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t xml:space="preserve"> </w:t>
                  </w:r>
                  <w:r w:rsidRPr="005B30C6">
                    <w:rPr>
                      <w:rFonts w:asciiTheme="minorHAnsi" w:hAnsiTheme="minorHAnsi"/>
                      <w:noProof/>
                      <w:sz w:val="22"/>
                      <w:szCs w:val="22"/>
                    </w:rPr>
                    <w:t>Substantial</w:t>
                  </w:r>
                </w:p>
              </w:tc>
              <w:tc>
                <w:tcPr>
                  <w:tcW w:w="3240" w:type="dxa"/>
                  <w:tcBorders>
                    <w:bottom w:val="single" w:sz="4" w:space="0" w:color="D9D9D9"/>
                  </w:tcBorders>
                  <w:vAlign w:val="center"/>
                </w:tcPr>
                <w:p w14:paraId="564498A0" w14:textId="77777777" w:rsidR="00470316" w:rsidRPr="00A12460" w:rsidRDefault="00880CEC" w:rsidP="00551B5B">
                  <w:pPr>
                    <w:rPr>
                      <w:rFonts w:asciiTheme="minorHAnsi" w:hAnsiTheme="minorHAnsi"/>
                      <w:noProof/>
                      <w:sz w:val="22"/>
                      <w:szCs w:val="22"/>
                    </w:rPr>
                  </w:pP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="L" </w:instrText>
                  </w:r>
                  <w:r w:rsidRPr="00A12460">
                    <w:rPr>
                      <w:rFonts w:ascii="Wingdings" w:hAnsi="Wingdings"/>
                      <w:color w:val="7CAF1B"/>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="M" </w:instrText>
                  </w:r>
                  <w:r w:rsidRPr="00A12460">
                    <w:rPr>
                      <w:rFonts w:ascii="Wingdings" w:hAnsi="Wingdings"/>
                      <w:color w:val="FECC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="H" </w:instrText>
                  </w:r>
                  <w:r w:rsidRPr="00A12460">
                    <w:rPr>
                      <w:rFonts w:ascii="Wingdings" w:hAnsi="Wingdings"/>
                      <w:color w:val="FC0301"/>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="S" </w:instrText>
                  </w:r>
                  <w:r w:rsidRPr="00A12460">
                    <w:rPr>
                      <w:rFonts w:ascii="Wingdings" w:hAnsi="Wingdings"/>
                      <w:color w:val="FFAF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separate"/>
                  </w:r>
                  <w:r w:rsidRPr="00A12460">
                    <w:rPr>
                      <w:rFonts w:ascii="Wingdings" w:hAnsi="Wingdings"/>
                      <w:color w:val="FFAF00"/>
                      <w:sz w:val="22"/>
                      <w:szCs w:val="22"/>
                    </w:rPr>
                    <w:sym w:font="Wingdings" w:char="F06C"/>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t xml:space="preserve"> </w:t>
                  </w:r>
                  <w:r w:rsidRPr="00A12460">
                    <w:rPr>
                      <w:rFonts w:asciiTheme="minorHAnsi" w:hAnsiTheme="minorHAnsi"/>
                      <w:noProof/>
                      <w:sz w:val="22"/>
                      <w:szCs w:val="22"/>
                    </w:rPr>
                    <w:t>Substantial</w:t>
                  </w:r>
                </w:p>
              </w:tc>
            </w:tr>
          </w:tbl>
          <w:p w14:paraId="3884828E" w14:textId="77777777" w:rsidR="00470316" w:rsidRPr="00726742" w:rsidRDefault="00470316" w:rsidP="00551B5B">
            <w:pPr>
              <w:spacing w:line="14" w:lineRule="exact"/>
              <w:ind w:left="-43"/>
              <w:rPr>
                <w:rFonts w:asciiTheme="minorHAnsi" w:hAnsiTheme="minorHAnsi"/>
                <w:noProof/>
                <w:sz w:val="22"/>
                <w:szCs w:val="22"/>
              </w:rPr>
            </w:pPr>
          </w:p>
          <w:p w14:paraId="4E9161B8" w14:textId="77777777" w:rsidR="00470316" w:rsidRPr="00A12460" w:rsidRDefault="00470316" w:rsidP="00551B5B">
            <w:pPr>
              <w:spacing w:line="14" w:lineRule="exact"/>
              <w:ind w:left="-43"/>
              <w:rPr>
                <w:rFonts w:asciiTheme="minorHAnsi" w:hAnsiTheme="minorHAnsi"/>
                <w:noProof/>
                <w:sz w:val="22"/>
                <w:szCs w:val="22"/>
              </w:rPr>
            </w:pPr>
          </w:p>
          <w:tbl>
            <w:tblPr>
              <w:tblStyle w:val="TableGrid"/>
              <w:tblW w:w="10422" w:type="dxa"/>
              <w:tblBorders>
                <w:top w:val="none" w:sz="0" w:space="0" w:color="auto"/>
                <w:left w:val="none" w:sz="0" w:space="0" w:color="auto"/>
                <w:bottom w:val="single" w:sz="6" w:space="0" w:color="AEAAAA" w:themeColor="background2" w:themeShade="BF"/>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104"/>
              <w:gridCol w:w="2078"/>
              <w:gridCol w:w="3240"/>
            </w:tblGrid>
            <w:tr w:rsidR="004F0F3F" w14:paraId="49AF78AE" w14:textId="77777777" w:rsidTr="001F4FA2">
              <w:tc>
                <w:tcPr>
                  <w:tcW w:w="5104" w:type="dxa"/>
                  <w:tcBorders>
                    <w:bottom w:val="single" w:sz="4" w:space="0" w:color="D9D9D9"/>
                  </w:tcBorders>
                  <w:vAlign w:val="center"/>
                </w:tcPr>
                <w:p w14:paraId="3A5EAB68" w14:textId="77777777" w:rsidR="00470316" w:rsidRPr="00A12460" w:rsidRDefault="00880CEC" w:rsidP="00551B5B">
                  <w:pPr>
                    <w:spacing w:before="80"/>
                    <w:rPr>
                      <w:rFonts w:asciiTheme="minorHAnsi" w:hAnsiTheme="minorHAnsi"/>
                      <w:sz w:val="22"/>
                      <w:szCs w:val="22"/>
                    </w:rPr>
                  </w:pPr>
                  <w:r w:rsidRPr="005B30C6">
                    <w:rPr>
                      <w:rFonts w:asciiTheme="minorHAnsi" w:hAnsiTheme="minorHAnsi"/>
                      <w:noProof/>
                      <w:sz w:val="22"/>
                      <w:szCs w:val="22"/>
                    </w:rPr>
                    <w:t>Macroeconomic</w:t>
                  </w:r>
                </w:p>
              </w:tc>
              <w:tc>
                <w:tcPr>
                  <w:tcW w:w="2078" w:type="dxa"/>
                  <w:tcBorders>
                    <w:bottom w:val="single" w:sz="4" w:space="0" w:color="D9D9D9"/>
                  </w:tcBorders>
                  <w:vAlign w:val="center"/>
                </w:tcPr>
                <w:p w14:paraId="5CE28D45" w14:textId="77777777" w:rsidR="00470316" w:rsidRPr="00A12460" w:rsidRDefault="00880CEC" w:rsidP="00551B5B">
                  <w:pPr>
                    <w:rPr>
                      <w:rFonts w:asciiTheme="minorHAnsi" w:hAnsiTheme="minorHAnsi"/>
                      <w:noProof/>
                      <w:sz w:val="22"/>
                      <w:szCs w:val="22"/>
                    </w:rPr>
                  </w:pP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H</w:instrText>
                  </w:r>
                  <w:r w:rsidRPr="00A12460">
                    <w:rPr>
                      <w:rFonts w:asciiTheme="minorHAnsi" w:hAnsiTheme="minorHAnsi"/>
                      <w:color w:val="000000" w:themeColor="text1"/>
                      <w:sz w:val="22"/>
                      <w:szCs w:val="22"/>
                    </w:rPr>
                    <w:instrText xml:space="preserve"> ="L" </w:instrText>
                  </w:r>
                  <w:r w:rsidRPr="00A12460">
                    <w:rPr>
                      <w:rFonts w:ascii="Wingdings" w:hAnsi="Wingdings"/>
                      <w:color w:val="7CAF1B"/>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H</w:instrText>
                  </w:r>
                  <w:r w:rsidRPr="00A12460">
                    <w:rPr>
                      <w:rFonts w:asciiTheme="minorHAnsi" w:hAnsiTheme="minorHAnsi"/>
                      <w:color w:val="000000" w:themeColor="text1"/>
                      <w:sz w:val="22"/>
                      <w:szCs w:val="22"/>
                    </w:rPr>
                    <w:instrText xml:space="preserve"> ="M" </w:instrText>
                  </w:r>
                  <w:r w:rsidRPr="00A12460">
                    <w:rPr>
                      <w:rFonts w:ascii="Wingdings" w:hAnsi="Wingdings"/>
                      <w:color w:val="FECC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H</w:instrText>
                  </w:r>
                  <w:r w:rsidRPr="00A12460">
                    <w:rPr>
                      <w:rFonts w:asciiTheme="minorHAnsi" w:hAnsiTheme="minorHAnsi"/>
                      <w:color w:val="000000" w:themeColor="text1"/>
                      <w:sz w:val="22"/>
                      <w:szCs w:val="22"/>
                    </w:rPr>
                    <w:instrText xml:space="preserve"> ="H" </w:instrText>
                  </w:r>
                  <w:r w:rsidRPr="00A12460">
                    <w:rPr>
                      <w:rFonts w:ascii="Wingdings" w:hAnsi="Wingdings"/>
                      <w:color w:val="FC0301"/>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separate"/>
                  </w:r>
                  <w:r w:rsidRPr="00A12460">
                    <w:rPr>
                      <w:rFonts w:ascii="Wingdings" w:hAnsi="Wingdings"/>
                      <w:color w:val="FC0301"/>
                      <w:sz w:val="22"/>
                      <w:szCs w:val="22"/>
                    </w:rPr>
                    <w:sym w:font="Wingdings" w:char="F06C"/>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H</w:instrText>
                  </w:r>
                  <w:r w:rsidRPr="00A12460">
                    <w:rPr>
                      <w:rFonts w:asciiTheme="minorHAnsi" w:hAnsiTheme="minorHAnsi"/>
                      <w:color w:val="000000" w:themeColor="text1"/>
                      <w:sz w:val="22"/>
                      <w:szCs w:val="22"/>
                    </w:rPr>
                    <w:instrText xml:space="preserve"> ="S" </w:instrText>
                  </w:r>
                  <w:r w:rsidRPr="00A12460">
                    <w:rPr>
                      <w:rFonts w:ascii="Wingdings" w:hAnsi="Wingdings"/>
                      <w:color w:val="FFAF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t xml:space="preserve"> </w:t>
                  </w:r>
                  <w:r w:rsidRPr="005B30C6">
                    <w:rPr>
                      <w:rFonts w:asciiTheme="minorHAnsi" w:hAnsiTheme="minorHAnsi"/>
                      <w:noProof/>
                      <w:sz w:val="22"/>
                      <w:szCs w:val="22"/>
                    </w:rPr>
                    <w:t>High</w:t>
                  </w:r>
                </w:p>
              </w:tc>
              <w:tc>
                <w:tcPr>
                  <w:tcW w:w="3240" w:type="dxa"/>
                  <w:tcBorders>
                    <w:bottom w:val="single" w:sz="4" w:space="0" w:color="D9D9D9"/>
                  </w:tcBorders>
                  <w:vAlign w:val="center"/>
                </w:tcPr>
                <w:p w14:paraId="7A527DC2" w14:textId="77777777" w:rsidR="00470316" w:rsidRPr="00A12460" w:rsidRDefault="00880CEC" w:rsidP="00551B5B">
                  <w:pPr>
                    <w:rPr>
                      <w:rFonts w:asciiTheme="minorHAnsi" w:hAnsiTheme="minorHAnsi"/>
                      <w:noProof/>
                      <w:sz w:val="22"/>
                      <w:szCs w:val="22"/>
                    </w:rPr>
                  </w:pP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H</w:instrText>
                  </w:r>
                  <w:r w:rsidRPr="00A12460">
                    <w:rPr>
                      <w:rFonts w:asciiTheme="minorHAnsi" w:hAnsiTheme="minorHAnsi"/>
                      <w:color w:val="000000" w:themeColor="text1"/>
                      <w:sz w:val="22"/>
                      <w:szCs w:val="22"/>
                    </w:rPr>
                    <w:instrText xml:space="preserve"> ="L" </w:instrText>
                  </w:r>
                  <w:r w:rsidRPr="00A12460">
                    <w:rPr>
                      <w:rFonts w:ascii="Wingdings" w:hAnsi="Wingdings"/>
                      <w:color w:val="7CAF1B"/>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H</w:instrText>
                  </w:r>
                  <w:r w:rsidRPr="00A12460">
                    <w:rPr>
                      <w:rFonts w:asciiTheme="minorHAnsi" w:hAnsiTheme="minorHAnsi"/>
                      <w:color w:val="000000" w:themeColor="text1"/>
                      <w:sz w:val="22"/>
                      <w:szCs w:val="22"/>
                    </w:rPr>
                    <w:instrText xml:space="preserve"> ="M" </w:instrText>
                  </w:r>
                  <w:r w:rsidRPr="00A12460">
                    <w:rPr>
                      <w:rFonts w:ascii="Wingdings" w:hAnsi="Wingdings"/>
                      <w:color w:val="FECC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H</w:instrText>
                  </w:r>
                  <w:r w:rsidRPr="00A12460">
                    <w:rPr>
                      <w:rFonts w:asciiTheme="minorHAnsi" w:hAnsiTheme="minorHAnsi"/>
                      <w:color w:val="000000" w:themeColor="text1"/>
                      <w:sz w:val="22"/>
                      <w:szCs w:val="22"/>
                    </w:rPr>
                    <w:instrText xml:space="preserve"> ="H" </w:instrText>
                  </w:r>
                  <w:r w:rsidRPr="00A12460">
                    <w:rPr>
                      <w:rFonts w:ascii="Wingdings" w:hAnsi="Wingdings"/>
                      <w:color w:val="FC0301"/>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separate"/>
                  </w:r>
                  <w:r w:rsidRPr="00A12460">
                    <w:rPr>
                      <w:rFonts w:ascii="Wingdings" w:hAnsi="Wingdings"/>
                      <w:color w:val="FC0301"/>
                      <w:sz w:val="22"/>
                      <w:szCs w:val="22"/>
                    </w:rPr>
                    <w:sym w:font="Wingdings" w:char="F06C"/>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H</w:instrText>
                  </w:r>
                  <w:r w:rsidRPr="00A12460">
                    <w:rPr>
                      <w:rFonts w:asciiTheme="minorHAnsi" w:hAnsiTheme="minorHAnsi"/>
                      <w:color w:val="000000" w:themeColor="text1"/>
                      <w:sz w:val="22"/>
                      <w:szCs w:val="22"/>
                    </w:rPr>
                    <w:instrText xml:space="preserve"> ="S" </w:instrText>
                  </w:r>
                  <w:r w:rsidRPr="00A12460">
                    <w:rPr>
                      <w:rFonts w:ascii="Wingdings" w:hAnsi="Wingdings"/>
                      <w:color w:val="FFAF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t xml:space="preserve"> </w:t>
                  </w:r>
                  <w:r w:rsidRPr="00A12460">
                    <w:rPr>
                      <w:rFonts w:asciiTheme="minorHAnsi" w:hAnsiTheme="minorHAnsi"/>
                      <w:noProof/>
                      <w:sz w:val="22"/>
                      <w:szCs w:val="22"/>
                    </w:rPr>
                    <w:t>High</w:t>
                  </w:r>
                </w:p>
              </w:tc>
            </w:tr>
          </w:tbl>
          <w:p w14:paraId="6BB59921" w14:textId="77777777" w:rsidR="00470316" w:rsidRPr="00726742" w:rsidRDefault="00470316" w:rsidP="00551B5B">
            <w:pPr>
              <w:spacing w:line="14" w:lineRule="exact"/>
              <w:ind w:left="-43"/>
              <w:rPr>
                <w:rFonts w:asciiTheme="minorHAnsi" w:hAnsiTheme="minorHAnsi"/>
                <w:noProof/>
                <w:sz w:val="22"/>
                <w:szCs w:val="22"/>
              </w:rPr>
            </w:pPr>
          </w:p>
          <w:p w14:paraId="30C072BD" w14:textId="77777777" w:rsidR="00470316" w:rsidRPr="00A12460" w:rsidRDefault="00470316" w:rsidP="00551B5B">
            <w:pPr>
              <w:spacing w:line="14" w:lineRule="exact"/>
              <w:ind w:left="-43"/>
              <w:rPr>
                <w:rFonts w:asciiTheme="minorHAnsi" w:hAnsiTheme="minorHAnsi"/>
                <w:noProof/>
                <w:sz w:val="22"/>
                <w:szCs w:val="22"/>
              </w:rPr>
            </w:pPr>
          </w:p>
          <w:tbl>
            <w:tblPr>
              <w:tblStyle w:val="TableGrid"/>
              <w:tblW w:w="10422" w:type="dxa"/>
              <w:tblBorders>
                <w:top w:val="none" w:sz="0" w:space="0" w:color="auto"/>
                <w:left w:val="none" w:sz="0" w:space="0" w:color="auto"/>
                <w:bottom w:val="single" w:sz="6" w:space="0" w:color="AEAAAA" w:themeColor="background2" w:themeShade="BF"/>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104"/>
              <w:gridCol w:w="2078"/>
              <w:gridCol w:w="3240"/>
            </w:tblGrid>
            <w:tr w:rsidR="004F0F3F" w14:paraId="6F9A5972" w14:textId="77777777" w:rsidTr="001F4FA2">
              <w:tc>
                <w:tcPr>
                  <w:tcW w:w="5104" w:type="dxa"/>
                  <w:tcBorders>
                    <w:bottom w:val="single" w:sz="4" w:space="0" w:color="D9D9D9"/>
                  </w:tcBorders>
                  <w:vAlign w:val="center"/>
                </w:tcPr>
                <w:p w14:paraId="61FE77ED" w14:textId="77777777" w:rsidR="00470316" w:rsidRPr="00A12460" w:rsidRDefault="00880CEC" w:rsidP="00551B5B">
                  <w:pPr>
                    <w:spacing w:before="80"/>
                    <w:rPr>
                      <w:rFonts w:asciiTheme="minorHAnsi" w:hAnsiTheme="minorHAnsi"/>
                      <w:sz w:val="22"/>
                      <w:szCs w:val="22"/>
                    </w:rPr>
                  </w:pPr>
                  <w:r w:rsidRPr="005B30C6">
                    <w:rPr>
                      <w:rFonts w:asciiTheme="minorHAnsi" w:hAnsiTheme="minorHAnsi"/>
                      <w:noProof/>
                      <w:sz w:val="22"/>
                      <w:szCs w:val="22"/>
                    </w:rPr>
                    <w:t>Sector Strategies and Policies</w:t>
                  </w:r>
                </w:p>
              </w:tc>
              <w:tc>
                <w:tcPr>
                  <w:tcW w:w="2078" w:type="dxa"/>
                  <w:tcBorders>
                    <w:bottom w:val="single" w:sz="4" w:space="0" w:color="D9D9D9"/>
                  </w:tcBorders>
                  <w:vAlign w:val="center"/>
                </w:tcPr>
                <w:p w14:paraId="7A4BB2EF" w14:textId="77777777" w:rsidR="00470316" w:rsidRPr="00A12460" w:rsidRDefault="00880CEC" w:rsidP="00551B5B">
                  <w:pPr>
                    <w:rPr>
                      <w:rFonts w:asciiTheme="minorHAnsi" w:hAnsiTheme="minorHAnsi"/>
                      <w:noProof/>
                      <w:sz w:val="22"/>
                      <w:szCs w:val="22"/>
                    </w:rPr>
                  </w:pP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="L" </w:instrText>
                  </w:r>
                  <w:r w:rsidRPr="00A12460">
                    <w:rPr>
                      <w:rFonts w:ascii="Wingdings" w:hAnsi="Wingdings"/>
                      <w:color w:val="7CAF1B"/>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="M" </w:instrText>
                  </w:r>
                  <w:r w:rsidRPr="00A12460">
                    <w:rPr>
                      <w:rFonts w:ascii="Wingdings" w:hAnsi="Wingdings"/>
                      <w:color w:val="FECC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separate"/>
                  </w:r>
                  <w:r w:rsidRPr="00A12460">
                    <w:rPr>
                      <w:rFonts w:ascii="Wingdings" w:hAnsi="Wingdings"/>
                      <w:color w:val="FECC00"/>
                      <w:sz w:val="22"/>
                      <w:szCs w:val="22"/>
                    </w:rPr>
                    <w:sym w:font="Wingdings" w:char="F06C"/>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="H" </w:instrText>
                  </w:r>
                  <w:r w:rsidRPr="00A12460">
                    <w:rPr>
                      <w:rFonts w:ascii="Wingdings" w:hAnsi="Wingdings"/>
                      <w:color w:val="FC0301"/>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="S" </w:instrText>
                  </w:r>
                  <w:r w:rsidRPr="00A12460">
                    <w:rPr>
                      <w:rFonts w:ascii="Wingdings" w:hAnsi="Wingdings"/>
                      <w:color w:val="FFAF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t xml:space="preserve"> </w:t>
                  </w:r>
                  <w:r w:rsidRPr="005B30C6">
                    <w:rPr>
                      <w:rFonts w:asciiTheme="minorHAnsi" w:hAnsiTheme="minorHAnsi"/>
                      <w:noProof/>
                      <w:sz w:val="22"/>
                      <w:szCs w:val="22"/>
                    </w:rPr>
                    <w:t>Moderate</w:t>
                  </w:r>
                </w:p>
              </w:tc>
              <w:tc>
                <w:tcPr>
                  <w:tcW w:w="3240" w:type="dxa"/>
                  <w:tcBorders>
                    <w:bottom w:val="single" w:sz="4" w:space="0" w:color="D9D9D9"/>
                  </w:tcBorders>
                  <w:vAlign w:val="center"/>
                </w:tcPr>
                <w:p w14:paraId="451C73FC" w14:textId="77777777" w:rsidR="00470316" w:rsidRPr="00A12460" w:rsidRDefault="00880CEC" w:rsidP="00551B5B">
                  <w:pPr>
                    <w:rPr>
                      <w:rFonts w:asciiTheme="minorHAnsi" w:hAnsiTheme="minorHAnsi"/>
                      <w:noProof/>
                      <w:sz w:val="22"/>
                      <w:szCs w:val="22"/>
                    </w:rPr>
                  </w:pP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="L" </w:instrText>
                  </w:r>
                  <w:r w:rsidRPr="00A12460">
                    <w:rPr>
                      <w:rFonts w:ascii="Wingdings" w:hAnsi="Wingdings"/>
                      <w:color w:val="7CAF1B"/>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="M" </w:instrText>
                  </w:r>
                  <w:r w:rsidRPr="00A12460">
                    <w:rPr>
                      <w:rFonts w:ascii="Wingdings" w:hAnsi="Wingdings"/>
                      <w:color w:val="FECC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separate"/>
                  </w:r>
                  <w:r w:rsidRPr="00A12460">
                    <w:rPr>
                      <w:rFonts w:ascii="Wingdings" w:hAnsi="Wingdings"/>
                      <w:color w:val="FECC00"/>
                      <w:sz w:val="22"/>
                      <w:szCs w:val="22"/>
                    </w:rPr>
                    <w:sym w:font="Wingdings" w:char="F06C"/>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="H" </w:instrText>
                  </w:r>
                  <w:r w:rsidRPr="00A12460">
                    <w:rPr>
                      <w:rFonts w:ascii="Wingdings" w:hAnsi="Wingdings"/>
                      <w:color w:val="FC0301"/>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="S" </w:instrText>
                  </w:r>
                  <w:r w:rsidRPr="00A12460">
                    <w:rPr>
                      <w:rFonts w:ascii="Wingdings" w:hAnsi="Wingdings"/>
                      <w:color w:val="FFAF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t xml:space="preserve"> </w:t>
                  </w:r>
                  <w:r w:rsidRPr="00A12460">
                    <w:rPr>
                      <w:rFonts w:asciiTheme="minorHAnsi" w:hAnsiTheme="minorHAnsi"/>
                      <w:noProof/>
                      <w:sz w:val="22"/>
                      <w:szCs w:val="22"/>
                    </w:rPr>
                    <w:t>Moderate</w:t>
                  </w:r>
                </w:p>
              </w:tc>
            </w:tr>
          </w:tbl>
          <w:p w14:paraId="0F664E86" w14:textId="77777777" w:rsidR="00470316" w:rsidRPr="00726742" w:rsidRDefault="00470316" w:rsidP="00551B5B">
            <w:pPr>
              <w:spacing w:line="14" w:lineRule="exact"/>
              <w:ind w:left="-43"/>
              <w:rPr>
                <w:rFonts w:asciiTheme="minorHAnsi" w:hAnsiTheme="minorHAnsi"/>
                <w:noProof/>
                <w:sz w:val="22"/>
                <w:szCs w:val="22"/>
              </w:rPr>
            </w:pPr>
          </w:p>
          <w:p w14:paraId="62DF1191" w14:textId="77777777" w:rsidR="00470316" w:rsidRPr="00A12460" w:rsidRDefault="00470316" w:rsidP="00551B5B">
            <w:pPr>
              <w:spacing w:line="14" w:lineRule="exact"/>
              <w:ind w:left="-43"/>
              <w:rPr>
                <w:rFonts w:asciiTheme="minorHAnsi" w:hAnsiTheme="minorHAnsi"/>
                <w:noProof/>
                <w:sz w:val="22"/>
                <w:szCs w:val="22"/>
              </w:rPr>
            </w:pPr>
          </w:p>
          <w:tbl>
            <w:tblPr>
              <w:tblStyle w:val="TableGrid"/>
              <w:tblW w:w="10422" w:type="dxa"/>
              <w:tblBorders>
                <w:top w:val="none" w:sz="0" w:space="0" w:color="auto"/>
                <w:left w:val="none" w:sz="0" w:space="0" w:color="auto"/>
                <w:bottom w:val="single" w:sz="6" w:space="0" w:color="AEAAAA" w:themeColor="background2" w:themeShade="BF"/>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104"/>
              <w:gridCol w:w="2078"/>
              <w:gridCol w:w="3240"/>
            </w:tblGrid>
            <w:tr w:rsidR="004F0F3F" w14:paraId="5D10AF5D" w14:textId="77777777" w:rsidTr="001F4FA2">
              <w:tc>
                <w:tcPr>
                  <w:tcW w:w="5104" w:type="dxa"/>
                  <w:tcBorders>
                    <w:bottom w:val="single" w:sz="4" w:space="0" w:color="D9D9D9"/>
                  </w:tcBorders>
                  <w:vAlign w:val="center"/>
                </w:tcPr>
                <w:p w14:paraId="22B1CBEF" w14:textId="77777777" w:rsidR="00470316" w:rsidRPr="00A12460" w:rsidRDefault="00880CEC" w:rsidP="00551B5B">
                  <w:pPr>
                    <w:spacing w:before="80"/>
                    <w:rPr>
                      <w:rFonts w:asciiTheme="minorHAnsi" w:hAnsiTheme="minorHAnsi"/>
                      <w:sz w:val="22"/>
                      <w:szCs w:val="22"/>
                    </w:rPr>
                  </w:pPr>
                  <w:r w:rsidRPr="005B30C6">
                    <w:rPr>
                      <w:rFonts w:asciiTheme="minorHAnsi" w:hAnsiTheme="minorHAnsi"/>
                      <w:noProof/>
                      <w:sz w:val="22"/>
                      <w:szCs w:val="22"/>
                    </w:rPr>
                    <w:t>Technical Design of Project or Program</w:t>
                  </w:r>
                </w:p>
              </w:tc>
              <w:tc>
                <w:tcPr>
                  <w:tcW w:w="2078" w:type="dxa"/>
                  <w:tcBorders>
                    <w:bottom w:val="single" w:sz="4" w:space="0" w:color="D9D9D9"/>
                  </w:tcBorders>
                  <w:vAlign w:val="center"/>
                </w:tcPr>
                <w:p w14:paraId="19E944A7" w14:textId="77777777" w:rsidR="00470316" w:rsidRPr="00A12460" w:rsidRDefault="00880CEC" w:rsidP="00551B5B">
                  <w:pPr>
                    <w:rPr>
                      <w:rFonts w:asciiTheme="minorHAnsi" w:hAnsiTheme="minorHAnsi"/>
                      <w:noProof/>
                      <w:sz w:val="22"/>
                      <w:szCs w:val="22"/>
                    </w:rPr>
                  </w:pP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="L" </w:instrText>
                  </w:r>
                  <w:r w:rsidRPr="00A12460">
                    <w:rPr>
                      <w:rFonts w:ascii="Wingdings" w:hAnsi="Wingdings"/>
                      <w:color w:val="7CAF1B"/>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="M" </w:instrText>
                  </w:r>
                  <w:r w:rsidRPr="00A12460">
                    <w:rPr>
                      <w:rFonts w:ascii="Wingdings" w:hAnsi="Wingdings"/>
                      <w:color w:val="FECC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separate"/>
                  </w:r>
                  <w:r w:rsidRPr="00A12460">
                    <w:rPr>
                      <w:rFonts w:ascii="Wingdings" w:hAnsi="Wingdings"/>
                      <w:color w:val="FECC00"/>
                      <w:sz w:val="22"/>
                      <w:szCs w:val="22"/>
                    </w:rPr>
                    <w:sym w:font="Wingdings" w:char="F06C"/>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="H" </w:instrText>
                  </w:r>
                  <w:r w:rsidRPr="00A12460">
                    <w:rPr>
                      <w:rFonts w:ascii="Wingdings" w:hAnsi="Wingdings"/>
                      <w:color w:val="FC0301"/>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="S" </w:instrText>
                  </w:r>
                  <w:r w:rsidRPr="00A12460">
                    <w:rPr>
                      <w:rFonts w:ascii="Wingdings" w:hAnsi="Wingdings"/>
                      <w:color w:val="FFAF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t xml:space="preserve"> </w:t>
                  </w:r>
                  <w:r w:rsidRPr="005B30C6">
                    <w:rPr>
                      <w:rFonts w:asciiTheme="minorHAnsi" w:hAnsiTheme="minorHAnsi"/>
                      <w:noProof/>
                      <w:sz w:val="22"/>
                      <w:szCs w:val="22"/>
                    </w:rPr>
                    <w:t>Moderate</w:t>
                  </w:r>
                </w:p>
              </w:tc>
              <w:tc>
                <w:tcPr>
                  <w:tcW w:w="3240" w:type="dxa"/>
                  <w:tcBorders>
                    <w:bottom w:val="single" w:sz="4" w:space="0" w:color="D9D9D9"/>
                  </w:tcBorders>
                  <w:vAlign w:val="center"/>
                </w:tcPr>
                <w:p w14:paraId="24FB7052" w14:textId="77777777" w:rsidR="00470316" w:rsidRPr="00A12460" w:rsidRDefault="00880CEC" w:rsidP="00551B5B">
                  <w:pPr>
                    <w:rPr>
                      <w:rFonts w:asciiTheme="minorHAnsi" w:hAnsiTheme="minorHAnsi"/>
                      <w:noProof/>
                      <w:sz w:val="22"/>
                      <w:szCs w:val="22"/>
                    </w:rPr>
                  </w:pP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="L" </w:instrText>
                  </w:r>
                  <w:r w:rsidRPr="00A12460">
                    <w:rPr>
                      <w:rFonts w:ascii="Wingdings" w:hAnsi="Wingdings"/>
                      <w:color w:val="7CAF1B"/>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="M" </w:instrText>
                  </w:r>
                  <w:r w:rsidRPr="00A12460">
                    <w:rPr>
                      <w:rFonts w:ascii="Wingdings" w:hAnsi="Wingdings"/>
                      <w:color w:val="FECC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separate"/>
                  </w:r>
                  <w:r w:rsidRPr="00A12460">
                    <w:rPr>
                      <w:rFonts w:ascii="Wingdings" w:hAnsi="Wingdings"/>
                      <w:color w:val="FECC00"/>
                      <w:sz w:val="22"/>
                      <w:szCs w:val="22"/>
                    </w:rPr>
                    <w:sym w:font="Wingdings" w:char="F06C"/>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="H" </w:instrText>
                  </w:r>
                  <w:r w:rsidRPr="00A12460">
                    <w:rPr>
                      <w:rFonts w:ascii="Wingdings" w:hAnsi="Wingdings"/>
                      <w:color w:val="FC0301"/>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="S" </w:instrText>
                  </w:r>
                  <w:r w:rsidRPr="00A12460">
                    <w:rPr>
                      <w:rFonts w:ascii="Wingdings" w:hAnsi="Wingdings"/>
                      <w:color w:val="FFAF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t xml:space="preserve"> </w:t>
                  </w:r>
                  <w:r w:rsidRPr="00A12460">
                    <w:rPr>
                      <w:rFonts w:asciiTheme="minorHAnsi" w:hAnsiTheme="minorHAnsi"/>
                      <w:noProof/>
                      <w:sz w:val="22"/>
                      <w:szCs w:val="22"/>
                    </w:rPr>
                    <w:t>Moderate</w:t>
                  </w:r>
                </w:p>
              </w:tc>
            </w:tr>
          </w:tbl>
          <w:p w14:paraId="642457C1" w14:textId="77777777" w:rsidR="00470316" w:rsidRPr="00726742" w:rsidRDefault="00470316" w:rsidP="00551B5B">
            <w:pPr>
              <w:spacing w:line="14" w:lineRule="exact"/>
              <w:ind w:left="-43"/>
              <w:rPr>
                <w:rFonts w:asciiTheme="minorHAnsi" w:hAnsiTheme="minorHAnsi"/>
                <w:noProof/>
                <w:sz w:val="22"/>
                <w:szCs w:val="22"/>
              </w:rPr>
            </w:pPr>
          </w:p>
          <w:p w14:paraId="61476034" w14:textId="77777777" w:rsidR="00470316" w:rsidRPr="00A12460" w:rsidRDefault="00470316" w:rsidP="00551B5B">
            <w:pPr>
              <w:spacing w:line="14" w:lineRule="exact"/>
              <w:ind w:left="-43"/>
              <w:rPr>
                <w:rFonts w:asciiTheme="minorHAnsi" w:hAnsiTheme="minorHAnsi"/>
                <w:noProof/>
                <w:sz w:val="22"/>
                <w:szCs w:val="22"/>
              </w:rPr>
            </w:pPr>
          </w:p>
          <w:tbl>
            <w:tblPr>
              <w:tblStyle w:val="TableGrid"/>
              <w:tblW w:w="10422" w:type="dxa"/>
              <w:tblBorders>
                <w:top w:val="none" w:sz="0" w:space="0" w:color="auto"/>
                <w:left w:val="none" w:sz="0" w:space="0" w:color="auto"/>
                <w:bottom w:val="single" w:sz="6" w:space="0" w:color="AEAAAA" w:themeColor="background2" w:themeShade="BF"/>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104"/>
              <w:gridCol w:w="2078"/>
              <w:gridCol w:w="3240"/>
            </w:tblGrid>
            <w:tr w:rsidR="004F0F3F" w14:paraId="79D43835" w14:textId="77777777" w:rsidTr="001F4FA2">
              <w:tc>
                <w:tcPr>
                  <w:tcW w:w="5104" w:type="dxa"/>
                  <w:tcBorders>
                    <w:bottom w:val="single" w:sz="4" w:space="0" w:color="D9D9D9"/>
                  </w:tcBorders>
                  <w:vAlign w:val="center"/>
                </w:tcPr>
                <w:p w14:paraId="0A42839C" w14:textId="77777777" w:rsidR="00470316" w:rsidRPr="00A12460" w:rsidRDefault="00880CEC" w:rsidP="00551B5B">
                  <w:pPr>
                    <w:spacing w:before="80"/>
                    <w:rPr>
                      <w:rFonts w:asciiTheme="minorHAnsi" w:hAnsiTheme="minorHAnsi"/>
                      <w:sz w:val="22"/>
                      <w:szCs w:val="22"/>
                    </w:rPr>
                  </w:pPr>
                  <w:r w:rsidRPr="005B30C6">
                    <w:rPr>
                      <w:rFonts w:asciiTheme="minorHAnsi" w:hAnsiTheme="minorHAnsi"/>
                      <w:noProof/>
                      <w:sz w:val="22"/>
                      <w:szCs w:val="22"/>
                    </w:rPr>
                    <w:t>Institutional Capacity for Implementation and Sustainability</w:t>
                  </w:r>
                </w:p>
              </w:tc>
              <w:tc>
                <w:tcPr>
                  <w:tcW w:w="2078" w:type="dxa"/>
                  <w:tcBorders>
                    <w:bottom w:val="single" w:sz="4" w:space="0" w:color="D9D9D9"/>
                  </w:tcBorders>
                  <w:vAlign w:val="center"/>
                </w:tcPr>
                <w:p w14:paraId="34BFAD8C" w14:textId="77777777" w:rsidR="00470316" w:rsidRPr="00A12460" w:rsidRDefault="00880CEC" w:rsidP="00551B5B">
                  <w:pPr>
                    <w:rPr>
                      <w:rFonts w:asciiTheme="minorHAnsi" w:hAnsiTheme="minorHAnsi"/>
                      <w:noProof/>
                      <w:sz w:val="22"/>
                      <w:szCs w:val="22"/>
                    </w:rPr>
                  </w:pP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="L" </w:instrText>
                  </w:r>
                  <w:r w:rsidRPr="00A12460">
                    <w:rPr>
                      <w:rFonts w:ascii="Wingdings" w:hAnsi="Wingdings"/>
                      <w:color w:val="7CAF1B"/>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="M" </w:instrText>
                  </w:r>
                  <w:r w:rsidRPr="00A12460">
                    <w:rPr>
                      <w:rFonts w:ascii="Wingdings" w:hAnsi="Wingdings"/>
                      <w:color w:val="FECC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separate"/>
                  </w:r>
                  <w:r w:rsidRPr="00A12460">
                    <w:rPr>
                      <w:rFonts w:ascii="Wingdings" w:hAnsi="Wingdings"/>
                      <w:color w:val="FECC00"/>
                      <w:sz w:val="22"/>
                      <w:szCs w:val="22"/>
                    </w:rPr>
                    <w:sym w:font="Wingdings" w:char="F06C"/>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="H" </w:instrText>
                  </w:r>
                  <w:r w:rsidRPr="00A12460">
                    <w:rPr>
                      <w:rFonts w:ascii="Wingdings" w:hAnsi="Wingdings"/>
                      <w:color w:val="FC0301"/>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="S" </w:instrText>
                  </w:r>
                  <w:r w:rsidRPr="00A12460">
                    <w:rPr>
                      <w:rFonts w:ascii="Wingdings" w:hAnsi="Wingdings"/>
                      <w:color w:val="FFAF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t xml:space="preserve"> </w:t>
                  </w:r>
                  <w:r w:rsidRPr="005B30C6">
                    <w:rPr>
                      <w:rFonts w:asciiTheme="minorHAnsi" w:hAnsiTheme="minorHAnsi"/>
                      <w:noProof/>
                      <w:sz w:val="22"/>
                      <w:szCs w:val="22"/>
                    </w:rPr>
                    <w:t>Moderate</w:t>
                  </w:r>
                </w:p>
              </w:tc>
              <w:tc>
                <w:tcPr>
                  <w:tcW w:w="3240" w:type="dxa"/>
                  <w:tcBorders>
                    <w:bottom w:val="single" w:sz="4" w:space="0" w:color="D9D9D9"/>
                  </w:tcBorders>
                  <w:vAlign w:val="center"/>
                </w:tcPr>
                <w:p w14:paraId="38719E57" w14:textId="77777777" w:rsidR="00470316" w:rsidRPr="00A12460" w:rsidRDefault="00880CEC" w:rsidP="00551B5B">
                  <w:pPr>
                    <w:rPr>
                      <w:rFonts w:asciiTheme="minorHAnsi" w:hAnsiTheme="minorHAnsi"/>
                      <w:noProof/>
                      <w:sz w:val="22"/>
                      <w:szCs w:val="22"/>
                    </w:rPr>
                  </w:pP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="L" </w:instrText>
                  </w:r>
                  <w:r w:rsidRPr="00A12460">
                    <w:rPr>
                      <w:rFonts w:ascii="Wingdings" w:hAnsi="Wingdings"/>
                      <w:color w:val="7CAF1B"/>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="M" </w:instrText>
                  </w:r>
                  <w:r w:rsidRPr="00A12460">
                    <w:rPr>
                      <w:rFonts w:ascii="Wingdings" w:hAnsi="Wingdings"/>
                      <w:color w:val="FECC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separate"/>
                  </w:r>
                  <w:r w:rsidRPr="00A12460">
                    <w:rPr>
                      <w:rFonts w:ascii="Wingdings" w:hAnsi="Wingdings"/>
                      <w:color w:val="FECC00"/>
                      <w:sz w:val="22"/>
                      <w:szCs w:val="22"/>
                    </w:rPr>
                    <w:sym w:font="Wingdings" w:char="F06C"/>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="H" </w:instrText>
                  </w:r>
                  <w:r w:rsidRPr="00A12460">
                    <w:rPr>
                      <w:rFonts w:ascii="Wingdings" w:hAnsi="Wingdings"/>
                      <w:color w:val="FC0301"/>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="S" </w:instrText>
                  </w:r>
                  <w:r w:rsidRPr="00A12460">
                    <w:rPr>
                      <w:rFonts w:ascii="Wingdings" w:hAnsi="Wingdings"/>
                      <w:color w:val="FFAF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t xml:space="preserve"> </w:t>
                  </w:r>
                  <w:r w:rsidRPr="00A12460">
                    <w:rPr>
                      <w:rFonts w:asciiTheme="minorHAnsi" w:hAnsiTheme="minorHAnsi"/>
                      <w:noProof/>
                      <w:sz w:val="22"/>
                      <w:szCs w:val="22"/>
                    </w:rPr>
                    <w:t>Moderate</w:t>
                  </w:r>
                </w:p>
              </w:tc>
            </w:tr>
          </w:tbl>
          <w:p w14:paraId="5D7D49D4" w14:textId="77777777" w:rsidR="00470316" w:rsidRPr="00726742" w:rsidRDefault="00470316" w:rsidP="00551B5B">
            <w:pPr>
              <w:spacing w:line="14" w:lineRule="exact"/>
              <w:ind w:left="-43"/>
              <w:rPr>
                <w:rFonts w:asciiTheme="minorHAnsi" w:hAnsiTheme="minorHAnsi"/>
                <w:noProof/>
                <w:sz w:val="22"/>
                <w:szCs w:val="22"/>
              </w:rPr>
            </w:pPr>
          </w:p>
          <w:p w14:paraId="2A863E88" w14:textId="77777777" w:rsidR="00470316" w:rsidRPr="00A12460" w:rsidRDefault="00470316" w:rsidP="00551B5B">
            <w:pPr>
              <w:spacing w:line="14" w:lineRule="exact"/>
              <w:ind w:left="-43"/>
              <w:rPr>
                <w:rFonts w:asciiTheme="minorHAnsi" w:hAnsiTheme="minorHAnsi"/>
                <w:noProof/>
                <w:sz w:val="22"/>
                <w:szCs w:val="22"/>
              </w:rPr>
            </w:pPr>
          </w:p>
          <w:tbl>
            <w:tblPr>
              <w:tblStyle w:val="TableGrid"/>
              <w:tblW w:w="10422" w:type="dxa"/>
              <w:tblBorders>
                <w:top w:val="none" w:sz="0" w:space="0" w:color="auto"/>
                <w:left w:val="none" w:sz="0" w:space="0" w:color="auto"/>
                <w:bottom w:val="single" w:sz="6" w:space="0" w:color="AEAAAA" w:themeColor="background2" w:themeShade="BF"/>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104"/>
              <w:gridCol w:w="2078"/>
              <w:gridCol w:w="3240"/>
            </w:tblGrid>
            <w:tr w:rsidR="004F0F3F" w14:paraId="78D310B9" w14:textId="77777777" w:rsidTr="001F4FA2">
              <w:tc>
                <w:tcPr>
                  <w:tcW w:w="5104" w:type="dxa"/>
                  <w:tcBorders>
                    <w:bottom w:val="single" w:sz="4" w:space="0" w:color="D9D9D9"/>
                  </w:tcBorders>
                  <w:vAlign w:val="center"/>
                </w:tcPr>
                <w:p w14:paraId="7B19AC30" w14:textId="77777777" w:rsidR="00470316" w:rsidRPr="00A12460" w:rsidRDefault="00880CEC" w:rsidP="00551B5B">
                  <w:pPr>
                    <w:spacing w:before="80"/>
                    <w:rPr>
                      <w:rFonts w:asciiTheme="minorHAnsi" w:hAnsiTheme="minorHAnsi"/>
                      <w:sz w:val="22"/>
                      <w:szCs w:val="22"/>
                    </w:rPr>
                  </w:pPr>
                  <w:r w:rsidRPr="005B30C6">
                    <w:rPr>
                      <w:rFonts w:asciiTheme="minorHAnsi" w:hAnsiTheme="minorHAnsi"/>
                      <w:noProof/>
                      <w:sz w:val="22"/>
                      <w:szCs w:val="22"/>
                    </w:rPr>
                    <w:t>Fiduciary</w:t>
                  </w:r>
                </w:p>
              </w:tc>
              <w:tc>
                <w:tcPr>
                  <w:tcW w:w="2078" w:type="dxa"/>
                  <w:tcBorders>
                    <w:bottom w:val="single" w:sz="4" w:space="0" w:color="D9D9D9"/>
                  </w:tcBorders>
                  <w:vAlign w:val="center"/>
                </w:tcPr>
                <w:p w14:paraId="22EFA3E7" w14:textId="77777777" w:rsidR="00470316" w:rsidRPr="00A12460" w:rsidRDefault="00880CEC" w:rsidP="00551B5B">
                  <w:pPr>
                    <w:rPr>
                      <w:rFonts w:asciiTheme="minorHAnsi" w:hAnsiTheme="minorHAnsi"/>
                      <w:noProof/>
                      <w:sz w:val="22"/>
                      <w:szCs w:val="22"/>
                    </w:rPr>
                  </w:pP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H</w:instrText>
                  </w:r>
                  <w:r w:rsidRPr="00A12460">
                    <w:rPr>
                      <w:rFonts w:asciiTheme="minorHAnsi" w:hAnsiTheme="minorHAnsi"/>
                      <w:color w:val="000000" w:themeColor="text1"/>
                      <w:sz w:val="22"/>
                      <w:szCs w:val="22"/>
                    </w:rPr>
                    <w:instrText xml:space="preserve"> ="L" </w:instrText>
                  </w:r>
                  <w:r w:rsidRPr="00A12460">
                    <w:rPr>
                      <w:rFonts w:ascii="Wingdings" w:hAnsi="Wingdings"/>
                      <w:color w:val="7CAF1B"/>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H</w:instrText>
                  </w:r>
                  <w:r w:rsidRPr="00A12460">
                    <w:rPr>
                      <w:rFonts w:asciiTheme="minorHAnsi" w:hAnsiTheme="minorHAnsi"/>
                      <w:color w:val="000000" w:themeColor="text1"/>
                      <w:sz w:val="22"/>
                      <w:szCs w:val="22"/>
                    </w:rPr>
                    <w:instrText xml:space="preserve"> ="M" </w:instrText>
                  </w:r>
                  <w:r w:rsidRPr="00A12460">
                    <w:rPr>
                      <w:rFonts w:ascii="Wingdings" w:hAnsi="Wingdings"/>
                      <w:color w:val="FECC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H</w:instrText>
                  </w:r>
                  <w:r w:rsidRPr="00A12460">
                    <w:rPr>
                      <w:rFonts w:asciiTheme="minorHAnsi" w:hAnsiTheme="minorHAnsi"/>
                      <w:color w:val="000000" w:themeColor="text1"/>
                      <w:sz w:val="22"/>
                      <w:szCs w:val="22"/>
                    </w:rPr>
                    <w:instrText xml:space="preserve"> ="H" </w:instrText>
                  </w:r>
                  <w:r w:rsidRPr="00A12460">
                    <w:rPr>
                      <w:rFonts w:ascii="Wingdings" w:hAnsi="Wingdings"/>
                      <w:color w:val="FC0301"/>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separate"/>
                  </w:r>
                  <w:r w:rsidRPr="00A12460">
                    <w:rPr>
                      <w:rFonts w:ascii="Wingdings" w:hAnsi="Wingdings"/>
                      <w:color w:val="FC0301"/>
                      <w:sz w:val="22"/>
                      <w:szCs w:val="22"/>
                    </w:rPr>
                    <w:sym w:font="Wingdings" w:char="F06C"/>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H</w:instrText>
                  </w:r>
                  <w:r w:rsidRPr="00A12460">
                    <w:rPr>
                      <w:rFonts w:asciiTheme="minorHAnsi" w:hAnsiTheme="minorHAnsi"/>
                      <w:color w:val="000000" w:themeColor="text1"/>
                      <w:sz w:val="22"/>
                      <w:szCs w:val="22"/>
                    </w:rPr>
                    <w:instrText xml:space="preserve"> ="S" </w:instrText>
                  </w:r>
                  <w:r w:rsidRPr="00A12460">
                    <w:rPr>
                      <w:rFonts w:ascii="Wingdings" w:hAnsi="Wingdings"/>
                      <w:color w:val="FFAF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t xml:space="preserve"> </w:t>
                  </w:r>
                  <w:r w:rsidRPr="005B30C6">
                    <w:rPr>
                      <w:rFonts w:asciiTheme="minorHAnsi" w:hAnsiTheme="minorHAnsi"/>
                      <w:noProof/>
                      <w:sz w:val="22"/>
                      <w:szCs w:val="22"/>
                    </w:rPr>
                    <w:t>High</w:t>
                  </w:r>
                </w:p>
              </w:tc>
              <w:tc>
                <w:tcPr>
                  <w:tcW w:w="3240" w:type="dxa"/>
                  <w:tcBorders>
                    <w:bottom w:val="single" w:sz="4" w:space="0" w:color="D9D9D9"/>
                  </w:tcBorders>
                  <w:vAlign w:val="center"/>
                </w:tcPr>
                <w:p w14:paraId="5E6F8F23" w14:textId="77777777" w:rsidR="00470316" w:rsidRPr="00A12460" w:rsidRDefault="00880CEC" w:rsidP="00551B5B">
                  <w:pPr>
                    <w:rPr>
                      <w:rFonts w:asciiTheme="minorHAnsi" w:hAnsiTheme="minorHAnsi"/>
                      <w:noProof/>
                      <w:sz w:val="22"/>
                      <w:szCs w:val="22"/>
                    </w:rPr>
                  </w:pP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="L" </w:instrText>
                  </w:r>
                  <w:r w:rsidRPr="00A12460">
                    <w:rPr>
                      <w:rFonts w:ascii="Wingdings" w:hAnsi="Wingdings"/>
                      <w:color w:val="7CAF1B"/>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="M" </w:instrText>
                  </w:r>
                  <w:r w:rsidRPr="00A12460">
                    <w:rPr>
                      <w:rFonts w:ascii="Wingdings" w:hAnsi="Wingdings"/>
                      <w:color w:val="FECC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="H" </w:instrText>
                  </w:r>
                  <w:r w:rsidRPr="00A12460">
                    <w:rPr>
                      <w:rFonts w:ascii="Wingdings" w:hAnsi="Wingdings"/>
                      <w:color w:val="FC0301"/>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="S" </w:instrText>
                  </w:r>
                  <w:r w:rsidRPr="00A12460">
                    <w:rPr>
                      <w:rFonts w:ascii="Wingdings" w:hAnsi="Wingdings"/>
                      <w:color w:val="FFAF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separate"/>
                  </w:r>
                  <w:r w:rsidRPr="00A12460">
                    <w:rPr>
                      <w:rFonts w:ascii="Wingdings" w:hAnsi="Wingdings"/>
                      <w:color w:val="FFAF00"/>
                      <w:sz w:val="22"/>
                      <w:szCs w:val="22"/>
                    </w:rPr>
                    <w:sym w:font="Wingdings" w:char="F06C"/>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t xml:space="preserve"> </w:t>
                  </w:r>
                  <w:r w:rsidRPr="00A12460">
                    <w:rPr>
                      <w:rFonts w:asciiTheme="minorHAnsi" w:hAnsiTheme="minorHAnsi"/>
                      <w:noProof/>
                      <w:sz w:val="22"/>
                      <w:szCs w:val="22"/>
                    </w:rPr>
                    <w:t>Substantial</w:t>
                  </w:r>
                </w:p>
              </w:tc>
            </w:tr>
          </w:tbl>
          <w:p w14:paraId="54356F55" w14:textId="77777777" w:rsidR="00470316" w:rsidRPr="00726742" w:rsidRDefault="00470316" w:rsidP="00551B5B">
            <w:pPr>
              <w:spacing w:line="14" w:lineRule="exact"/>
              <w:ind w:left="-43"/>
              <w:rPr>
                <w:rFonts w:asciiTheme="minorHAnsi" w:hAnsiTheme="minorHAnsi"/>
                <w:noProof/>
                <w:sz w:val="22"/>
                <w:szCs w:val="22"/>
              </w:rPr>
            </w:pPr>
          </w:p>
          <w:p w14:paraId="20FCFFE6" w14:textId="77777777" w:rsidR="00470316" w:rsidRPr="00A12460" w:rsidRDefault="00470316" w:rsidP="00551B5B">
            <w:pPr>
              <w:spacing w:line="14" w:lineRule="exact"/>
              <w:ind w:left="-43"/>
              <w:rPr>
                <w:rFonts w:asciiTheme="minorHAnsi" w:hAnsiTheme="minorHAnsi"/>
                <w:noProof/>
                <w:sz w:val="22"/>
                <w:szCs w:val="22"/>
              </w:rPr>
            </w:pPr>
          </w:p>
          <w:tbl>
            <w:tblPr>
              <w:tblStyle w:val="TableGrid"/>
              <w:tblW w:w="10422" w:type="dxa"/>
              <w:tblBorders>
                <w:top w:val="none" w:sz="0" w:space="0" w:color="auto"/>
                <w:left w:val="none" w:sz="0" w:space="0" w:color="auto"/>
                <w:bottom w:val="single" w:sz="6" w:space="0" w:color="AEAAAA" w:themeColor="background2" w:themeShade="BF"/>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104"/>
              <w:gridCol w:w="2078"/>
              <w:gridCol w:w="3240"/>
            </w:tblGrid>
            <w:tr w:rsidR="004F0F3F" w14:paraId="4DD12B24" w14:textId="77777777" w:rsidTr="001F4FA2">
              <w:tc>
                <w:tcPr>
                  <w:tcW w:w="5104" w:type="dxa"/>
                  <w:tcBorders>
                    <w:bottom w:val="single" w:sz="4" w:space="0" w:color="D9D9D9"/>
                  </w:tcBorders>
                  <w:vAlign w:val="center"/>
                </w:tcPr>
                <w:p w14:paraId="24F1E33D" w14:textId="77777777" w:rsidR="00470316" w:rsidRPr="00A12460" w:rsidRDefault="00880CEC" w:rsidP="00551B5B">
                  <w:pPr>
                    <w:spacing w:before="80"/>
                    <w:rPr>
                      <w:rFonts w:asciiTheme="minorHAnsi" w:hAnsiTheme="minorHAnsi"/>
                      <w:sz w:val="22"/>
                      <w:szCs w:val="22"/>
                    </w:rPr>
                  </w:pPr>
                  <w:r w:rsidRPr="005B30C6">
                    <w:rPr>
                      <w:rFonts w:asciiTheme="minorHAnsi" w:hAnsiTheme="minorHAnsi"/>
                      <w:noProof/>
                      <w:sz w:val="22"/>
                      <w:szCs w:val="22"/>
                    </w:rPr>
                    <w:t>Environment and Social</w:t>
                  </w:r>
                </w:p>
              </w:tc>
              <w:tc>
                <w:tcPr>
                  <w:tcW w:w="2078" w:type="dxa"/>
                  <w:tcBorders>
                    <w:bottom w:val="single" w:sz="4" w:space="0" w:color="D9D9D9"/>
                  </w:tcBorders>
                  <w:vAlign w:val="center"/>
                </w:tcPr>
                <w:p w14:paraId="6EA755FA" w14:textId="77777777" w:rsidR="00470316" w:rsidRPr="00A12460" w:rsidRDefault="00880CEC" w:rsidP="00551B5B">
                  <w:pPr>
                    <w:rPr>
                      <w:rFonts w:asciiTheme="minorHAnsi" w:hAnsiTheme="minorHAnsi"/>
                      <w:noProof/>
                      <w:sz w:val="22"/>
                      <w:szCs w:val="22"/>
                    </w:rPr>
                  </w:pP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="L" </w:instrText>
                  </w:r>
                  <w:r w:rsidRPr="00A12460">
                    <w:rPr>
                      <w:rFonts w:ascii="Wingdings" w:hAnsi="Wingdings"/>
                      <w:color w:val="7CAF1B"/>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="M" </w:instrText>
                  </w:r>
                  <w:r w:rsidRPr="00A12460">
                    <w:rPr>
                      <w:rFonts w:ascii="Wingdings" w:hAnsi="Wingdings"/>
                      <w:color w:val="FECC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="H" </w:instrText>
                  </w:r>
                  <w:r w:rsidRPr="00A12460">
                    <w:rPr>
                      <w:rFonts w:ascii="Wingdings" w:hAnsi="Wingdings"/>
                      <w:color w:val="FC0301"/>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="S" </w:instrText>
                  </w:r>
                  <w:r w:rsidRPr="00A12460">
                    <w:rPr>
                      <w:rFonts w:ascii="Wingdings" w:hAnsi="Wingdings"/>
                      <w:color w:val="FFAF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separate"/>
                  </w:r>
                  <w:r w:rsidRPr="00A12460">
                    <w:rPr>
                      <w:rFonts w:ascii="Wingdings" w:hAnsi="Wingdings"/>
                      <w:color w:val="FFAF00"/>
                      <w:sz w:val="22"/>
                      <w:szCs w:val="22"/>
                    </w:rPr>
                    <w:sym w:font="Wingdings" w:char="F06C"/>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t xml:space="preserve"> </w:t>
                  </w:r>
                  <w:r w:rsidRPr="005B30C6">
                    <w:rPr>
                      <w:rFonts w:asciiTheme="minorHAnsi" w:hAnsiTheme="minorHAnsi"/>
                      <w:noProof/>
                      <w:sz w:val="22"/>
                      <w:szCs w:val="22"/>
                    </w:rPr>
                    <w:t>Substantial</w:t>
                  </w:r>
                </w:p>
              </w:tc>
              <w:tc>
                <w:tcPr>
                  <w:tcW w:w="3240" w:type="dxa"/>
                  <w:tcBorders>
                    <w:bottom w:val="single" w:sz="4" w:space="0" w:color="D9D9D9"/>
                  </w:tcBorders>
                  <w:vAlign w:val="center"/>
                </w:tcPr>
                <w:p w14:paraId="249A4837" w14:textId="77777777" w:rsidR="00470316" w:rsidRPr="00A12460" w:rsidRDefault="00880CEC" w:rsidP="00551B5B">
                  <w:pPr>
                    <w:rPr>
                      <w:rFonts w:asciiTheme="minorHAnsi" w:hAnsiTheme="minorHAnsi"/>
                      <w:noProof/>
                      <w:sz w:val="22"/>
                      <w:szCs w:val="22"/>
                    </w:rPr>
                  </w:pP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="L" </w:instrText>
                  </w:r>
                  <w:r w:rsidRPr="00A12460">
                    <w:rPr>
                      <w:rFonts w:ascii="Wingdings" w:hAnsi="Wingdings"/>
                      <w:color w:val="7CAF1B"/>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="M" </w:instrText>
                  </w:r>
                  <w:r w:rsidRPr="00A12460">
                    <w:rPr>
                      <w:rFonts w:ascii="Wingdings" w:hAnsi="Wingdings"/>
                      <w:color w:val="FECC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="H" </w:instrText>
                  </w:r>
                  <w:r w:rsidRPr="00A12460">
                    <w:rPr>
                      <w:rFonts w:ascii="Wingdings" w:hAnsi="Wingdings"/>
                      <w:color w:val="FC0301"/>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="S" </w:instrText>
                  </w:r>
                  <w:r w:rsidRPr="00A12460">
                    <w:rPr>
                      <w:rFonts w:ascii="Wingdings" w:hAnsi="Wingdings"/>
                      <w:color w:val="FFAF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separate"/>
                  </w:r>
                  <w:r w:rsidRPr="00A12460">
                    <w:rPr>
                      <w:rFonts w:ascii="Wingdings" w:hAnsi="Wingdings"/>
                      <w:color w:val="FFAF00"/>
                      <w:sz w:val="22"/>
                      <w:szCs w:val="22"/>
                    </w:rPr>
                    <w:sym w:font="Wingdings" w:char="F06C"/>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t xml:space="preserve"> </w:t>
                  </w:r>
                  <w:r w:rsidRPr="00A12460">
                    <w:rPr>
                      <w:rFonts w:asciiTheme="minorHAnsi" w:hAnsiTheme="minorHAnsi"/>
                      <w:noProof/>
                      <w:sz w:val="22"/>
                      <w:szCs w:val="22"/>
                    </w:rPr>
                    <w:t>Substantial</w:t>
                  </w:r>
                </w:p>
              </w:tc>
            </w:tr>
          </w:tbl>
          <w:p w14:paraId="6C70D0A7" w14:textId="77777777" w:rsidR="00470316" w:rsidRPr="00726742" w:rsidRDefault="00470316" w:rsidP="00551B5B">
            <w:pPr>
              <w:spacing w:line="14" w:lineRule="exact"/>
              <w:ind w:left="-43"/>
              <w:rPr>
                <w:rFonts w:asciiTheme="minorHAnsi" w:hAnsiTheme="minorHAnsi"/>
                <w:noProof/>
                <w:sz w:val="22"/>
                <w:szCs w:val="22"/>
              </w:rPr>
            </w:pPr>
          </w:p>
          <w:p w14:paraId="3F0188EF" w14:textId="77777777" w:rsidR="00470316" w:rsidRPr="00A12460" w:rsidRDefault="00470316" w:rsidP="00551B5B">
            <w:pPr>
              <w:spacing w:line="14" w:lineRule="exact"/>
              <w:ind w:left="-43"/>
              <w:rPr>
                <w:rFonts w:asciiTheme="minorHAnsi" w:hAnsiTheme="minorHAnsi"/>
                <w:noProof/>
                <w:sz w:val="22"/>
                <w:szCs w:val="22"/>
              </w:rPr>
            </w:pPr>
          </w:p>
          <w:tbl>
            <w:tblPr>
              <w:tblStyle w:val="TableGrid"/>
              <w:tblW w:w="10422" w:type="dxa"/>
              <w:tblBorders>
                <w:top w:val="none" w:sz="0" w:space="0" w:color="auto"/>
                <w:left w:val="none" w:sz="0" w:space="0" w:color="auto"/>
                <w:bottom w:val="single" w:sz="6" w:space="0" w:color="AEAAAA" w:themeColor="background2" w:themeShade="BF"/>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104"/>
              <w:gridCol w:w="2078"/>
              <w:gridCol w:w="3240"/>
            </w:tblGrid>
            <w:tr w:rsidR="004F0F3F" w14:paraId="1A240954" w14:textId="77777777" w:rsidTr="001F4FA2">
              <w:tc>
                <w:tcPr>
                  <w:tcW w:w="5104" w:type="dxa"/>
                  <w:tcBorders>
                    <w:bottom w:val="single" w:sz="4" w:space="0" w:color="D9D9D9"/>
                  </w:tcBorders>
                  <w:vAlign w:val="center"/>
                </w:tcPr>
                <w:p w14:paraId="38EF12D0" w14:textId="77777777" w:rsidR="00470316" w:rsidRPr="00A12460" w:rsidRDefault="00880CEC" w:rsidP="00551B5B">
                  <w:pPr>
                    <w:spacing w:before="80"/>
                    <w:rPr>
                      <w:rFonts w:asciiTheme="minorHAnsi" w:hAnsiTheme="minorHAnsi"/>
                      <w:sz w:val="22"/>
                      <w:szCs w:val="22"/>
                    </w:rPr>
                  </w:pPr>
                  <w:r w:rsidRPr="005B30C6">
                    <w:rPr>
                      <w:rFonts w:asciiTheme="minorHAnsi" w:hAnsiTheme="minorHAnsi"/>
                      <w:noProof/>
                      <w:sz w:val="22"/>
                      <w:szCs w:val="22"/>
                    </w:rPr>
                    <w:t>Stakeholders</w:t>
                  </w:r>
                </w:p>
              </w:tc>
              <w:tc>
                <w:tcPr>
                  <w:tcW w:w="2078" w:type="dxa"/>
                  <w:tcBorders>
                    <w:bottom w:val="single" w:sz="4" w:space="0" w:color="D9D9D9"/>
                  </w:tcBorders>
                  <w:vAlign w:val="center"/>
                </w:tcPr>
                <w:p w14:paraId="46B1952C" w14:textId="77777777" w:rsidR="00470316" w:rsidRPr="00A12460" w:rsidRDefault="00880CEC" w:rsidP="00551B5B">
                  <w:pPr>
                    <w:rPr>
                      <w:rFonts w:asciiTheme="minorHAnsi" w:hAnsiTheme="minorHAnsi"/>
                      <w:noProof/>
                      <w:sz w:val="22"/>
                      <w:szCs w:val="22"/>
                    </w:rPr>
                  </w:pP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="L" </w:instrText>
                  </w:r>
                  <w:r w:rsidRPr="00A12460">
                    <w:rPr>
                      <w:rFonts w:ascii="Wingdings" w:hAnsi="Wingdings"/>
                      <w:color w:val="7CAF1B"/>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="M" </w:instrText>
                  </w:r>
                  <w:r w:rsidRPr="00A12460">
                    <w:rPr>
                      <w:rFonts w:ascii="Wingdings" w:hAnsi="Wingdings"/>
                      <w:color w:val="FECC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separate"/>
                  </w:r>
                  <w:r w:rsidRPr="00A12460">
                    <w:rPr>
                      <w:rFonts w:ascii="Wingdings" w:hAnsi="Wingdings"/>
                      <w:color w:val="FECC00"/>
                      <w:sz w:val="22"/>
                      <w:szCs w:val="22"/>
                    </w:rPr>
                    <w:sym w:font="Wingdings" w:char="F06C"/>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="H" </w:instrText>
                  </w:r>
                  <w:r w:rsidRPr="00A12460">
                    <w:rPr>
                      <w:rFonts w:ascii="Wingdings" w:hAnsi="Wingdings"/>
                      <w:color w:val="FC0301"/>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="S" </w:instrText>
                  </w:r>
                  <w:r w:rsidRPr="00A12460">
                    <w:rPr>
                      <w:rFonts w:ascii="Wingdings" w:hAnsi="Wingdings"/>
                      <w:color w:val="FFAF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t xml:space="preserve"> </w:t>
                  </w:r>
                  <w:r w:rsidRPr="005B30C6">
                    <w:rPr>
                      <w:rFonts w:asciiTheme="minorHAnsi" w:hAnsiTheme="minorHAnsi"/>
                      <w:noProof/>
                      <w:sz w:val="22"/>
                      <w:szCs w:val="22"/>
                    </w:rPr>
                    <w:t>Moderate</w:t>
                  </w:r>
                </w:p>
              </w:tc>
              <w:tc>
                <w:tcPr>
                  <w:tcW w:w="3240" w:type="dxa"/>
                  <w:tcBorders>
                    <w:bottom w:val="single" w:sz="4" w:space="0" w:color="D9D9D9"/>
                  </w:tcBorders>
                  <w:vAlign w:val="center"/>
                </w:tcPr>
                <w:p w14:paraId="25B48A22" w14:textId="5D16E4F8" w:rsidR="00470316" w:rsidRPr="00A12460" w:rsidRDefault="00880CEC" w:rsidP="00551B5B">
                  <w:pPr>
                    <w:rPr>
                      <w:rFonts w:asciiTheme="minorHAnsi" w:hAnsiTheme="minorHAnsi"/>
                      <w:noProof/>
                      <w:sz w:val="22"/>
                      <w:szCs w:val="22"/>
                    </w:rPr>
                  </w:pP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="L" </w:instrText>
                  </w:r>
                  <w:r w:rsidRPr="00A12460">
                    <w:rPr>
                      <w:rFonts w:ascii="Wingdings" w:hAnsi="Wingdings"/>
                      <w:color w:val="7CAF1B"/>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00551066" w:rsidRPr="00A12460">
                    <w:rPr>
                      <w:rFonts w:asciiTheme="minorHAnsi" w:hAnsiTheme="minorHAnsi"/>
                      <w:color w:val="000000" w:themeColor="text1"/>
                      <w:sz w:val="22"/>
                      <w:szCs w:val="22"/>
                    </w:rPr>
                    <w:fldChar w:fldCharType="begin"/>
                  </w:r>
                  <w:r w:rsidR="00551066" w:rsidRPr="00A12460">
                    <w:rPr>
                      <w:rFonts w:asciiTheme="minorHAnsi" w:hAnsiTheme="minorHAnsi"/>
                      <w:color w:val="000000" w:themeColor="text1"/>
                      <w:sz w:val="22"/>
                      <w:szCs w:val="22"/>
                    </w:rPr>
                    <w:instrText xml:space="preserve"> IF </w:instrText>
                  </w:r>
                  <w:r w:rsidR="00551066" w:rsidRPr="00A12460">
                    <w:rPr>
                      <w:rFonts w:asciiTheme="minorHAnsi" w:hAnsiTheme="minorHAnsi"/>
                      <w:noProof/>
                      <w:color w:val="000000" w:themeColor="text1"/>
                      <w:sz w:val="22"/>
                      <w:szCs w:val="22"/>
                    </w:rPr>
                    <w:instrText>S</w:instrText>
                  </w:r>
                  <w:r w:rsidR="00551066" w:rsidRPr="00A12460">
                    <w:rPr>
                      <w:rFonts w:asciiTheme="minorHAnsi" w:hAnsiTheme="minorHAnsi"/>
                      <w:color w:val="000000" w:themeColor="text1"/>
                      <w:sz w:val="22"/>
                      <w:szCs w:val="22"/>
                    </w:rPr>
                    <w:instrText xml:space="preserve"> ="S" </w:instrText>
                  </w:r>
                  <w:r w:rsidR="00551066" w:rsidRPr="00A12460">
                    <w:rPr>
                      <w:rFonts w:ascii="Wingdings" w:hAnsi="Wingdings"/>
                      <w:color w:val="FFAF00"/>
                      <w:sz w:val="22"/>
                      <w:szCs w:val="22"/>
                    </w:rPr>
                    <w:sym w:font="Wingdings" w:char="F06C"/>
                  </w:r>
                  <w:r w:rsidR="00551066" w:rsidRPr="00A12460">
                    <w:rPr>
                      <w:rFonts w:asciiTheme="minorHAnsi" w:hAnsiTheme="minorHAnsi" w:cs="Segoe UI Symbol"/>
                      <w:color w:val="000000" w:themeColor="text1"/>
                      <w:sz w:val="22"/>
                      <w:szCs w:val="22"/>
                    </w:rPr>
                    <w:instrText xml:space="preserve"> </w:instrText>
                  </w:r>
                  <w:r w:rsidR="00551066" w:rsidRPr="00A12460">
                    <w:rPr>
                      <w:rFonts w:asciiTheme="minorHAnsi" w:hAnsiTheme="minorHAnsi"/>
                      <w:color w:val="000000" w:themeColor="text1"/>
                      <w:sz w:val="22"/>
                      <w:szCs w:val="22"/>
                    </w:rPr>
                    <w:instrText xml:space="preserve">   \* MERGEFORMAT </w:instrText>
                  </w:r>
                  <w:r w:rsidR="00551066" w:rsidRPr="00A12460">
                    <w:rPr>
                      <w:rFonts w:asciiTheme="minorHAnsi" w:hAnsiTheme="minorHAnsi"/>
                      <w:color w:val="000000" w:themeColor="text1"/>
                      <w:sz w:val="22"/>
                      <w:szCs w:val="22"/>
                    </w:rPr>
                    <w:fldChar w:fldCharType="separate"/>
                  </w:r>
                  <w:r w:rsidR="00551066" w:rsidRPr="00A12460">
                    <w:rPr>
                      <w:rFonts w:ascii="Wingdings" w:hAnsi="Wingdings"/>
                      <w:color w:val="FFAF00"/>
                      <w:sz w:val="22"/>
                      <w:szCs w:val="22"/>
                    </w:rPr>
                    <w:sym w:font="Wingdings" w:char="F06C"/>
                  </w:r>
                  <w:r w:rsidR="00551066"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="H" </w:instrText>
                  </w:r>
                  <w:r w:rsidRPr="00A12460">
                    <w:rPr>
                      <w:rFonts w:ascii="Wingdings" w:hAnsi="Wingdings"/>
                      <w:color w:val="FC0301"/>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="S" </w:instrText>
                  </w:r>
                  <w:r w:rsidRPr="00A12460">
                    <w:rPr>
                      <w:rFonts w:ascii="Wingdings" w:hAnsi="Wingdings"/>
                      <w:color w:val="FFAF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t xml:space="preserve"> </w:t>
                  </w:r>
                  <w:r w:rsidR="00551066">
                    <w:rPr>
                      <w:rFonts w:asciiTheme="minorHAnsi" w:hAnsiTheme="minorHAnsi"/>
                      <w:noProof/>
                      <w:sz w:val="22"/>
                      <w:szCs w:val="22"/>
                    </w:rPr>
                    <w:t>Substantial</w:t>
                  </w:r>
                </w:p>
              </w:tc>
            </w:tr>
          </w:tbl>
          <w:p w14:paraId="7386A039" w14:textId="77777777" w:rsidR="00470316" w:rsidRPr="00726742" w:rsidRDefault="00470316" w:rsidP="00551B5B">
            <w:pPr>
              <w:spacing w:line="14" w:lineRule="exact"/>
              <w:ind w:left="-43"/>
              <w:rPr>
                <w:rFonts w:asciiTheme="minorHAnsi" w:hAnsiTheme="minorHAnsi"/>
                <w:noProof/>
                <w:sz w:val="22"/>
                <w:szCs w:val="22"/>
              </w:rPr>
            </w:pPr>
          </w:p>
          <w:p w14:paraId="0EBD9A34" w14:textId="77777777" w:rsidR="00470316" w:rsidRPr="00A12460" w:rsidRDefault="00470316" w:rsidP="00551B5B">
            <w:pPr>
              <w:spacing w:line="14" w:lineRule="exact"/>
              <w:ind w:left="-43"/>
              <w:rPr>
                <w:rFonts w:asciiTheme="minorHAnsi" w:hAnsiTheme="minorHAnsi"/>
                <w:noProof/>
                <w:sz w:val="22"/>
                <w:szCs w:val="22"/>
              </w:rPr>
            </w:pPr>
          </w:p>
          <w:tbl>
            <w:tblPr>
              <w:tblStyle w:val="TableGrid"/>
              <w:tblW w:w="10422" w:type="dxa"/>
              <w:tblBorders>
                <w:top w:val="none" w:sz="0" w:space="0" w:color="auto"/>
                <w:left w:val="none" w:sz="0" w:space="0" w:color="auto"/>
                <w:bottom w:val="single" w:sz="6" w:space="0" w:color="AEAAAA" w:themeColor="background2" w:themeShade="BF"/>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104"/>
              <w:gridCol w:w="2078"/>
              <w:gridCol w:w="3240"/>
            </w:tblGrid>
            <w:tr w:rsidR="004F0F3F" w14:paraId="5C74FAB5" w14:textId="77777777" w:rsidTr="001F4FA2">
              <w:tc>
                <w:tcPr>
                  <w:tcW w:w="5104" w:type="dxa"/>
                  <w:tcBorders>
                    <w:bottom w:val="single" w:sz="4" w:space="0" w:color="D9D9D9"/>
                  </w:tcBorders>
                  <w:vAlign w:val="center"/>
                </w:tcPr>
                <w:p w14:paraId="1AD17B29" w14:textId="77777777" w:rsidR="00470316" w:rsidRPr="00A12460" w:rsidRDefault="00880CEC" w:rsidP="00551B5B">
                  <w:pPr>
                    <w:spacing w:before="80"/>
                    <w:rPr>
                      <w:rFonts w:asciiTheme="minorHAnsi" w:hAnsiTheme="minorHAnsi"/>
                      <w:sz w:val="22"/>
                      <w:szCs w:val="22"/>
                    </w:rPr>
                  </w:pPr>
                  <w:r w:rsidRPr="005B30C6">
                    <w:rPr>
                      <w:rFonts w:asciiTheme="minorHAnsi" w:hAnsiTheme="minorHAnsi"/>
                      <w:noProof/>
                      <w:sz w:val="22"/>
                      <w:szCs w:val="22"/>
                    </w:rPr>
                    <w:t>Other</w:t>
                  </w:r>
                </w:p>
              </w:tc>
              <w:tc>
                <w:tcPr>
                  <w:tcW w:w="2078" w:type="dxa"/>
                  <w:tcBorders>
                    <w:bottom w:val="single" w:sz="4" w:space="0" w:color="D9D9D9"/>
                  </w:tcBorders>
                  <w:vAlign w:val="center"/>
                </w:tcPr>
                <w:p w14:paraId="716E8532" w14:textId="77777777" w:rsidR="00470316" w:rsidRPr="00A12460" w:rsidRDefault="00880CEC" w:rsidP="00551B5B">
                  <w:pPr>
                    <w:rPr>
                      <w:rFonts w:asciiTheme="minorHAnsi" w:hAnsiTheme="minorHAnsi"/>
                      <w:noProof/>
                      <w:sz w:val="22"/>
                      <w:szCs w:val="22"/>
                    </w:rPr>
                  </w:pP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 ="L" </w:instrText>
                  </w:r>
                  <w:r w:rsidRPr="00A12460">
                    <w:rPr>
                      <w:rFonts w:ascii="Wingdings" w:hAnsi="Wingdings"/>
                      <w:color w:val="7CAF1B"/>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 ="M" </w:instrText>
                  </w:r>
                  <w:r w:rsidRPr="00A12460">
                    <w:rPr>
                      <w:rFonts w:ascii="Wingdings" w:hAnsi="Wingdings"/>
                      <w:color w:val="FECC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 ="H" </w:instrText>
                  </w:r>
                  <w:r w:rsidRPr="00A12460">
                    <w:rPr>
                      <w:rFonts w:ascii="Wingdings" w:hAnsi="Wingdings"/>
                      <w:color w:val="FC0301"/>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 ="S" </w:instrText>
                  </w:r>
                  <w:r w:rsidRPr="00A12460">
                    <w:rPr>
                      <w:rFonts w:ascii="Wingdings" w:hAnsi="Wingdings"/>
                      <w:color w:val="FFAF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t xml:space="preserve"> </w:t>
                  </w:r>
                </w:p>
              </w:tc>
              <w:tc>
                <w:tcPr>
                  <w:tcW w:w="3240" w:type="dxa"/>
                  <w:tcBorders>
                    <w:bottom w:val="single" w:sz="4" w:space="0" w:color="D9D9D9"/>
                  </w:tcBorders>
                  <w:vAlign w:val="center"/>
                </w:tcPr>
                <w:p w14:paraId="37F8BCEF" w14:textId="77777777" w:rsidR="00470316" w:rsidRPr="00A12460" w:rsidRDefault="00880CEC" w:rsidP="00551B5B">
                  <w:pPr>
                    <w:rPr>
                      <w:rFonts w:asciiTheme="minorHAnsi" w:hAnsiTheme="minorHAnsi"/>
                      <w:noProof/>
                      <w:sz w:val="22"/>
                      <w:szCs w:val="22"/>
                    </w:rPr>
                  </w:pP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H</w:instrText>
                  </w:r>
                  <w:r w:rsidRPr="00A12460">
                    <w:rPr>
                      <w:rFonts w:asciiTheme="minorHAnsi" w:hAnsiTheme="minorHAnsi"/>
                      <w:color w:val="000000" w:themeColor="text1"/>
                      <w:sz w:val="22"/>
                      <w:szCs w:val="22"/>
                    </w:rPr>
                    <w:instrText xml:space="preserve"> ="L" </w:instrText>
                  </w:r>
                  <w:r w:rsidRPr="00A12460">
                    <w:rPr>
                      <w:rFonts w:ascii="Wingdings" w:hAnsi="Wingdings"/>
                      <w:color w:val="7CAF1B"/>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H</w:instrText>
                  </w:r>
                  <w:r w:rsidRPr="00A12460">
                    <w:rPr>
                      <w:rFonts w:asciiTheme="minorHAnsi" w:hAnsiTheme="minorHAnsi"/>
                      <w:color w:val="000000" w:themeColor="text1"/>
                      <w:sz w:val="22"/>
                      <w:szCs w:val="22"/>
                    </w:rPr>
                    <w:instrText xml:space="preserve"> ="M" </w:instrText>
                  </w:r>
                  <w:r w:rsidRPr="00A12460">
                    <w:rPr>
                      <w:rFonts w:ascii="Wingdings" w:hAnsi="Wingdings"/>
                      <w:color w:val="FECC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H</w:instrText>
                  </w:r>
                  <w:r w:rsidRPr="00A12460">
                    <w:rPr>
                      <w:rFonts w:asciiTheme="minorHAnsi" w:hAnsiTheme="minorHAnsi"/>
                      <w:color w:val="000000" w:themeColor="text1"/>
                      <w:sz w:val="22"/>
                      <w:szCs w:val="22"/>
                    </w:rPr>
                    <w:instrText xml:space="preserve"> ="H" </w:instrText>
                  </w:r>
                  <w:r w:rsidRPr="00A12460">
                    <w:rPr>
                      <w:rFonts w:ascii="Wingdings" w:hAnsi="Wingdings"/>
                      <w:color w:val="FC0301"/>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separate"/>
                  </w:r>
                  <w:r w:rsidRPr="00A12460">
                    <w:rPr>
                      <w:rFonts w:ascii="Wingdings" w:hAnsi="Wingdings"/>
                      <w:color w:val="FC0301"/>
                      <w:sz w:val="22"/>
                      <w:szCs w:val="22"/>
                    </w:rPr>
                    <w:sym w:font="Wingdings" w:char="F06C"/>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H</w:instrText>
                  </w:r>
                  <w:r w:rsidRPr="00A12460">
                    <w:rPr>
                      <w:rFonts w:asciiTheme="minorHAnsi" w:hAnsiTheme="minorHAnsi"/>
                      <w:color w:val="000000" w:themeColor="text1"/>
                      <w:sz w:val="22"/>
                      <w:szCs w:val="22"/>
                    </w:rPr>
                    <w:instrText xml:space="preserve"> ="S" </w:instrText>
                  </w:r>
                  <w:r w:rsidRPr="00A12460">
                    <w:rPr>
                      <w:rFonts w:ascii="Wingdings" w:hAnsi="Wingdings"/>
                      <w:color w:val="FFAF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t xml:space="preserve"> </w:t>
                  </w:r>
                  <w:r w:rsidRPr="00A12460">
                    <w:rPr>
                      <w:rFonts w:asciiTheme="minorHAnsi" w:hAnsiTheme="minorHAnsi"/>
                      <w:noProof/>
                      <w:sz w:val="22"/>
                      <w:szCs w:val="22"/>
                    </w:rPr>
                    <w:t>High</w:t>
                  </w:r>
                </w:p>
              </w:tc>
            </w:tr>
          </w:tbl>
          <w:p w14:paraId="0EC2E273" w14:textId="77777777" w:rsidR="00470316" w:rsidRPr="00726742" w:rsidRDefault="00470316" w:rsidP="00551B5B">
            <w:pPr>
              <w:spacing w:line="14" w:lineRule="exact"/>
              <w:ind w:left="-43"/>
              <w:rPr>
                <w:rFonts w:asciiTheme="minorHAnsi" w:hAnsiTheme="minorHAnsi"/>
                <w:noProof/>
                <w:sz w:val="22"/>
                <w:szCs w:val="22"/>
              </w:rPr>
            </w:pPr>
          </w:p>
          <w:p w14:paraId="65761072" w14:textId="77777777" w:rsidR="00470316" w:rsidRPr="00A12460" w:rsidRDefault="00470316" w:rsidP="00551B5B">
            <w:pPr>
              <w:spacing w:line="14" w:lineRule="exact"/>
              <w:ind w:left="-43"/>
              <w:rPr>
                <w:rFonts w:asciiTheme="minorHAnsi" w:hAnsiTheme="minorHAnsi"/>
                <w:noProof/>
                <w:sz w:val="22"/>
                <w:szCs w:val="22"/>
              </w:rPr>
            </w:pPr>
          </w:p>
          <w:tbl>
            <w:tblPr>
              <w:tblStyle w:val="TableGrid"/>
              <w:tblW w:w="10422" w:type="dxa"/>
              <w:tblBorders>
                <w:top w:val="none" w:sz="0" w:space="0" w:color="auto"/>
                <w:left w:val="none" w:sz="0" w:space="0" w:color="auto"/>
                <w:bottom w:val="single" w:sz="6" w:space="0" w:color="AEAAAA" w:themeColor="background2" w:themeShade="BF"/>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104"/>
              <w:gridCol w:w="2078"/>
              <w:gridCol w:w="3240"/>
            </w:tblGrid>
            <w:tr w:rsidR="004F0F3F" w14:paraId="505EA70F" w14:textId="77777777" w:rsidTr="001F4FA2">
              <w:tc>
                <w:tcPr>
                  <w:tcW w:w="5104" w:type="dxa"/>
                  <w:tcBorders>
                    <w:bottom w:val="single" w:sz="4" w:space="0" w:color="D9D9D9"/>
                  </w:tcBorders>
                  <w:vAlign w:val="center"/>
                </w:tcPr>
                <w:p w14:paraId="7D61C7DE" w14:textId="77777777" w:rsidR="00470316" w:rsidRPr="00A12460" w:rsidRDefault="00880CEC" w:rsidP="00551B5B">
                  <w:pPr>
                    <w:spacing w:before="80"/>
                    <w:rPr>
                      <w:rFonts w:asciiTheme="minorHAnsi" w:hAnsiTheme="minorHAnsi"/>
                      <w:sz w:val="22"/>
                      <w:szCs w:val="22"/>
                    </w:rPr>
                  </w:pPr>
                  <w:r w:rsidRPr="005B30C6">
                    <w:rPr>
                      <w:rFonts w:asciiTheme="minorHAnsi" w:hAnsiTheme="minorHAnsi"/>
                      <w:noProof/>
                      <w:sz w:val="22"/>
                      <w:szCs w:val="22"/>
                    </w:rPr>
                    <w:t>Overall</w:t>
                  </w:r>
                </w:p>
              </w:tc>
              <w:tc>
                <w:tcPr>
                  <w:tcW w:w="2078" w:type="dxa"/>
                  <w:tcBorders>
                    <w:bottom w:val="single" w:sz="4" w:space="0" w:color="D9D9D9"/>
                  </w:tcBorders>
                  <w:vAlign w:val="center"/>
                </w:tcPr>
                <w:p w14:paraId="2B3D836A" w14:textId="77777777" w:rsidR="00470316" w:rsidRPr="00A12460" w:rsidRDefault="00880CEC" w:rsidP="00551B5B">
                  <w:pPr>
                    <w:rPr>
                      <w:rFonts w:asciiTheme="minorHAnsi" w:hAnsiTheme="minorHAnsi"/>
                      <w:noProof/>
                      <w:sz w:val="22"/>
                      <w:szCs w:val="22"/>
                    </w:rPr>
                  </w:pP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="L" </w:instrText>
                  </w:r>
                  <w:r w:rsidRPr="00A12460">
                    <w:rPr>
                      <w:rFonts w:ascii="Wingdings" w:hAnsi="Wingdings"/>
                      <w:color w:val="7CAF1B"/>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="M" </w:instrText>
                  </w:r>
                  <w:r w:rsidRPr="00A12460">
                    <w:rPr>
                      <w:rFonts w:ascii="Wingdings" w:hAnsi="Wingdings"/>
                      <w:color w:val="FECC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="H" </w:instrText>
                  </w:r>
                  <w:r w:rsidRPr="00A12460">
                    <w:rPr>
                      <w:rFonts w:ascii="Wingdings" w:hAnsi="Wingdings"/>
                      <w:color w:val="FC0301"/>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="S" </w:instrText>
                  </w:r>
                  <w:r w:rsidRPr="00A12460">
                    <w:rPr>
                      <w:rFonts w:ascii="Wingdings" w:hAnsi="Wingdings"/>
                      <w:color w:val="FFAF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separate"/>
                  </w:r>
                  <w:r w:rsidRPr="00A12460">
                    <w:rPr>
                      <w:rFonts w:ascii="Wingdings" w:hAnsi="Wingdings"/>
                      <w:color w:val="FFAF00"/>
                      <w:sz w:val="22"/>
                      <w:szCs w:val="22"/>
                    </w:rPr>
                    <w:sym w:font="Wingdings" w:char="F06C"/>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t xml:space="preserve"> </w:t>
                  </w:r>
                  <w:r w:rsidRPr="005B30C6">
                    <w:rPr>
                      <w:rFonts w:asciiTheme="minorHAnsi" w:hAnsiTheme="minorHAnsi"/>
                      <w:noProof/>
                      <w:sz w:val="22"/>
                      <w:szCs w:val="22"/>
                    </w:rPr>
                    <w:t>Substantial</w:t>
                  </w:r>
                </w:p>
              </w:tc>
              <w:tc>
                <w:tcPr>
                  <w:tcW w:w="3240" w:type="dxa"/>
                  <w:tcBorders>
                    <w:bottom w:val="single" w:sz="4" w:space="0" w:color="D9D9D9"/>
                  </w:tcBorders>
                  <w:vAlign w:val="center"/>
                </w:tcPr>
                <w:p w14:paraId="71E74568" w14:textId="77777777" w:rsidR="00470316" w:rsidRPr="00A12460" w:rsidRDefault="00880CEC" w:rsidP="00551B5B">
                  <w:pPr>
                    <w:rPr>
                      <w:rFonts w:asciiTheme="minorHAnsi" w:hAnsiTheme="minorHAnsi"/>
                      <w:noProof/>
                      <w:sz w:val="22"/>
                      <w:szCs w:val="22"/>
                    </w:rPr>
                  </w:pP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="L" </w:instrText>
                  </w:r>
                  <w:r w:rsidRPr="00A12460">
                    <w:rPr>
                      <w:rFonts w:ascii="Wingdings" w:hAnsi="Wingdings"/>
                      <w:color w:val="7CAF1B"/>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="M" </w:instrText>
                  </w:r>
                  <w:r w:rsidRPr="00A12460">
                    <w:rPr>
                      <w:rFonts w:ascii="Wingdings" w:hAnsi="Wingdings"/>
                      <w:color w:val="FECC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="H" </w:instrText>
                  </w:r>
                  <w:r w:rsidRPr="00A12460">
                    <w:rPr>
                      <w:rFonts w:ascii="Wingdings" w:hAnsi="Wingdings"/>
                      <w:color w:val="FC0301"/>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00000000">
                    <w:rPr>
                      <w:rFonts w:asciiTheme="minorHAnsi" w:hAnsiTheme="minorHAnsi"/>
                      <w:color w:val="000000" w:themeColor="text1"/>
                      <w:sz w:val="22"/>
                      <w:szCs w:val="22"/>
                    </w:rPr>
                    <w:fldChar w:fldCharType="separate"/>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="S" </w:instrText>
                  </w:r>
                  <w:r w:rsidRPr="00A12460">
                    <w:rPr>
                      <w:rFonts w:ascii="Wingdings" w:hAnsi="Wingdings"/>
                      <w:color w:val="FFAF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separate"/>
                  </w:r>
                  <w:r w:rsidRPr="00A12460">
                    <w:rPr>
                      <w:rFonts w:ascii="Wingdings" w:hAnsi="Wingdings"/>
                      <w:color w:val="FFAF00"/>
                      <w:sz w:val="22"/>
                      <w:szCs w:val="22"/>
                    </w:rPr>
                    <w:sym w:font="Wingdings" w:char="F06C"/>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t xml:space="preserve"> </w:t>
                  </w:r>
                  <w:r w:rsidRPr="00A12460">
                    <w:rPr>
                      <w:rFonts w:asciiTheme="minorHAnsi" w:hAnsiTheme="minorHAnsi"/>
                      <w:noProof/>
                      <w:sz w:val="22"/>
                      <w:szCs w:val="22"/>
                    </w:rPr>
                    <w:t>Substantial</w:t>
                  </w:r>
                </w:p>
              </w:tc>
            </w:tr>
          </w:tbl>
          <w:p w14:paraId="5A3BC317" w14:textId="77777777" w:rsidR="00470316" w:rsidRPr="00726742" w:rsidRDefault="00470316" w:rsidP="00551B5B">
            <w:pPr>
              <w:spacing w:line="14" w:lineRule="exact"/>
              <w:ind w:left="-43"/>
              <w:rPr>
                <w:rFonts w:asciiTheme="minorHAnsi" w:hAnsiTheme="minorHAnsi"/>
                <w:noProof/>
                <w:sz w:val="22"/>
                <w:szCs w:val="22"/>
              </w:rPr>
            </w:pPr>
          </w:p>
        </w:tc>
      </w:tr>
      <w:tr w:rsidR="004F0F3F" w14:paraId="56EADDCD" w14:textId="77777777" w:rsidTr="00551B5B">
        <w:trPr>
          <w:trHeight w:val="312"/>
        </w:trPr>
        <w:tc>
          <w:tcPr>
            <w:tcW w:w="10530" w:type="dxa"/>
            <w:gridSpan w:val="3"/>
            <w:shd w:val="clear" w:color="auto" w:fill="F7F7F7"/>
          </w:tcPr>
          <w:p w14:paraId="4F7BAEB9" w14:textId="77777777" w:rsidR="00470316" w:rsidRPr="000E5211" w:rsidRDefault="00470316" w:rsidP="00551B5B">
            <w:pPr>
              <w:ind w:left="-46"/>
              <w:rPr>
                <w:color w:val="000000" w:themeColor="text1"/>
              </w:rPr>
            </w:pPr>
          </w:p>
        </w:tc>
      </w:tr>
    </w:tbl>
    <w:p w14:paraId="0B4BDF36" w14:textId="77777777" w:rsidR="007206CD" w:rsidRDefault="00880CEC" w:rsidP="003329B6">
      <w:pPr>
        <w:ind w:left="-792"/>
        <w:rPr>
          <w:rFonts w:asciiTheme="minorHAnsi" w:hAnsiTheme="minorHAnsi"/>
          <w:bCs/>
          <w:color w:val="auto"/>
          <w:sz w:val="22"/>
          <w:szCs w:val="22"/>
        </w:rPr>
      </w:pPr>
      <w:r>
        <w:rPr>
          <w:noProof/>
        </w:rPr>
        <mc:AlternateContent>
          <mc:Choice Requires="wps">
            <w:drawing>
              <wp:anchor distT="0" distB="0" distL="114300" distR="114300" simplePos="0" relativeHeight="251678720" behindDoc="0" locked="0" layoutInCell="1" allowOverlap="1" wp14:anchorId="3CE2EFE0" wp14:editId="69192D5A">
                <wp:simplePos x="0" y="0"/>
                <wp:positionH relativeFrom="page">
                  <wp:posOffset>9525</wp:posOffset>
                </wp:positionH>
                <wp:positionV relativeFrom="paragraph">
                  <wp:posOffset>179705</wp:posOffset>
                </wp:positionV>
                <wp:extent cx="7772400"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7772400" cy="0"/>
                        </a:xfrm>
                        <a:prstGeom prst="line">
                          <a:avLst/>
                        </a:prstGeom>
                        <a:ln w="9525">
                          <a:solidFill>
                            <a:schemeClr val="tx1">
                              <a:lumMod val="50000"/>
                              <a:lumOff val="50000"/>
                              <a:alpha val="4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 o:spid="_x0000_s1048" style="mso-height-percent:0;mso-height-relative:margin;mso-position-horizontal-relative:page;mso-width-percent:0;mso-width-relative:margin;mso-wrap-distance-bottom:0;mso-wrap-distance-left:9pt;mso-wrap-distance-right:9pt;mso-wrap-distance-top:0;mso-wrap-style:square;position:absolute;visibility:visible;z-index:251679744" from="0.75pt,14.15pt" to="612.75pt,14.15pt" strokecolor="gray">
                <v:stroke joinstyle="miter" dashstyle="dash" opacity="26214f"/>
              </v:line>
            </w:pict>
          </mc:Fallback>
        </mc:AlternateContent>
      </w:r>
    </w:p>
    <w:sdt>
      <w:sdtPr>
        <w:rPr>
          <w:rFonts w:asciiTheme="minorHAnsi" w:hAnsiTheme="minorHAnsi"/>
          <w:bCs/>
          <w:color w:val="auto"/>
          <w:sz w:val="22"/>
          <w:szCs w:val="22"/>
        </w:rPr>
        <w:tag w:val="OPS_CORE_SECTION_END_11"/>
        <w:id w:val="1278964528"/>
        <w:lock w:val="sdtContentLocked"/>
        <w:placeholder>
          <w:docPart w:val="6503507F1E1448188777431FA59CEC69"/>
        </w:placeholder>
        <w:showingPlcHdr/>
      </w:sdtPr>
      <w:sdtContent>
        <w:p w14:paraId="78BED702" w14:textId="77777777" w:rsidR="00E60892" w:rsidRDefault="00880CEC" w:rsidP="008111D3">
          <w:pPr>
            <w:spacing w:line="14" w:lineRule="exact"/>
            <w:ind w:left="-792"/>
            <w:rPr>
              <w:rFonts w:asciiTheme="minorHAnsi" w:hAnsiTheme="minorHAnsi"/>
              <w:bCs/>
              <w:color w:val="auto"/>
              <w:sz w:val="22"/>
              <w:szCs w:val="22"/>
            </w:rPr>
          </w:pPr>
          <w:r w:rsidRPr="008C3D5B">
            <w:rPr>
              <w:rStyle w:val="PlaceholderText"/>
              <w:color w:val="F7F7F7"/>
            </w:rPr>
            <w:t>.</w:t>
          </w:r>
        </w:p>
      </w:sdtContent>
    </w:sdt>
    <w:p w14:paraId="4C4B5100" w14:textId="6E693A90" w:rsidR="00E60892" w:rsidRDefault="00E60892" w:rsidP="003329B6">
      <w:pPr>
        <w:ind w:left="-792"/>
        <w:rPr>
          <w:rFonts w:asciiTheme="minorHAnsi" w:hAnsiTheme="minorHAnsi"/>
          <w:bCs/>
          <w:color w:val="auto"/>
          <w:sz w:val="22"/>
          <w:szCs w:val="22"/>
        </w:rPr>
        <w:sectPr w:rsidR="00E60892" w:rsidSect="005E582D">
          <w:type w:val="continuous"/>
          <w:pgSz w:w="12240" w:h="15840"/>
          <w:pgMar w:top="1440" w:right="1354" w:bottom="1440" w:left="1440" w:header="720" w:footer="720" w:gutter="0"/>
          <w:pgBorders w:offsetFrom="page">
            <w:bottom w:val="single" w:sz="8" w:space="24" w:color="F7F7F7"/>
          </w:pgBorders>
          <w:cols w:space="720"/>
          <w:docGrid w:linePitch="360"/>
        </w:sectPr>
      </w:pPr>
    </w:p>
    <w:p w14:paraId="006F4EC9" w14:textId="77777777" w:rsidR="00CD47E1" w:rsidRDefault="00CD47E1" w:rsidP="003329B6">
      <w:pPr>
        <w:ind w:left="-792"/>
        <w:rPr>
          <w:rFonts w:asciiTheme="minorHAnsi" w:hAnsiTheme="minorHAnsi"/>
          <w:bCs/>
          <w:color w:val="auto"/>
          <w:sz w:val="22"/>
          <w:szCs w:val="22"/>
        </w:rPr>
      </w:pPr>
    </w:p>
    <w:p w14:paraId="492E2A12" w14:textId="3EC839A8" w:rsidR="00CD47E1" w:rsidRDefault="00CD47E1" w:rsidP="00CD47E1">
      <w:pPr>
        <w:ind w:left="-540" w:hanging="162"/>
        <w:rPr>
          <w:rFonts w:asciiTheme="minorHAnsi" w:hAnsiTheme="minorHAnsi"/>
          <w:bCs/>
          <w:color w:val="auto"/>
          <w:sz w:val="22"/>
          <w:szCs w:val="22"/>
        </w:rPr>
      </w:pPr>
    </w:p>
    <w:p w14:paraId="2258AF6F" w14:textId="59707117" w:rsidR="002448E7" w:rsidRDefault="002448E7" w:rsidP="00CD47E1">
      <w:pPr>
        <w:ind w:left="-540" w:hanging="162"/>
        <w:rPr>
          <w:rFonts w:asciiTheme="minorHAnsi" w:hAnsiTheme="minorHAnsi"/>
          <w:bCs/>
          <w:color w:val="auto"/>
          <w:sz w:val="22"/>
          <w:szCs w:val="22"/>
        </w:rPr>
      </w:pPr>
    </w:p>
    <w:p w14:paraId="49AF77FD" w14:textId="420D49E6" w:rsidR="002448E7" w:rsidRDefault="002448E7" w:rsidP="00CD47E1">
      <w:pPr>
        <w:ind w:left="-540" w:hanging="162"/>
        <w:rPr>
          <w:rFonts w:asciiTheme="minorHAnsi" w:hAnsiTheme="minorHAnsi"/>
          <w:bCs/>
          <w:color w:val="auto"/>
          <w:sz w:val="22"/>
          <w:szCs w:val="22"/>
        </w:rPr>
      </w:pPr>
    </w:p>
    <w:p w14:paraId="12D8D619" w14:textId="4EC4215C" w:rsidR="002448E7" w:rsidRDefault="002448E7" w:rsidP="00CD47E1">
      <w:pPr>
        <w:ind w:left="-540" w:hanging="162"/>
        <w:rPr>
          <w:rFonts w:asciiTheme="minorHAnsi" w:hAnsiTheme="minorHAnsi"/>
          <w:bCs/>
          <w:color w:val="auto"/>
          <w:sz w:val="22"/>
          <w:szCs w:val="22"/>
        </w:rPr>
      </w:pPr>
    </w:p>
    <w:p w14:paraId="5540AD4C" w14:textId="7F4B000D" w:rsidR="002448E7" w:rsidRDefault="002448E7" w:rsidP="00CD47E1">
      <w:pPr>
        <w:ind w:left="-540" w:hanging="162"/>
        <w:rPr>
          <w:rFonts w:asciiTheme="minorHAnsi" w:hAnsiTheme="minorHAnsi"/>
          <w:bCs/>
          <w:color w:val="auto"/>
          <w:sz w:val="22"/>
          <w:szCs w:val="22"/>
        </w:rPr>
      </w:pPr>
    </w:p>
    <w:p w14:paraId="7B4DDC25" w14:textId="4B021971" w:rsidR="002448E7" w:rsidRDefault="002448E7" w:rsidP="00CD47E1">
      <w:pPr>
        <w:ind w:left="-540" w:hanging="162"/>
        <w:rPr>
          <w:rFonts w:asciiTheme="minorHAnsi" w:hAnsiTheme="minorHAnsi"/>
          <w:bCs/>
          <w:color w:val="auto"/>
          <w:sz w:val="22"/>
          <w:szCs w:val="22"/>
        </w:rPr>
      </w:pPr>
    </w:p>
    <w:p w14:paraId="2A96F32C" w14:textId="01B67A29" w:rsidR="002448E7" w:rsidRDefault="002448E7" w:rsidP="00CD47E1">
      <w:pPr>
        <w:ind w:left="-540" w:hanging="162"/>
        <w:rPr>
          <w:rFonts w:asciiTheme="minorHAnsi" w:hAnsiTheme="minorHAnsi"/>
          <w:bCs/>
          <w:color w:val="auto"/>
          <w:sz w:val="22"/>
          <w:szCs w:val="22"/>
        </w:rPr>
      </w:pPr>
    </w:p>
    <w:p w14:paraId="50792786" w14:textId="08BA41FF" w:rsidR="002448E7" w:rsidRDefault="002448E7" w:rsidP="00CD47E1">
      <w:pPr>
        <w:ind w:left="-540" w:hanging="162"/>
        <w:rPr>
          <w:rFonts w:asciiTheme="minorHAnsi" w:hAnsiTheme="minorHAnsi"/>
          <w:bCs/>
          <w:color w:val="auto"/>
          <w:sz w:val="22"/>
          <w:szCs w:val="22"/>
        </w:rPr>
      </w:pPr>
    </w:p>
    <w:p w14:paraId="6C828816" w14:textId="66AB9386" w:rsidR="002448E7" w:rsidRDefault="002448E7" w:rsidP="00CD47E1">
      <w:pPr>
        <w:ind w:left="-540" w:hanging="162"/>
        <w:rPr>
          <w:rFonts w:asciiTheme="minorHAnsi" w:hAnsiTheme="minorHAnsi"/>
          <w:bCs/>
          <w:color w:val="auto"/>
          <w:sz w:val="22"/>
          <w:szCs w:val="22"/>
        </w:rPr>
      </w:pPr>
    </w:p>
    <w:p w14:paraId="5F476C4C" w14:textId="57BA82BF" w:rsidR="002448E7" w:rsidRDefault="002448E7" w:rsidP="00CD47E1">
      <w:pPr>
        <w:ind w:left="-540" w:hanging="162"/>
        <w:rPr>
          <w:rFonts w:asciiTheme="minorHAnsi" w:hAnsiTheme="minorHAnsi"/>
          <w:bCs/>
          <w:color w:val="auto"/>
          <w:sz w:val="22"/>
          <w:szCs w:val="22"/>
        </w:rPr>
      </w:pPr>
    </w:p>
    <w:p w14:paraId="2936C2D0" w14:textId="4E1B54F5" w:rsidR="002448E7" w:rsidRDefault="002448E7" w:rsidP="00CD47E1">
      <w:pPr>
        <w:ind w:left="-540" w:hanging="162"/>
        <w:rPr>
          <w:rFonts w:asciiTheme="minorHAnsi" w:hAnsiTheme="minorHAnsi"/>
          <w:bCs/>
          <w:color w:val="auto"/>
          <w:sz w:val="22"/>
          <w:szCs w:val="22"/>
        </w:rPr>
      </w:pPr>
    </w:p>
    <w:p w14:paraId="09971AD7" w14:textId="3BACD141" w:rsidR="002448E7" w:rsidRDefault="002448E7" w:rsidP="00CD47E1">
      <w:pPr>
        <w:ind w:left="-540" w:hanging="162"/>
        <w:rPr>
          <w:rFonts w:asciiTheme="minorHAnsi" w:hAnsiTheme="minorHAnsi"/>
          <w:bCs/>
          <w:color w:val="auto"/>
          <w:sz w:val="22"/>
          <w:szCs w:val="22"/>
        </w:rPr>
      </w:pPr>
    </w:p>
    <w:p w14:paraId="6FE477C9" w14:textId="63DA7DA9" w:rsidR="002448E7" w:rsidRDefault="002448E7" w:rsidP="00CD47E1">
      <w:pPr>
        <w:ind w:left="-540" w:hanging="162"/>
        <w:rPr>
          <w:rFonts w:asciiTheme="minorHAnsi" w:hAnsiTheme="minorHAnsi"/>
          <w:bCs/>
          <w:color w:val="auto"/>
          <w:sz w:val="22"/>
          <w:szCs w:val="22"/>
        </w:rPr>
      </w:pPr>
    </w:p>
    <w:p w14:paraId="5013A4FE" w14:textId="08845D8F" w:rsidR="002448E7" w:rsidRDefault="002448E7" w:rsidP="00CD47E1">
      <w:pPr>
        <w:ind w:left="-540" w:hanging="162"/>
        <w:rPr>
          <w:rFonts w:asciiTheme="minorHAnsi" w:hAnsiTheme="minorHAnsi"/>
          <w:bCs/>
          <w:color w:val="auto"/>
          <w:sz w:val="22"/>
          <w:szCs w:val="22"/>
        </w:rPr>
      </w:pPr>
    </w:p>
    <w:p w14:paraId="5905E674" w14:textId="7FF2EB09" w:rsidR="002448E7" w:rsidRDefault="002448E7" w:rsidP="00CD47E1">
      <w:pPr>
        <w:ind w:left="-540" w:hanging="162"/>
        <w:rPr>
          <w:rFonts w:asciiTheme="minorHAnsi" w:hAnsiTheme="minorHAnsi"/>
          <w:bCs/>
          <w:color w:val="auto"/>
          <w:sz w:val="22"/>
          <w:szCs w:val="22"/>
        </w:rPr>
      </w:pPr>
    </w:p>
    <w:p w14:paraId="252FBD45" w14:textId="23745D59" w:rsidR="002448E7" w:rsidRDefault="002448E7" w:rsidP="00CD47E1">
      <w:pPr>
        <w:ind w:left="-540" w:hanging="162"/>
        <w:rPr>
          <w:rFonts w:asciiTheme="minorHAnsi" w:hAnsiTheme="minorHAnsi"/>
          <w:bCs/>
          <w:color w:val="auto"/>
          <w:sz w:val="22"/>
          <w:szCs w:val="22"/>
        </w:rPr>
      </w:pPr>
    </w:p>
    <w:p w14:paraId="422DE89D" w14:textId="267042F2" w:rsidR="002448E7" w:rsidRDefault="002448E7" w:rsidP="00CD47E1">
      <w:pPr>
        <w:ind w:left="-540" w:hanging="162"/>
        <w:rPr>
          <w:rFonts w:asciiTheme="minorHAnsi" w:hAnsiTheme="minorHAnsi"/>
          <w:bCs/>
          <w:color w:val="auto"/>
          <w:sz w:val="22"/>
          <w:szCs w:val="22"/>
        </w:rPr>
      </w:pPr>
    </w:p>
    <w:p w14:paraId="3BC50060" w14:textId="161CC9D1" w:rsidR="002448E7" w:rsidRDefault="002448E7" w:rsidP="00CD47E1">
      <w:pPr>
        <w:ind w:left="-540" w:hanging="162"/>
        <w:rPr>
          <w:rFonts w:asciiTheme="minorHAnsi" w:hAnsiTheme="minorHAnsi"/>
          <w:bCs/>
          <w:color w:val="auto"/>
          <w:sz w:val="22"/>
          <w:szCs w:val="22"/>
        </w:rPr>
      </w:pPr>
    </w:p>
    <w:p w14:paraId="69771F9B" w14:textId="4A5C344E" w:rsidR="002448E7" w:rsidRDefault="002448E7" w:rsidP="00CD47E1">
      <w:pPr>
        <w:ind w:left="-540" w:hanging="162"/>
        <w:rPr>
          <w:rFonts w:asciiTheme="minorHAnsi" w:hAnsiTheme="minorHAnsi"/>
          <w:bCs/>
          <w:color w:val="auto"/>
          <w:sz w:val="22"/>
          <w:szCs w:val="22"/>
        </w:rPr>
      </w:pPr>
    </w:p>
    <w:p w14:paraId="4E4F7452" w14:textId="7F35F623" w:rsidR="002448E7" w:rsidRDefault="002448E7" w:rsidP="00CD47E1">
      <w:pPr>
        <w:ind w:left="-540" w:hanging="162"/>
        <w:rPr>
          <w:rFonts w:asciiTheme="minorHAnsi" w:hAnsiTheme="minorHAnsi"/>
          <w:bCs/>
          <w:color w:val="auto"/>
          <w:sz w:val="22"/>
          <w:szCs w:val="22"/>
        </w:rPr>
      </w:pPr>
    </w:p>
    <w:p w14:paraId="05CCFB34" w14:textId="77777777" w:rsidR="002448E7" w:rsidRDefault="002448E7" w:rsidP="00CD47E1">
      <w:pPr>
        <w:ind w:left="-540" w:hanging="162"/>
        <w:rPr>
          <w:rFonts w:asciiTheme="minorHAnsi" w:hAnsiTheme="minorHAnsi"/>
          <w:bCs/>
          <w:color w:val="auto"/>
          <w:sz w:val="22"/>
          <w:szCs w:val="22"/>
        </w:rPr>
        <w:sectPr w:rsidR="002448E7" w:rsidSect="005E582D">
          <w:type w:val="continuous"/>
          <w:pgSz w:w="12240" w:h="15840"/>
          <w:pgMar w:top="1440" w:right="1354" w:bottom="1440" w:left="1440" w:header="720" w:footer="720" w:gutter="0"/>
          <w:pgBorders w:offsetFrom="page">
            <w:bottom w:val="single" w:sz="8" w:space="24" w:color="F7F7F7"/>
          </w:pgBorders>
          <w:cols w:space="720"/>
          <w:docGrid w:linePitch="360"/>
        </w:sectPr>
      </w:pPr>
    </w:p>
    <w:sdt>
      <w:sdtPr>
        <w:rPr>
          <w:rFonts w:asciiTheme="minorHAnsi" w:hAnsiTheme="minorHAnsi"/>
          <w:sz w:val="22"/>
          <w:szCs w:val="22"/>
        </w:rPr>
        <w:id w:val="858887527"/>
        <w:placeholder>
          <w:docPart w:val="AC70C77CC0AB486FB54A9FE1092AA435"/>
        </w:placeholder>
        <w:showingPlcHdr/>
      </w:sdtPr>
      <w:sdtContent>
        <w:p w14:paraId="1E0A0B8B" w14:textId="77777777" w:rsidR="00370EC4" w:rsidRDefault="00880CEC" w:rsidP="00DD520A">
          <w:pPr>
            <w:tabs>
              <w:tab w:val="left" w:pos="1695"/>
            </w:tabs>
            <w:spacing w:line="14" w:lineRule="exact"/>
            <w:ind w:left="-720"/>
            <w:rPr>
              <w:rFonts w:asciiTheme="minorHAnsi" w:hAnsiTheme="minorHAnsi"/>
              <w:sz w:val="22"/>
              <w:szCs w:val="22"/>
            </w:rPr>
          </w:pPr>
          <w:r w:rsidRPr="00370EC4">
            <w:rPr>
              <w:rStyle w:val="PlaceholderText"/>
              <w:color w:val="FFFFFF"/>
            </w:rPr>
            <w:t>.</w:t>
          </w:r>
        </w:p>
      </w:sdtContent>
    </w:sdt>
    <w:p w14:paraId="0269A2D9" w14:textId="77777777" w:rsidR="00DD520A" w:rsidRDefault="00DD520A" w:rsidP="00DD520A">
      <w:pPr>
        <w:tabs>
          <w:tab w:val="left" w:pos="1695"/>
        </w:tabs>
        <w:ind w:left="-720"/>
        <w:rPr>
          <w:rFonts w:asciiTheme="minorHAnsi" w:hAnsiTheme="minorHAnsi"/>
          <w:sz w:val="22"/>
          <w:szCs w:val="22"/>
        </w:rPr>
        <w:sectPr w:rsidR="00DD520A" w:rsidSect="002448E7">
          <w:pgSz w:w="15840" w:h="12240" w:orient="landscape"/>
          <w:pgMar w:top="1440" w:right="1440" w:bottom="1354" w:left="1440" w:header="720" w:footer="720" w:gutter="0"/>
          <w:pgBorders w:offsetFrom="page">
            <w:bottom w:val="single" w:sz="8" w:space="24" w:color="F7F7F7"/>
          </w:pgBorders>
          <w:cols w:space="720"/>
          <w:docGrid w:linePitch="360"/>
        </w:sectPr>
      </w:pPr>
    </w:p>
    <w:sdt>
      <w:sdtPr>
        <w:rPr>
          <w:rFonts w:asciiTheme="minorHAnsi" w:hAnsiTheme="minorHAnsi"/>
          <w:sz w:val="22"/>
          <w:szCs w:val="22"/>
        </w:rPr>
        <w:tag w:val="OPS_CORE_SECTION_START_14"/>
        <w:id w:val="1606134293"/>
        <w:lock w:val="sdtContentLocked"/>
        <w:placeholder>
          <w:docPart w:val="B6CB00A0C23645D2BAC79F5604FDD1FA"/>
        </w:placeholder>
        <w:showingPlcHdr/>
      </w:sdtPr>
      <w:sdtContent>
        <w:p w14:paraId="29992005" w14:textId="1BCD9066" w:rsidR="00986F52" w:rsidRDefault="00880CEC" w:rsidP="00DD520A">
          <w:pPr>
            <w:tabs>
              <w:tab w:val="left" w:pos="1695"/>
            </w:tabs>
            <w:spacing w:line="14" w:lineRule="exact"/>
            <w:ind w:left="-720"/>
            <w:rPr>
              <w:rFonts w:asciiTheme="minorHAnsi" w:hAnsiTheme="minorHAnsi"/>
              <w:sz w:val="22"/>
              <w:szCs w:val="22"/>
            </w:rPr>
          </w:pPr>
          <w:r w:rsidRPr="00986F52">
            <w:rPr>
              <w:rStyle w:val="PlaceholderText"/>
              <w:color w:val="FFFFFF" w:themeColor="background1"/>
            </w:rPr>
            <w:t>.</w:t>
          </w:r>
        </w:p>
      </w:sdtContent>
    </w:sdt>
    <w:tbl>
      <w:tblPr>
        <w:tblStyle w:val="TableGrid"/>
        <w:tblW w:w="1089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C"/>
        <w:tblLayout w:type="fixed"/>
        <w:tblLook w:val="04A0" w:firstRow="1" w:lastRow="0" w:firstColumn="1" w:lastColumn="0" w:noHBand="0" w:noVBand="1"/>
      </w:tblPr>
      <w:tblGrid>
        <w:gridCol w:w="10890"/>
      </w:tblGrid>
      <w:tr w:rsidR="004F0F3F" w14:paraId="09CF08E6" w14:textId="77777777" w:rsidTr="00370EC4">
        <w:trPr>
          <w:trHeight w:val="432"/>
        </w:trPr>
        <w:tc>
          <w:tcPr>
            <w:tcW w:w="10890" w:type="dxa"/>
            <w:shd w:val="clear" w:color="auto" w:fill="F2F7FC"/>
            <w:vAlign w:val="center"/>
          </w:tcPr>
          <w:p w14:paraId="726E3AB4" w14:textId="4A231A10" w:rsidR="00370EC4" w:rsidRPr="00C47E0D" w:rsidRDefault="00880CEC" w:rsidP="00370EC4">
            <w:pPr>
              <w:pStyle w:val="NoSpacing"/>
              <w:jc w:val="center"/>
              <w:outlineLvl w:val="0"/>
              <w:rPr>
                <w:rFonts w:asciiTheme="minorHAnsi" w:hAnsiTheme="minorHAnsi"/>
                <w:b/>
                <w:sz w:val="22"/>
                <w:szCs w:val="22"/>
              </w:rPr>
            </w:pPr>
            <w:bookmarkStart w:id="63" w:name="_Toc256000014"/>
            <w:bookmarkStart w:id="64" w:name="_Toc517269169"/>
            <w:bookmarkStart w:id="65" w:name="_Toc520325364"/>
            <w:bookmarkStart w:id="66" w:name="_Toc104869140"/>
            <w:r w:rsidRPr="00C47E0D">
              <w:rPr>
                <w:rFonts w:asciiTheme="minorHAnsi" w:hAnsiTheme="minorHAnsi"/>
                <w:b/>
                <w:color w:val="000000" w:themeColor="text1"/>
                <w:sz w:val="22"/>
                <w:szCs w:val="22"/>
              </w:rPr>
              <w:t xml:space="preserve">ANNEX </w:t>
            </w:r>
            <w:r w:rsidR="005E582D">
              <w:rPr>
                <w:rFonts w:asciiTheme="minorHAnsi" w:hAnsiTheme="minorHAnsi"/>
                <w:b/>
                <w:color w:val="000000" w:themeColor="text1"/>
                <w:sz w:val="22"/>
                <w:szCs w:val="22"/>
              </w:rPr>
              <w:t>2</w:t>
            </w:r>
            <w:r w:rsidRPr="00C47E0D">
              <w:rPr>
                <w:rFonts w:asciiTheme="minorHAnsi" w:hAnsiTheme="minorHAnsi"/>
                <w:b/>
                <w:color w:val="000000" w:themeColor="text1"/>
                <w:sz w:val="22"/>
                <w:szCs w:val="22"/>
              </w:rPr>
              <w:t>: MODIFIED PROGRAM ACTION PLAN</w:t>
            </w:r>
            <w:bookmarkEnd w:id="63"/>
            <w:bookmarkEnd w:id="64"/>
            <w:bookmarkEnd w:id="65"/>
            <w:bookmarkEnd w:id="66"/>
          </w:p>
        </w:tc>
      </w:tr>
    </w:tbl>
    <w:p w14:paraId="66951C9F" w14:textId="77777777" w:rsidR="00370EC4" w:rsidRDefault="00370EC4" w:rsidP="00986F52">
      <w:pPr>
        <w:tabs>
          <w:tab w:val="left" w:pos="1695"/>
        </w:tabs>
        <w:spacing w:line="14" w:lineRule="exact"/>
        <w:ind w:left="-720"/>
        <w:rPr>
          <w:rFonts w:asciiTheme="minorHAnsi" w:hAnsiTheme="minorHAnsi"/>
          <w:sz w:val="22"/>
          <w:szCs w:val="22"/>
        </w:rPr>
      </w:pPr>
    </w:p>
    <w:sdt>
      <w:sdtPr>
        <w:rPr>
          <w:rFonts w:asciiTheme="minorHAnsi" w:hAnsiTheme="minorHAnsi"/>
          <w:sz w:val="22"/>
          <w:szCs w:val="22"/>
        </w:rPr>
        <w:tag w:val="OPS_CORE_SECTION_END_14"/>
        <w:id w:val="200538609"/>
        <w:lock w:val="sdtContentLocked"/>
        <w:placeholder>
          <w:docPart w:val="01B26143A87E4124A2D05C26AB837BC3"/>
        </w:placeholder>
        <w:showingPlcHdr/>
      </w:sdtPr>
      <w:sdtContent>
        <w:p w14:paraId="6BEF22AF" w14:textId="77777777" w:rsidR="00453091" w:rsidRDefault="00880CEC" w:rsidP="00272D5F">
          <w:pPr>
            <w:tabs>
              <w:tab w:val="left" w:pos="1695"/>
            </w:tabs>
            <w:spacing w:line="14" w:lineRule="exact"/>
            <w:ind w:left="-720"/>
            <w:rPr>
              <w:rFonts w:asciiTheme="minorHAnsi" w:hAnsiTheme="minorHAnsi"/>
              <w:sz w:val="22"/>
              <w:szCs w:val="22"/>
            </w:rPr>
          </w:pPr>
          <w:r w:rsidRPr="00B60247">
            <w:rPr>
              <w:rStyle w:val="PlaceholderText"/>
              <w:color w:val="FFFFFF" w:themeColor="background1"/>
            </w:rPr>
            <w:t>.</w:t>
          </w:r>
        </w:p>
      </w:sdtContent>
    </w:sdt>
    <w:p w14:paraId="50128C22" w14:textId="5A3E1C39" w:rsidR="002003F7" w:rsidRDefault="002003F7" w:rsidP="002003F7">
      <w:pPr>
        <w:tabs>
          <w:tab w:val="left" w:pos="1695"/>
        </w:tabs>
        <w:ind w:left="-720"/>
        <w:rPr>
          <w:rFonts w:asciiTheme="minorHAnsi" w:hAnsiTheme="minorHAnsi"/>
          <w:sz w:val="22"/>
          <w:szCs w:val="22"/>
        </w:rPr>
        <w:sectPr w:rsidR="002003F7" w:rsidSect="002448E7">
          <w:type w:val="continuous"/>
          <w:pgSz w:w="15840" w:h="12240" w:orient="landscape"/>
          <w:pgMar w:top="1440" w:right="1440" w:bottom="1354" w:left="1440" w:header="720" w:footer="720" w:gutter="0"/>
          <w:pgBorders w:offsetFrom="page">
            <w:bottom w:val="single" w:sz="8" w:space="24" w:color="F7F7F7"/>
          </w:pgBorders>
          <w:cols w:space="720"/>
          <w:docGrid w:linePitch="360"/>
        </w:sectPr>
      </w:pPr>
    </w:p>
    <w:p w14:paraId="7296D83A" w14:textId="68E8792C" w:rsidR="002003F7" w:rsidRDefault="002003F7" w:rsidP="002003F7">
      <w:pPr>
        <w:tabs>
          <w:tab w:val="left" w:pos="1695"/>
        </w:tabs>
        <w:ind w:left="-720"/>
        <w:rPr>
          <w:rFonts w:asciiTheme="minorHAnsi" w:hAnsiTheme="minorHAnsi"/>
          <w:sz w:val="22"/>
          <w:szCs w:val="22"/>
        </w:rPr>
      </w:pPr>
    </w:p>
    <w:tbl>
      <w:tblPr>
        <w:tblW w:w="5525"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44" w:type="dxa"/>
        </w:tblCellMar>
        <w:tblLook w:val="04A0" w:firstRow="1" w:lastRow="0" w:firstColumn="1" w:lastColumn="0" w:noHBand="0" w:noVBand="1"/>
      </w:tblPr>
      <w:tblGrid>
        <w:gridCol w:w="2419"/>
        <w:gridCol w:w="3215"/>
        <w:gridCol w:w="2379"/>
        <w:gridCol w:w="1978"/>
        <w:gridCol w:w="1620"/>
        <w:gridCol w:w="1440"/>
        <w:gridCol w:w="1259"/>
      </w:tblGrid>
      <w:tr w:rsidR="002B0E2E" w:rsidRPr="00D1408C" w14:paraId="67C88329" w14:textId="44E389DE" w:rsidTr="00004B73">
        <w:trPr>
          <w:trHeight w:val="532"/>
          <w:tblHeader/>
        </w:trPr>
        <w:tc>
          <w:tcPr>
            <w:tcW w:w="845" w:type="pct"/>
            <w:shd w:val="clear" w:color="auto" w:fill="D9D9D9" w:themeFill="background1" w:themeFillShade="D9"/>
          </w:tcPr>
          <w:p w14:paraId="3BFD5179" w14:textId="77777777" w:rsidR="00010BA2" w:rsidRPr="00D1408C" w:rsidRDefault="00010BA2" w:rsidP="00004B73">
            <w:pPr>
              <w:pStyle w:val="Normal314"/>
              <w:widowControl/>
              <w:rPr>
                <w:rFonts w:asciiTheme="minorHAnsi" w:hAnsiTheme="minorHAnsi" w:cstheme="minorHAnsi"/>
                <w:b/>
                <w:bCs/>
                <w:color w:val="auto"/>
                <w:sz w:val="20"/>
                <w:szCs w:val="20"/>
              </w:rPr>
            </w:pPr>
            <w:r w:rsidRPr="00D1408C">
              <w:rPr>
                <w:rFonts w:asciiTheme="minorHAnsi" w:hAnsiTheme="minorHAnsi" w:cstheme="minorHAnsi"/>
                <w:b/>
                <w:bCs/>
                <w:color w:val="auto"/>
                <w:sz w:val="20"/>
                <w:szCs w:val="20"/>
              </w:rPr>
              <w:t>Issue</w:t>
            </w:r>
          </w:p>
        </w:tc>
        <w:tc>
          <w:tcPr>
            <w:tcW w:w="1123" w:type="pct"/>
            <w:shd w:val="clear" w:color="auto" w:fill="D9D9D9" w:themeFill="background1" w:themeFillShade="D9"/>
          </w:tcPr>
          <w:p w14:paraId="002B6A60" w14:textId="77777777" w:rsidR="00010BA2" w:rsidRPr="00D1408C" w:rsidRDefault="00010BA2" w:rsidP="00004B73">
            <w:pPr>
              <w:pStyle w:val="Normal314"/>
              <w:widowControl/>
              <w:rPr>
                <w:rFonts w:asciiTheme="minorHAnsi" w:hAnsiTheme="minorHAnsi" w:cstheme="minorHAnsi"/>
                <w:b/>
                <w:bCs/>
                <w:color w:val="auto"/>
                <w:sz w:val="20"/>
                <w:szCs w:val="20"/>
              </w:rPr>
            </w:pPr>
            <w:r w:rsidRPr="00D1408C">
              <w:rPr>
                <w:rFonts w:asciiTheme="minorHAnsi" w:hAnsiTheme="minorHAnsi" w:cstheme="minorHAnsi"/>
                <w:b/>
                <w:bCs/>
                <w:color w:val="auto"/>
                <w:sz w:val="20"/>
                <w:szCs w:val="20"/>
              </w:rPr>
              <w:t>Mitigation Measure</w:t>
            </w:r>
          </w:p>
        </w:tc>
        <w:tc>
          <w:tcPr>
            <w:tcW w:w="831" w:type="pct"/>
            <w:shd w:val="clear" w:color="auto" w:fill="D9D9D9" w:themeFill="background1" w:themeFillShade="D9"/>
          </w:tcPr>
          <w:p w14:paraId="289BDA8C" w14:textId="11912339" w:rsidR="00010BA2" w:rsidRPr="00D1408C" w:rsidRDefault="00010BA2" w:rsidP="00004B73">
            <w:pPr>
              <w:pStyle w:val="Normal314"/>
              <w:widowControl/>
              <w:rPr>
                <w:rFonts w:asciiTheme="minorHAnsi" w:hAnsiTheme="minorHAnsi" w:cstheme="minorHAnsi"/>
                <w:b/>
                <w:bCs/>
                <w:color w:val="auto"/>
                <w:sz w:val="20"/>
                <w:szCs w:val="20"/>
              </w:rPr>
            </w:pPr>
            <w:r>
              <w:rPr>
                <w:rFonts w:asciiTheme="minorHAnsi" w:hAnsiTheme="minorHAnsi" w:cstheme="minorHAnsi"/>
                <w:b/>
                <w:bCs/>
                <w:color w:val="auto"/>
                <w:sz w:val="20"/>
                <w:szCs w:val="20"/>
              </w:rPr>
              <w:t>Revised Measure</w:t>
            </w:r>
          </w:p>
        </w:tc>
        <w:tc>
          <w:tcPr>
            <w:tcW w:w="691" w:type="pct"/>
            <w:shd w:val="clear" w:color="auto" w:fill="D9D9D9" w:themeFill="background1" w:themeFillShade="D9"/>
          </w:tcPr>
          <w:p w14:paraId="1C9C8911" w14:textId="3FFB5941" w:rsidR="00010BA2" w:rsidRPr="00D1408C" w:rsidRDefault="00010BA2" w:rsidP="00004B73">
            <w:pPr>
              <w:pStyle w:val="Normal314"/>
              <w:widowControl/>
              <w:rPr>
                <w:rFonts w:asciiTheme="minorHAnsi" w:hAnsiTheme="minorHAnsi" w:cstheme="minorHAnsi"/>
                <w:b/>
                <w:bCs/>
                <w:color w:val="auto"/>
                <w:sz w:val="20"/>
                <w:szCs w:val="20"/>
              </w:rPr>
            </w:pPr>
            <w:r w:rsidRPr="00D1408C">
              <w:rPr>
                <w:rFonts w:asciiTheme="minorHAnsi" w:hAnsiTheme="minorHAnsi" w:cstheme="minorHAnsi"/>
                <w:b/>
                <w:bCs/>
                <w:color w:val="auto"/>
                <w:sz w:val="20"/>
                <w:szCs w:val="20"/>
              </w:rPr>
              <w:t>Responsibility</w:t>
            </w:r>
          </w:p>
        </w:tc>
        <w:tc>
          <w:tcPr>
            <w:tcW w:w="566" w:type="pct"/>
            <w:shd w:val="clear" w:color="auto" w:fill="D9D9D9" w:themeFill="background1" w:themeFillShade="D9"/>
          </w:tcPr>
          <w:p w14:paraId="764C4A3A" w14:textId="2D7733D0" w:rsidR="00010BA2" w:rsidRPr="00D1408C" w:rsidRDefault="00010BA2" w:rsidP="00004B73">
            <w:pPr>
              <w:pStyle w:val="Normal314"/>
              <w:widowControl/>
              <w:rPr>
                <w:rFonts w:asciiTheme="minorHAnsi" w:hAnsiTheme="minorHAnsi" w:cstheme="minorHAnsi"/>
                <w:b/>
                <w:bCs/>
                <w:color w:val="auto"/>
                <w:sz w:val="20"/>
                <w:szCs w:val="20"/>
              </w:rPr>
            </w:pPr>
            <w:r>
              <w:rPr>
                <w:rFonts w:asciiTheme="minorHAnsi" w:hAnsiTheme="minorHAnsi" w:cstheme="minorHAnsi"/>
                <w:b/>
                <w:bCs/>
                <w:color w:val="auto"/>
                <w:sz w:val="20"/>
                <w:szCs w:val="20"/>
              </w:rPr>
              <w:t>Current</w:t>
            </w:r>
            <w:r w:rsidRPr="00D1408C">
              <w:rPr>
                <w:rFonts w:asciiTheme="minorHAnsi" w:hAnsiTheme="minorHAnsi" w:cstheme="minorHAnsi"/>
                <w:b/>
                <w:bCs/>
                <w:color w:val="auto"/>
                <w:sz w:val="20"/>
                <w:szCs w:val="20"/>
              </w:rPr>
              <w:t xml:space="preserve"> Deadline</w:t>
            </w:r>
          </w:p>
        </w:tc>
        <w:tc>
          <w:tcPr>
            <w:tcW w:w="503" w:type="pct"/>
            <w:shd w:val="clear" w:color="auto" w:fill="D9D9D9" w:themeFill="background1" w:themeFillShade="D9"/>
          </w:tcPr>
          <w:p w14:paraId="0B245E62" w14:textId="5206AF7A" w:rsidR="00010BA2" w:rsidRDefault="00010BA2" w:rsidP="00004B73">
            <w:pPr>
              <w:pStyle w:val="Normal314"/>
              <w:widowControl/>
              <w:rPr>
                <w:rFonts w:asciiTheme="minorHAnsi" w:hAnsiTheme="minorHAnsi" w:cstheme="minorHAnsi"/>
                <w:b/>
                <w:bCs/>
                <w:color w:val="auto"/>
                <w:sz w:val="20"/>
                <w:szCs w:val="20"/>
              </w:rPr>
            </w:pPr>
            <w:r>
              <w:rPr>
                <w:rFonts w:asciiTheme="minorHAnsi" w:hAnsiTheme="minorHAnsi" w:cstheme="minorHAnsi"/>
                <w:b/>
                <w:bCs/>
                <w:color w:val="auto"/>
                <w:sz w:val="20"/>
                <w:szCs w:val="20"/>
              </w:rPr>
              <w:t>Revised Deadline</w:t>
            </w:r>
          </w:p>
        </w:tc>
        <w:tc>
          <w:tcPr>
            <w:tcW w:w="440" w:type="pct"/>
            <w:shd w:val="clear" w:color="auto" w:fill="D9D9D9" w:themeFill="background1" w:themeFillShade="D9"/>
          </w:tcPr>
          <w:p w14:paraId="682CE642" w14:textId="3E38265C" w:rsidR="00010BA2" w:rsidRPr="00D1408C" w:rsidRDefault="00010BA2" w:rsidP="00004B73">
            <w:pPr>
              <w:pStyle w:val="Normal314"/>
              <w:widowControl/>
              <w:rPr>
                <w:rFonts w:asciiTheme="minorHAnsi" w:hAnsiTheme="minorHAnsi" w:cstheme="minorHAnsi"/>
                <w:b/>
                <w:bCs/>
                <w:color w:val="auto"/>
                <w:sz w:val="20"/>
                <w:szCs w:val="20"/>
              </w:rPr>
            </w:pPr>
            <w:r>
              <w:rPr>
                <w:rFonts w:asciiTheme="minorHAnsi" w:hAnsiTheme="minorHAnsi" w:cstheme="minorHAnsi"/>
                <w:b/>
                <w:bCs/>
                <w:color w:val="auto"/>
                <w:sz w:val="20"/>
                <w:szCs w:val="20"/>
              </w:rPr>
              <w:t>Status</w:t>
            </w:r>
          </w:p>
        </w:tc>
      </w:tr>
      <w:tr w:rsidR="002B0E2E" w:rsidRPr="00D1408C" w14:paraId="3302E8E0" w14:textId="1D8A5F4D" w:rsidTr="002B0E2E">
        <w:trPr>
          <w:trHeight w:val="323"/>
        </w:trPr>
        <w:tc>
          <w:tcPr>
            <w:tcW w:w="845" w:type="pct"/>
            <w:shd w:val="clear" w:color="auto" w:fill="D9D9D9" w:themeFill="background1" w:themeFillShade="D9"/>
          </w:tcPr>
          <w:p w14:paraId="125CB1E9" w14:textId="77777777" w:rsidR="00010BA2" w:rsidRPr="00D1408C" w:rsidRDefault="00010BA2" w:rsidP="00A64B72">
            <w:pPr>
              <w:pStyle w:val="Normal314"/>
              <w:widowControl/>
              <w:rPr>
                <w:rFonts w:asciiTheme="minorHAnsi" w:hAnsiTheme="minorHAnsi" w:cstheme="minorHAnsi"/>
                <w:b/>
                <w:color w:val="auto"/>
                <w:sz w:val="20"/>
                <w:szCs w:val="20"/>
              </w:rPr>
            </w:pPr>
            <w:r w:rsidRPr="00D1408C">
              <w:rPr>
                <w:rFonts w:asciiTheme="minorHAnsi" w:hAnsiTheme="minorHAnsi" w:cstheme="minorHAnsi"/>
                <w:b/>
                <w:color w:val="auto"/>
                <w:sz w:val="20"/>
                <w:szCs w:val="20"/>
              </w:rPr>
              <w:t>Regulatory</w:t>
            </w:r>
          </w:p>
        </w:tc>
        <w:tc>
          <w:tcPr>
            <w:tcW w:w="1123" w:type="pct"/>
            <w:shd w:val="clear" w:color="auto" w:fill="D9D9D9" w:themeFill="background1" w:themeFillShade="D9"/>
          </w:tcPr>
          <w:p w14:paraId="0921EE59" w14:textId="77777777" w:rsidR="00010BA2" w:rsidRPr="00D1408C" w:rsidRDefault="00010BA2" w:rsidP="00A64B72">
            <w:pPr>
              <w:pStyle w:val="Normal314"/>
              <w:widowControl/>
              <w:rPr>
                <w:rFonts w:asciiTheme="minorHAnsi" w:hAnsiTheme="minorHAnsi" w:cstheme="minorHAnsi"/>
                <w:b/>
                <w:color w:val="auto"/>
                <w:sz w:val="20"/>
                <w:szCs w:val="20"/>
              </w:rPr>
            </w:pPr>
          </w:p>
        </w:tc>
        <w:tc>
          <w:tcPr>
            <w:tcW w:w="831" w:type="pct"/>
            <w:shd w:val="clear" w:color="auto" w:fill="D9D9D9" w:themeFill="background1" w:themeFillShade="D9"/>
          </w:tcPr>
          <w:p w14:paraId="10A1FC16" w14:textId="77777777" w:rsidR="00010BA2" w:rsidRPr="00D1408C" w:rsidRDefault="00010BA2" w:rsidP="00A64B72">
            <w:pPr>
              <w:pStyle w:val="Normal314"/>
              <w:widowControl/>
              <w:rPr>
                <w:rFonts w:asciiTheme="minorHAnsi" w:hAnsiTheme="minorHAnsi" w:cstheme="minorHAnsi"/>
                <w:b/>
                <w:bCs/>
                <w:color w:val="auto"/>
                <w:sz w:val="20"/>
                <w:szCs w:val="20"/>
              </w:rPr>
            </w:pPr>
          </w:p>
        </w:tc>
        <w:tc>
          <w:tcPr>
            <w:tcW w:w="691" w:type="pct"/>
            <w:shd w:val="clear" w:color="auto" w:fill="D9D9D9" w:themeFill="background1" w:themeFillShade="D9"/>
          </w:tcPr>
          <w:p w14:paraId="75C1705F" w14:textId="7E1BEEB8" w:rsidR="00010BA2" w:rsidRPr="00D1408C" w:rsidRDefault="00010BA2" w:rsidP="00A64B72">
            <w:pPr>
              <w:pStyle w:val="Normal314"/>
              <w:widowControl/>
              <w:rPr>
                <w:rFonts w:asciiTheme="minorHAnsi" w:hAnsiTheme="minorHAnsi" w:cstheme="minorHAnsi"/>
                <w:b/>
                <w:bCs/>
                <w:color w:val="auto"/>
                <w:sz w:val="20"/>
                <w:szCs w:val="20"/>
              </w:rPr>
            </w:pPr>
          </w:p>
        </w:tc>
        <w:tc>
          <w:tcPr>
            <w:tcW w:w="566" w:type="pct"/>
            <w:shd w:val="clear" w:color="auto" w:fill="D9D9D9" w:themeFill="background1" w:themeFillShade="D9"/>
          </w:tcPr>
          <w:p w14:paraId="4FE583ED" w14:textId="77777777" w:rsidR="00010BA2" w:rsidRPr="00D1408C" w:rsidRDefault="00010BA2" w:rsidP="00A64B72">
            <w:pPr>
              <w:pStyle w:val="Normal314"/>
              <w:widowControl/>
              <w:rPr>
                <w:rFonts w:asciiTheme="minorHAnsi" w:hAnsiTheme="minorHAnsi" w:cstheme="minorHAnsi"/>
                <w:b/>
                <w:bCs/>
                <w:color w:val="auto"/>
                <w:sz w:val="20"/>
                <w:szCs w:val="20"/>
              </w:rPr>
            </w:pPr>
          </w:p>
        </w:tc>
        <w:tc>
          <w:tcPr>
            <w:tcW w:w="503" w:type="pct"/>
            <w:shd w:val="clear" w:color="auto" w:fill="D9D9D9" w:themeFill="background1" w:themeFillShade="D9"/>
          </w:tcPr>
          <w:p w14:paraId="3FBCB508" w14:textId="77777777" w:rsidR="00010BA2" w:rsidRPr="00D1408C" w:rsidRDefault="00010BA2" w:rsidP="00A64B72">
            <w:pPr>
              <w:pStyle w:val="Normal314"/>
              <w:widowControl/>
              <w:rPr>
                <w:rFonts w:asciiTheme="minorHAnsi" w:hAnsiTheme="minorHAnsi" w:cstheme="minorHAnsi"/>
                <w:b/>
                <w:bCs/>
                <w:color w:val="auto"/>
                <w:sz w:val="20"/>
                <w:szCs w:val="20"/>
              </w:rPr>
            </w:pPr>
          </w:p>
        </w:tc>
        <w:tc>
          <w:tcPr>
            <w:tcW w:w="440" w:type="pct"/>
            <w:shd w:val="clear" w:color="auto" w:fill="D9D9D9" w:themeFill="background1" w:themeFillShade="D9"/>
          </w:tcPr>
          <w:p w14:paraId="6076C0F9" w14:textId="0D45899B" w:rsidR="00010BA2" w:rsidRPr="00D1408C" w:rsidRDefault="00010BA2" w:rsidP="00A64B72">
            <w:pPr>
              <w:pStyle w:val="Normal314"/>
              <w:widowControl/>
              <w:rPr>
                <w:rFonts w:asciiTheme="minorHAnsi" w:hAnsiTheme="minorHAnsi" w:cstheme="minorHAnsi"/>
                <w:b/>
                <w:bCs/>
                <w:color w:val="auto"/>
                <w:sz w:val="20"/>
                <w:szCs w:val="20"/>
              </w:rPr>
            </w:pPr>
          </w:p>
        </w:tc>
      </w:tr>
      <w:tr w:rsidR="002B0E2E" w:rsidRPr="00D1408C" w14:paraId="26C31AD1" w14:textId="46D5EC8B" w:rsidTr="002B0E2E">
        <w:trPr>
          <w:trHeight w:val="2033"/>
        </w:trPr>
        <w:tc>
          <w:tcPr>
            <w:tcW w:w="845" w:type="pct"/>
            <w:shd w:val="clear" w:color="auto" w:fill="auto"/>
          </w:tcPr>
          <w:p w14:paraId="11ACA1AF" w14:textId="69D56AA9" w:rsidR="00010BA2" w:rsidRPr="00D1408C" w:rsidRDefault="00010BA2" w:rsidP="00A64B72">
            <w:pPr>
              <w:pStyle w:val="Normal314"/>
              <w:widowControl/>
              <w:rPr>
                <w:rFonts w:asciiTheme="minorHAnsi" w:hAnsiTheme="minorHAnsi" w:cstheme="minorHAnsi"/>
                <w:color w:val="auto"/>
                <w:sz w:val="20"/>
                <w:szCs w:val="20"/>
              </w:rPr>
            </w:pPr>
            <w:r w:rsidRPr="00D1408C">
              <w:rPr>
                <w:rFonts w:asciiTheme="minorHAnsi" w:hAnsiTheme="minorHAnsi" w:cstheme="minorHAnsi"/>
                <w:color w:val="auto"/>
                <w:sz w:val="20"/>
                <w:szCs w:val="20"/>
              </w:rPr>
              <w:t xml:space="preserve">Establishment of adequately staffed Tariff Unit under </w:t>
            </w:r>
            <w:r w:rsidR="00842CA3">
              <w:rPr>
                <w:rFonts w:asciiTheme="minorHAnsi" w:hAnsiTheme="minorHAnsi" w:cstheme="minorHAnsi"/>
                <w:color w:val="auto"/>
                <w:sz w:val="20"/>
                <w:szCs w:val="20"/>
              </w:rPr>
              <w:t>AMS</w:t>
            </w:r>
          </w:p>
        </w:tc>
        <w:tc>
          <w:tcPr>
            <w:tcW w:w="1123" w:type="pct"/>
            <w:shd w:val="clear" w:color="auto" w:fill="auto"/>
          </w:tcPr>
          <w:p w14:paraId="26C374EB" w14:textId="70C6A59D" w:rsidR="00010BA2" w:rsidRPr="00D1408C" w:rsidRDefault="00010BA2" w:rsidP="00A64B72">
            <w:pPr>
              <w:pStyle w:val="Normal314"/>
              <w:widowControl/>
              <w:rPr>
                <w:rFonts w:asciiTheme="minorHAnsi" w:hAnsiTheme="minorHAnsi" w:cstheme="minorHAnsi"/>
                <w:color w:val="auto"/>
                <w:sz w:val="20"/>
                <w:szCs w:val="20"/>
              </w:rPr>
            </w:pPr>
            <w:r w:rsidRPr="00D1408C">
              <w:rPr>
                <w:rFonts w:asciiTheme="minorHAnsi" w:hAnsiTheme="minorHAnsi" w:cstheme="minorHAnsi"/>
                <w:color w:val="auto"/>
                <w:sz w:val="20"/>
                <w:szCs w:val="20"/>
              </w:rPr>
              <w:t>The Government approves establishment of adequately staffed Tariff Unit under AM</w:t>
            </w:r>
            <w:r w:rsidR="00842CA3">
              <w:rPr>
                <w:rFonts w:asciiTheme="minorHAnsi" w:hAnsiTheme="minorHAnsi" w:cstheme="minorHAnsi"/>
                <w:color w:val="auto"/>
                <w:sz w:val="20"/>
                <w:szCs w:val="20"/>
              </w:rPr>
              <w:t>S</w:t>
            </w:r>
            <w:r w:rsidRPr="00D1408C">
              <w:rPr>
                <w:rFonts w:asciiTheme="minorHAnsi" w:hAnsiTheme="minorHAnsi" w:cstheme="minorHAnsi"/>
                <w:color w:val="auto"/>
                <w:sz w:val="20"/>
                <w:szCs w:val="20"/>
              </w:rPr>
              <w:t xml:space="preserve"> with responsibility and functions related to review and provision of recommendation to the Cabinet on revision of tariffs in accordance with new tariff methodology</w:t>
            </w:r>
          </w:p>
        </w:tc>
        <w:tc>
          <w:tcPr>
            <w:tcW w:w="831" w:type="pct"/>
          </w:tcPr>
          <w:p w14:paraId="7C1FB3F3" w14:textId="49418780" w:rsidR="00010BA2" w:rsidRPr="00D1408C" w:rsidRDefault="00010BA2" w:rsidP="00A64B72">
            <w:pPr>
              <w:pStyle w:val="Normal314"/>
              <w:widowControl/>
              <w:rPr>
                <w:rFonts w:asciiTheme="minorHAnsi" w:hAnsiTheme="minorHAnsi" w:cstheme="minorHAnsi"/>
                <w:bCs/>
                <w:color w:val="auto"/>
                <w:sz w:val="20"/>
                <w:szCs w:val="20"/>
              </w:rPr>
            </w:pPr>
            <w:r>
              <w:rPr>
                <w:rFonts w:asciiTheme="minorHAnsi" w:hAnsiTheme="minorHAnsi" w:cstheme="minorHAnsi"/>
                <w:bCs/>
                <w:color w:val="auto"/>
                <w:sz w:val="20"/>
                <w:szCs w:val="20"/>
              </w:rPr>
              <w:t>-</w:t>
            </w:r>
          </w:p>
        </w:tc>
        <w:tc>
          <w:tcPr>
            <w:tcW w:w="691" w:type="pct"/>
            <w:shd w:val="clear" w:color="auto" w:fill="auto"/>
          </w:tcPr>
          <w:p w14:paraId="336913A5" w14:textId="3150998E" w:rsidR="00010BA2" w:rsidRPr="00D1408C" w:rsidRDefault="00010BA2" w:rsidP="00A64B72">
            <w:pPr>
              <w:pStyle w:val="Normal314"/>
              <w:widowControl/>
              <w:rPr>
                <w:rFonts w:asciiTheme="minorHAnsi" w:hAnsiTheme="minorHAnsi" w:cstheme="minorHAnsi"/>
                <w:bCs/>
                <w:color w:val="auto"/>
                <w:sz w:val="20"/>
                <w:szCs w:val="20"/>
              </w:rPr>
            </w:pPr>
            <w:r w:rsidRPr="00D1408C">
              <w:rPr>
                <w:rFonts w:asciiTheme="minorHAnsi" w:hAnsiTheme="minorHAnsi" w:cstheme="minorHAnsi"/>
                <w:bCs/>
                <w:color w:val="auto"/>
                <w:sz w:val="20"/>
                <w:szCs w:val="20"/>
              </w:rPr>
              <w:t>The Government</w:t>
            </w:r>
          </w:p>
        </w:tc>
        <w:tc>
          <w:tcPr>
            <w:tcW w:w="566" w:type="pct"/>
            <w:shd w:val="clear" w:color="auto" w:fill="auto"/>
          </w:tcPr>
          <w:p w14:paraId="25C8E342" w14:textId="77777777" w:rsidR="00010BA2" w:rsidRPr="00D1408C" w:rsidRDefault="00010BA2" w:rsidP="00A64B72">
            <w:pPr>
              <w:pStyle w:val="Normal314"/>
              <w:widowControl/>
              <w:rPr>
                <w:rFonts w:asciiTheme="minorHAnsi" w:hAnsiTheme="minorHAnsi" w:cstheme="minorHAnsi"/>
                <w:bCs/>
                <w:color w:val="auto"/>
                <w:sz w:val="20"/>
                <w:szCs w:val="20"/>
              </w:rPr>
            </w:pPr>
            <w:r w:rsidRPr="00D1408C">
              <w:rPr>
                <w:rFonts w:asciiTheme="minorHAnsi" w:hAnsiTheme="minorHAnsi" w:cstheme="minorHAnsi"/>
                <w:bCs/>
                <w:color w:val="auto"/>
                <w:sz w:val="20"/>
                <w:szCs w:val="20"/>
              </w:rPr>
              <w:t>Dec. 31, 2020</w:t>
            </w:r>
          </w:p>
        </w:tc>
        <w:tc>
          <w:tcPr>
            <w:tcW w:w="503" w:type="pct"/>
          </w:tcPr>
          <w:p w14:paraId="6E32BA68" w14:textId="013124BD" w:rsidR="00010BA2" w:rsidRDefault="00010BA2" w:rsidP="00A64B72">
            <w:pPr>
              <w:pStyle w:val="Normal314"/>
              <w:widowControl/>
              <w:rPr>
                <w:rFonts w:asciiTheme="minorHAnsi" w:hAnsiTheme="minorHAnsi" w:cstheme="minorHAnsi"/>
                <w:bCs/>
                <w:color w:val="auto"/>
                <w:sz w:val="20"/>
                <w:szCs w:val="20"/>
              </w:rPr>
            </w:pPr>
            <w:r>
              <w:rPr>
                <w:rFonts w:asciiTheme="minorHAnsi" w:hAnsiTheme="minorHAnsi" w:cstheme="minorHAnsi"/>
                <w:bCs/>
                <w:color w:val="auto"/>
                <w:sz w:val="20"/>
                <w:szCs w:val="20"/>
              </w:rPr>
              <w:t>Sep. 30, 2022</w:t>
            </w:r>
          </w:p>
        </w:tc>
        <w:tc>
          <w:tcPr>
            <w:tcW w:w="440" w:type="pct"/>
          </w:tcPr>
          <w:p w14:paraId="17E07367" w14:textId="38C46F9D" w:rsidR="00010BA2" w:rsidRPr="00D1408C" w:rsidRDefault="00010BA2" w:rsidP="00A64B72">
            <w:pPr>
              <w:pStyle w:val="Normal314"/>
              <w:widowControl/>
              <w:rPr>
                <w:rFonts w:asciiTheme="minorHAnsi" w:hAnsiTheme="minorHAnsi" w:cstheme="minorHAnsi"/>
                <w:bCs/>
                <w:color w:val="auto"/>
                <w:sz w:val="20"/>
                <w:szCs w:val="20"/>
              </w:rPr>
            </w:pPr>
            <w:r>
              <w:rPr>
                <w:rFonts w:asciiTheme="minorHAnsi" w:hAnsiTheme="minorHAnsi" w:cstheme="minorHAnsi"/>
                <w:bCs/>
                <w:color w:val="auto"/>
                <w:sz w:val="20"/>
                <w:szCs w:val="20"/>
              </w:rPr>
              <w:t>In-progress</w:t>
            </w:r>
          </w:p>
        </w:tc>
      </w:tr>
      <w:tr w:rsidR="002B0E2E" w:rsidRPr="00D1408C" w14:paraId="37418B23" w14:textId="18B80745" w:rsidTr="002B0E2E">
        <w:trPr>
          <w:trHeight w:val="323"/>
        </w:trPr>
        <w:tc>
          <w:tcPr>
            <w:tcW w:w="845" w:type="pct"/>
            <w:shd w:val="clear" w:color="auto" w:fill="D9D9D9" w:themeFill="background1" w:themeFillShade="D9"/>
          </w:tcPr>
          <w:p w14:paraId="25E8947A" w14:textId="77777777" w:rsidR="00010BA2" w:rsidRPr="00D1408C" w:rsidRDefault="00010BA2" w:rsidP="00A64B72">
            <w:pPr>
              <w:pStyle w:val="Normal314"/>
              <w:rPr>
                <w:rFonts w:asciiTheme="minorHAnsi" w:hAnsiTheme="minorHAnsi" w:cstheme="minorHAnsi"/>
                <w:b/>
                <w:color w:val="auto"/>
                <w:sz w:val="20"/>
                <w:szCs w:val="20"/>
              </w:rPr>
            </w:pPr>
            <w:r w:rsidRPr="00D1408C">
              <w:rPr>
                <w:rFonts w:asciiTheme="minorHAnsi" w:hAnsiTheme="minorHAnsi" w:cstheme="minorHAnsi"/>
                <w:b/>
                <w:color w:val="auto"/>
                <w:sz w:val="20"/>
                <w:szCs w:val="20"/>
              </w:rPr>
              <w:t>Financial Management</w:t>
            </w:r>
          </w:p>
        </w:tc>
        <w:tc>
          <w:tcPr>
            <w:tcW w:w="1123" w:type="pct"/>
            <w:shd w:val="clear" w:color="auto" w:fill="D9D9D9" w:themeFill="background1" w:themeFillShade="D9"/>
          </w:tcPr>
          <w:p w14:paraId="6694C9E9" w14:textId="77777777" w:rsidR="00010BA2" w:rsidRPr="00D1408C" w:rsidRDefault="00010BA2" w:rsidP="00A64B72">
            <w:pPr>
              <w:pStyle w:val="Normal314"/>
              <w:rPr>
                <w:rFonts w:asciiTheme="minorHAnsi" w:hAnsiTheme="minorHAnsi" w:cstheme="minorHAnsi"/>
                <w:b/>
                <w:color w:val="auto"/>
                <w:sz w:val="20"/>
                <w:szCs w:val="20"/>
              </w:rPr>
            </w:pPr>
          </w:p>
        </w:tc>
        <w:tc>
          <w:tcPr>
            <w:tcW w:w="831" w:type="pct"/>
            <w:shd w:val="clear" w:color="auto" w:fill="D9D9D9" w:themeFill="background1" w:themeFillShade="D9"/>
          </w:tcPr>
          <w:p w14:paraId="39A89B24" w14:textId="7864E267" w:rsidR="00010BA2" w:rsidRPr="00D1408C" w:rsidRDefault="00010BA2" w:rsidP="00A64B72">
            <w:pPr>
              <w:pStyle w:val="Normal314"/>
              <w:rPr>
                <w:rFonts w:asciiTheme="minorHAnsi" w:hAnsiTheme="minorHAnsi" w:cstheme="minorHAnsi"/>
                <w:b/>
                <w:bCs/>
                <w:color w:val="auto"/>
                <w:sz w:val="20"/>
                <w:szCs w:val="20"/>
              </w:rPr>
            </w:pPr>
            <w:r>
              <w:rPr>
                <w:rFonts w:asciiTheme="minorHAnsi" w:hAnsiTheme="minorHAnsi" w:cstheme="minorHAnsi"/>
                <w:b/>
                <w:bCs/>
                <w:color w:val="auto"/>
                <w:sz w:val="20"/>
                <w:szCs w:val="20"/>
              </w:rPr>
              <w:t>-</w:t>
            </w:r>
          </w:p>
        </w:tc>
        <w:tc>
          <w:tcPr>
            <w:tcW w:w="691" w:type="pct"/>
            <w:shd w:val="clear" w:color="auto" w:fill="D9D9D9" w:themeFill="background1" w:themeFillShade="D9"/>
          </w:tcPr>
          <w:p w14:paraId="7512D552" w14:textId="67476989" w:rsidR="00010BA2" w:rsidRPr="00D1408C" w:rsidRDefault="00010BA2" w:rsidP="00A64B72">
            <w:pPr>
              <w:pStyle w:val="Normal314"/>
              <w:rPr>
                <w:rFonts w:asciiTheme="minorHAnsi" w:hAnsiTheme="minorHAnsi" w:cstheme="minorHAnsi"/>
                <w:b/>
                <w:bCs/>
                <w:color w:val="auto"/>
                <w:sz w:val="20"/>
                <w:szCs w:val="20"/>
              </w:rPr>
            </w:pPr>
          </w:p>
        </w:tc>
        <w:tc>
          <w:tcPr>
            <w:tcW w:w="566" w:type="pct"/>
            <w:shd w:val="clear" w:color="auto" w:fill="D9D9D9" w:themeFill="background1" w:themeFillShade="D9"/>
          </w:tcPr>
          <w:p w14:paraId="6F4EA5F5" w14:textId="77777777" w:rsidR="00010BA2" w:rsidRPr="00D1408C" w:rsidRDefault="00010BA2" w:rsidP="00A64B72">
            <w:pPr>
              <w:pStyle w:val="Normal314"/>
              <w:rPr>
                <w:rFonts w:asciiTheme="minorHAnsi" w:hAnsiTheme="minorHAnsi" w:cstheme="minorHAnsi"/>
                <w:b/>
                <w:bCs/>
                <w:color w:val="auto"/>
                <w:sz w:val="20"/>
                <w:szCs w:val="20"/>
              </w:rPr>
            </w:pPr>
          </w:p>
        </w:tc>
        <w:tc>
          <w:tcPr>
            <w:tcW w:w="503" w:type="pct"/>
            <w:shd w:val="clear" w:color="auto" w:fill="D9D9D9" w:themeFill="background1" w:themeFillShade="D9"/>
          </w:tcPr>
          <w:p w14:paraId="71CA6103" w14:textId="77777777" w:rsidR="00010BA2" w:rsidRPr="00D1408C" w:rsidRDefault="00010BA2" w:rsidP="00A64B72">
            <w:pPr>
              <w:pStyle w:val="Normal314"/>
              <w:rPr>
                <w:rFonts w:asciiTheme="minorHAnsi" w:hAnsiTheme="minorHAnsi" w:cstheme="minorHAnsi"/>
                <w:b/>
                <w:bCs/>
                <w:color w:val="auto"/>
                <w:sz w:val="20"/>
                <w:szCs w:val="20"/>
              </w:rPr>
            </w:pPr>
          </w:p>
        </w:tc>
        <w:tc>
          <w:tcPr>
            <w:tcW w:w="440" w:type="pct"/>
            <w:shd w:val="clear" w:color="auto" w:fill="D9D9D9" w:themeFill="background1" w:themeFillShade="D9"/>
          </w:tcPr>
          <w:p w14:paraId="66FB952A" w14:textId="2B26279C" w:rsidR="00010BA2" w:rsidRPr="00D1408C" w:rsidRDefault="00010BA2" w:rsidP="00A64B72">
            <w:pPr>
              <w:pStyle w:val="Normal314"/>
              <w:rPr>
                <w:rFonts w:asciiTheme="minorHAnsi" w:hAnsiTheme="minorHAnsi" w:cstheme="minorHAnsi"/>
                <w:b/>
                <w:bCs/>
                <w:color w:val="auto"/>
                <w:sz w:val="20"/>
                <w:szCs w:val="20"/>
              </w:rPr>
            </w:pPr>
          </w:p>
        </w:tc>
      </w:tr>
      <w:tr w:rsidR="002B0E2E" w:rsidRPr="00D1408C" w14:paraId="46638C66" w14:textId="5C9667D0" w:rsidTr="002B0E2E">
        <w:trPr>
          <w:trHeight w:val="532"/>
        </w:trPr>
        <w:tc>
          <w:tcPr>
            <w:tcW w:w="845" w:type="pct"/>
            <w:shd w:val="clear" w:color="auto" w:fill="auto"/>
          </w:tcPr>
          <w:p w14:paraId="68837D2D" w14:textId="77777777" w:rsidR="00010BA2" w:rsidRPr="00D1408C" w:rsidRDefault="00010BA2" w:rsidP="00D1408C">
            <w:pPr>
              <w:pStyle w:val="Normal314"/>
              <w:rPr>
                <w:rFonts w:asciiTheme="minorHAnsi" w:hAnsiTheme="minorHAnsi" w:cstheme="minorHAnsi"/>
                <w:color w:val="auto"/>
                <w:sz w:val="20"/>
                <w:szCs w:val="20"/>
              </w:rPr>
            </w:pPr>
            <w:r w:rsidRPr="00D1408C">
              <w:rPr>
                <w:rFonts w:asciiTheme="minorHAnsi" w:hAnsiTheme="minorHAnsi" w:cstheme="minorHAnsi"/>
                <w:color w:val="auto"/>
                <w:sz w:val="20"/>
                <w:szCs w:val="20"/>
              </w:rPr>
              <w:t>Constraints on effective implementation of effective internal audit</w:t>
            </w:r>
            <w:r w:rsidRPr="00D1408C">
              <w:rPr>
                <w:rFonts w:asciiTheme="minorHAnsi" w:hAnsiTheme="minorHAnsi" w:cstheme="minorHAnsi"/>
                <w:iCs/>
                <w:sz w:val="20"/>
                <w:szCs w:val="20"/>
              </w:rPr>
              <w:t xml:space="preserve"> </w:t>
            </w:r>
          </w:p>
        </w:tc>
        <w:tc>
          <w:tcPr>
            <w:tcW w:w="1123" w:type="pct"/>
            <w:shd w:val="clear" w:color="auto" w:fill="auto"/>
          </w:tcPr>
          <w:p w14:paraId="176621C9" w14:textId="284B2679" w:rsidR="00010BA2" w:rsidRPr="00D1408C" w:rsidRDefault="00010BA2" w:rsidP="00D1408C">
            <w:pPr>
              <w:pStyle w:val="Normal314"/>
              <w:rPr>
                <w:rFonts w:asciiTheme="minorHAnsi" w:hAnsiTheme="minorHAnsi" w:cstheme="minorHAnsi"/>
                <w:color w:val="auto"/>
                <w:sz w:val="20"/>
                <w:szCs w:val="20"/>
              </w:rPr>
            </w:pPr>
            <w:r w:rsidRPr="00D1408C">
              <w:rPr>
                <w:rFonts w:asciiTheme="minorHAnsi" w:hAnsiTheme="minorHAnsi" w:cstheme="minorHAnsi"/>
                <w:iCs/>
                <w:sz w:val="20"/>
                <w:szCs w:val="20"/>
              </w:rPr>
              <w:t>H</w:t>
            </w:r>
            <w:r w:rsidRPr="00D1408C">
              <w:rPr>
                <w:rFonts w:asciiTheme="minorHAnsi" w:hAnsiTheme="minorHAnsi" w:cstheme="minorHAnsi"/>
                <w:sz w:val="20"/>
                <w:szCs w:val="20"/>
              </w:rPr>
              <w:t xml:space="preserve">ire </w:t>
            </w:r>
            <w:r w:rsidR="00943242">
              <w:rPr>
                <w:rFonts w:asciiTheme="minorHAnsi" w:hAnsiTheme="minorHAnsi" w:cstheme="minorHAnsi"/>
                <w:sz w:val="20"/>
                <w:szCs w:val="20"/>
              </w:rPr>
              <w:t>additional</w:t>
            </w:r>
            <w:r w:rsidRPr="00D1408C">
              <w:rPr>
                <w:rFonts w:asciiTheme="minorHAnsi" w:hAnsiTheme="minorHAnsi" w:cstheme="minorHAnsi"/>
                <w:sz w:val="20"/>
                <w:szCs w:val="20"/>
              </w:rPr>
              <w:t xml:space="preserve"> internal audit staff </w:t>
            </w:r>
          </w:p>
        </w:tc>
        <w:tc>
          <w:tcPr>
            <w:tcW w:w="831" w:type="pct"/>
          </w:tcPr>
          <w:p w14:paraId="0848BF67" w14:textId="44A93C39" w:rsidR="00010BA2" w:rsidRPr="00D1408C" w:rsidRDefault="002E012B" w:rsidP="00A64B72">
            <w:pPr>
              <w:pStyle w:val="Normal314"/>
              <w:rPr>
                <w:rFonts w:asciiTheme="minorHAnsi" w:hAnsiTheme="minorHAnsi" w:cstheme="minorHAnsi"/>
                <w:bCs/>
                <w:color w:val="auto"/>
                <w:sz w:val="20"/>
                <w:szCs w:val="20"/>
              </w:rPr>
            </w:pPr>
            <w:r>
              <w:rPr>
                <w:rFonts w:asciiTheme="minorHAnsi" w:hAnsiTheme="minorHAnsi" w:cstheme="minorHAnsi"/>
                <w:bCs/>
                <w:color w:val="auto"/>
                <w:sz w:val="20"/>
                <w:szCs w:val="20"/>
              </w:rPr>
              <w:t>BT to hire and retain two internal auditors; SIB to hire and retain one internal auditor, and STB to hire and retain two internal auditors</w:t>
            </w:r>
          </w:p>
        </w:tc>
        <w:tc>
          <w:tcPr>
            <w:tcW w:w="691" w:type="pct"/>
            <w:shd w:val="clear" w:color="auto" w:fill="auto"/>
          </w:tcPr>
          <w:p w14:paraId="442AC7DA" w14:textId="1398015E" w:rsidR="00010BA2" w:rsidRPr="00D1408C" w:rsidRDefault="00010BA2" w:rsidP="00A64B72">
            <w:pPr>
              <w:pStyle w:val="Normal314"/>
              <w:rPr>
                <w:rFonts w:asciiTheme="minorHAnsi" w:hAnsiTheme="minorHAnsi" w:cstheme="minorHAnsi"/>
                <w:bCs/>
                <w:color w:val="auto"/>
                <w:sz w:val="20"/>
                <w:szCs w:val="20"/>
              </w:rPr>
            </w:pPr>
            <w:r w:rsidRPr="00D1408C">
              <w:rPr>
                <w:rFonts w:asciiTheme="minorHAnsi" w:hAnsiTheme="minorHAnsi" w:cstheme="minorHAnsi"/>
                <w:bCs/>
                <w:color w:val="auto"/>
                <w:sz w:val="20"/>
                <w:szCs w:val="20"/>
              </w:rPr>
              <w:t>BT</w:t>
            </w:r>
            <w:r w:rsidR="002E012B">
              <w:rPr>
                <w:rFonts w:asciiTheme="minorHAnsi" w:hAnsiTheme="minorHAnsi" w:cstheme="minorHAnsi"/>
                <w:bCs/>
                <w:color w:val="auto"/>
                <w:sz w:val="20"/>
                <w:szCs w:val="20"/>
              </w:rPr>
              <w:t>, SIB, and STB</w:t>
            </w:r>
          </w:p>
        </w:tc>
        <w:tc>
          <w:tcPr>
            <w:tcW w:w="566" w:type="pct"/>
            <w:shd w:val="clear" w:color="auto" w:fill="auto"/>
          </w:tcPr>
          <w:p w14:paraId="515509BE" w14:textId="77777777" w:rsidR="00010BA2" w:rsidRPr="00D1408C" w:rsidRDefault="00010BA2" w:rsidP="00A64B72">
            <w:pPr>
              <w:pStyle w:val="Normal314"/>
              <w:rPr>
                <w:rFonts w:asciiTheme="minorHAnsi" w:hAnsiTheme="minorHAnsi" w:cstheme="minorHAnsi"/>
                <w:bCs/>
                <w:color w:val="auto"/>
                <w:sz w:val="20"/>
                <w:szCs w:val="20"/>
              </w:rPr>
            </w:pPr>
            <w:r w:rsidRPr="00D1408C">
              <w:rPr>
                <w:rFonts w:asciiTheme="minorHAnsi" w:hAnsiTheme="minorHAnsi" w:cstheme="minorHAnsi"/>
                <w:sz w:val="20"/>
                <w:szCs w:val="20"/>
              </w:rPr>
              <w:t>Within 6 months after the Program effectiveness</w:t>
            </w:r>
          </w:p>
        </w:tc>
        <w:tc>
          <w:tcPr>
            <w:tcW w:w="503" w:type="pct"/>
          </w:tcPr>
          <w:p w14:paraId="0DEC2671" w14:textId="3ED5B58A" w:rsidR="00010BA2" w:rsidRPr="00D1408C" w:rsidRDefault="002E012B" w:rsidP="00A64B72">
            <w:pPr>
              <w:pStyle w:val="Normal314"/>
              <w:rPr>
                <w:rFonts w:asciiTheme="minorHAnsi" w:hAnsiTheme="minorHAnsi" w:cstheme="minorHAnsi"/>
                <w:sz w:val="20"/>
                <w:szCs w:val="20"/>
              </w:rPr>
            </w:pPr>
            <w:r>
              <w:rPr>
                <w:rFonts w:asciiTheme="minorHAnsi" w:hAnsiTheme="minorHAnsi" w:cstheme="minorHAnsi"/>
                <w:sz w:val="20"/>
                <w:szCs w:val="20"/>
              </w:rPr>
              <w:t>Aug. 30, 2022</w:t>
            </w:r>
          </w:p>
        </w:tc>
        <w:tc>
          <w:tcPr>
            <w:tcW w:w="440" w:type="pct"/>
          </w:tcPr>
          <w:p w14:paraId="1119848F" w14:textId="46359132" w:rsidR="00010BA2" w:rsidRPr="00D1408C" w:rsidRDefault="002E012B" w:rsidP="00A64B72">
            <w:pPr>
              <w:pStyle w:val="Normal314"/>
              <w:rPr>
                <w:rFonts w:asciiTheme="minorHAnsi" w:hAnsiTheme="minorHAnsi" w:cstheme="minorHAnsi"/>
                <w:sz w:val="20"/>
                <w:szCs w:val="20"/>
              </w:rPr>
            </w:pPr>
            <w:r>
              <w:rPr>
                <w:rFonts w:asciiTheme="minorHAnsi" w:hAnsiTheme="minorHAnsi" w:cstheme="minorHAnsi"/>
                <w:sz w:val="20"/>
                <w:szCs w:val="20"/>
              </w:rPr>
              <w:t>Each of the company hired one internal auditor</w:t>
            </w:r>
          </w:p>
        </w:tc>
      </w:tr>
      <w:tr w:rsidR="002B0E2E" w:rsidRPr="00D1408C" w14:paraId="695A9532" w14:textId="1AFF2E4E" w:rsidTr="002B0E2E">
        <w:trPr>
          <w:trHeight w:val="532"/>
        </w:trPr>
        <w:tc>
          <w:tcPr>
            <w:tcW w:w="845" w:type="pct"/>
            <w:shd w:val="clear" w:color="auto" w:fill="auto"/>
          </w:tcPr>
          <w:p w14:paraId="740DFEBE" w14:textId="77777777" w:rsidR="00010BA2" w:rsidRPr="00D1408C" w:rsidRDefault="00010BA2" w:rsidP="00D1408C">
            <w:pPr>
              <w:pStyle w:val="Normal314"/>
              <w:rPr>
                <w:rFonts w:asciiTheme="minorHAnsi" w:hAnsiTheme="minorHAnsi" w:cstheme="minorHAnsi"/>
                <w:iCs/>
                <w:sz w:val="20"/>
                <w:szCs w:val="20"/>
              </w:rPr>
            </w:pPr>
            <w:r w:rsidRPr="00D1408C">
              <w:rPr>
                <w:rFonts w:asciiTheme="minorHAnsi" w:hAnsiTheme="minorHAnsi" w:cstheme="minorHAnsi"/>
                <w:iCs/>
                <w:sz w:val="20"/>
                <w:szCs w:val="20"/>
              </w:rPr>
              <w:t>Internal audit staff does not have the required certification</w:t>
            </w:r>
          </w:p>
        </w:tc>
        <w:tc>
          <w:tcPr>
            <w:tcW w:w="1123" w:type="pct"/>
            <w:shd w:val="clear" w:color="auto" w:fill="auto"/>
          </w:tcPr>
          <w:p w14:paraId="57F2A91F" w14:textId="77777777" w:rsidR="00010BA2" w:rsidRPr="00D1408C" w:rsidRDefault="00010BA2" w:rsidP="00D1408C">
            <w:pPr>
              <w:pStyle w:val="Normal314"/>
              <w:rPr>
                <w:rFonts w:asciiTheme="minorHAnsi" w:hAnsiTheme="minorHAnsi" w:cstheme="minorHAnsi"/>
                <w:color w:val="auto"/>
                <w:sz w:val="20"/>
                <w:szCs w:val="20"/>
              </w:rPr>
            </w:pPr>
            <w:r w:rsidRPr="00D1408C">
              <w:rPr>
                <w:rFonts w:asciiTheme="minorHAnsi" w:hAnsiTheme="minorHAnsi" w:cstheme="minorHAnsi"/>
                <w:sz w:val="20"/>
                <w:szCs w:val="20"/>
              </w:rPr>
              <w:t>The internal audit staff to pass the national Internal Auditor Certification</w:t>
            </w:r>
          </w:p>
        </w:tc>
        <w:tc>
          <w:tcPr>
            <w:tcW w:w="831" w:type="pct"/>
          </w:tcPr>
          <w:p w14:paraId="5AB97B29" w14:textId="4748D823" w:rsidR="00010BA2" w:rsidRPr="00D1408C" w:rsidRDefault="002E012B" w:rsidP="00A64B72">
            <w:pPr>
              <w:pStyle w:val="Normal314"/>
              <w:rPr>
                <w:rFonts w:asciiTheme="minorHAnsi" w:hAnsiTheme="minorHAnsi" w:cstheme="minorHAnsi"/>
                <w:bCs/>
                <w:color w:val="auto"/>
                <w:sz w:val="20"/>
                <w:szCs w:val="20"/>
              </w:rPr>
            </w:pPr>
            <w:r>
              <w:rPr>
                <w:rFonts w:asciiTheme="minorHAnsi" w:hAnsiTheme="minorHAnsi" w:cstheme="minorHAnsi"/>
                <w:bCs/>
                <w:color w:val="auto"/>
                <w:sz w:val="20"/>
                <w:szCs w:val="20"/>
              </w:rPr>
              <w:t>-</w:t>
            </w:r>
          </w:p>
        </w:tc>
        <w:tc>
          <w:tcPr>
            <w:tcW w:w="691" w:type="pct"/>
            <w:shd w:val="clear" w:color="auto" w:fill="auto"/>
          </w:tcPr>
          <w:p w14:paraId="134EEBE5" w14:textId="69E39434" w:rsidR="00010BA2" w:rsidRPr="00D1408C" w:rsidRDefault="00010BA2" w:rsidP="00A64B72">
            <w:pPr>
              <w:pStyle w:val="Normal314"/>
              <w:rPr>
                <w:rFonts w:asciiTheme="minorHAnsi" w:hAnsiTheme="minorHAnsi" w:cstheme="minorHAnsi"/>
                <w:bCs/>
                <w:color w:val="auto"/>
                <w:sz w:val="20"/>
                <w:szCs w:val="20"/>
              </w:rPr>
            </w:pPr>
            <w:r w:rsidRPr="00D1408C">
              <w:rPr>
                <w:rFonts w:asciiTheme="minorHAnsi" w:hAnsiTheme="minorHAnsi" w:cstheme="minorHAnsi"/>
                <w:bCs/>
                <w:color w:val="auto"/>
                <w:sz w:val="20"/>
                <w:szCs w:val="20"/>
              </w:rPr>
              <w:t>BT</w:t>
            </w:r>
          </w:p>
        </w:tc>
        <w:tc>
          <w:tcPr>
            <w:tcW w:w="566" w:type="pct"/>
            <w:shd w:val="clear" w:color="auto" w:fill="auto"/>
          </w:tcPr>
          <w:p w14:paraId="3B2DDBEB" w14:textId="77777777" w:rsidR="00010BA2" w:rsidRPr="00D1408C" w:rsidRDefault="00010BA2" w:rsidP="00A64B72">
            <w:pPr>
              <w:pStyle w:val="Normal314"/>
              <w:rPr>
                <w:rFonts w:asciiTheme="minorHAnsi" w:hAnsiTheme="minorHAnsi" w:cstheme="minorHAnsi"/>
                <w:sz w:val="20"/>
                <w:szCs w:val="20"/>
              </w:rPr>
            </w:pPr>
            <w:r w:rsidRPr="00D1408C">
              <w:rPr>
                <w:rFonts w:asciiTheme="minorHAnsi" w:hAnsiTheme="minorHAnsi" w:cstheme="minorHAnsi"/>
                <w:sz w:val="20"/>
                <w:szCs w:val="20"/>
              </w:rPr>
              <w:t>Within one year after the Program effectiveness</w:t>
            </w:r>
          </w:p>
        </w:tc>
        <w:tc>
          <w:tcPr>
            <w:tcW w:w="503" w:type="pct"/>
          </w:tcPr>
          <w:p w14:paraId="7E261D28" w14:textId="4408C008" w:rsidR="00010BA2" w:rsidRPr="00D1408C" w:rsidRDefault="002E012B" w:rsidP="00A64B72">
            <w:pPr>
              <w:pStyle w:val="Normal314"/>
              <w:rPr>
                <w:rFonts w:asciiTheme="minorHAnsi" w:hAnsiTheme="minorHAnsi" w:cstheme="minorHAnsi"/>
                <w:sz w:val="20"/>
                <w:szCs w:val="20"/>
              </w:rPr>
            </w:pPr>
            <w:r>
              <w:rPr>
                <w:rFonts w:asciiTheme="minorHAnsi" w:hAnsiTheme="minorHAnsi" w:cstheme="minorHAnsi"/>
                <w:sz w:val="20"/>
                <w:szCs w:val="20"/>
              </w:rPr>
              <w:t>Dec. 3</w:t>
            </w:r>
            <w:r w:rsidR="00943242">
              <w:rPr>
                <w:rFonts w:asciiTheme="minorHAnsi" w:hAnsiTheme="minorHAnsi" w:cstheme="minorHAnsi"/>
                <w:sz w:val="20"/>
                <w:szCs w:val="20"/>
              </w:rPr>
              <w:t>0</w:t>
            </w:r>
            <w:r>
              <w:rPr>
                <w:rFonts w:asciiTheme="minorHAnsi" w:hAnsiTheme="minorHAnsi" w:cstheme="minorHAnsi"/>
                <w:sz w:val="20"/>
                <w:szCs w:val="20"/>
              </w:rPr>
              <w:t>, 2022</w:t>
            </w:r>
          </w:p>
        </w:tc>
        <w:tc>
          <w:tcPr>
            <w:tcW w:w="440" w:type="pct"/>
          </w:tcPr>
          <w:p w14:paraId="4AA01D55" w14:textId="71DB71ED" w:rsidR="00010BA2" w:rsidRPr="00D1408C" w:rsidRDefault="002E012B" w:rsidP="00A64B72">
            <w:pPr>
              <w:pStyle w:val="Normal314"/>
              <w:rPr>
                <w:rFonts w:asciiTheme="minorHAnsi" w:hAnsiTheme="minorHAnsi" w:cstheme="minorHAnsi"/>
                <w:sz w:val="20"/>
                <w:szCs w:val="20"/>
              </w:rPr>
            </w:pPr>
            <w:r>
              <w:rPr>
                <w:rFonts w:asciiTheme="minorHAnsi" w:hAnsiTheme="minorHAnsi" w:cstheme="minorHAnsi"/>
                <w:sz w:val="20"/>
                <w:szCs w:val="20"/>
              </w:rPr>
              <w:t>Not started yet</w:t>
            </w:r>
          </w:p>
        </w:tc>
      </w:tr>
      <w:tr w:rsidR="002B0E2E" w:rsidRPr="00D1408C" w14:paraId="2EFC36E4" w14:textId="7B922C27" w:rsidTr="002B0E2E">
        <w:trPr>
          <w:trHeight w:val="532"/>
        </w:trPr>
        <w:tc>
          <w:tcPr>
            <w:tcW w:w="845" w:type="pct"/>
            <w:shd w:val="clear" w:color="auto" w:fill="auto"/>
          </w:tcPr>
          <w:p w14:paraId="531A7C4D" w14:textId="77777777" w:rsidR="00010BA2" w:rsidRPr="00D1408C" w:rsidRDefault="00010BA2" w:rsidP="00D1408C">
            <w:pPr>
              <w:pStyle w:val="Normal314"/>
              <w:rPr>
                <w:rFonts w:asciiTheme="minorHAnsi" w:hAnsiTheme="minorHAnsi" w:cstheme="minorHAnsi"/>
                <w:bCs/>
                <w:color w:val="auto"/>
                <w:sz w:val="20"/>
                <w:szCs w:val="20"/>
              </w:rPr>
            </w:pPr>
            <w:r w:rsidRPr="00D1408C">
              <w:rPr>
                <w:rFonts w:asciiTheme="minorHAnsi" w:hAnsiTheme="minorHAnsi" w:cstheme="minorHAnsi"/>
                <w:color w:val="auto"/>
                <w:sz w:val="20"/>
                <w:szCs w:val="20"/>
              </w:rPr>
              <w:t>Cost of BT debt from MOF is not reflective of the cost of funds for the Republic of Tajikistan</w:t>
            </w:r>
          </w:p>
        </w:tc>
        <w:tc>
          <w:tcPr>
            <w:tcW w:w="1123" w:type="pct"/>
            <w:shd w:val="clear" w:color="auto" w:fill="auto"/>
          </w:tcPr>
          <w:p w14:paraId="3A1F6758" w14:textId="77777777" w:rsidR="00010BA2" w:rsidRPr="00D1408C" w:rsidRDefault="00010BA2" w:rsidP="00D1408C">
            <w:pPr>
              <w:pStyle w:val="Normal314"/>
              <w:rPr>
                <w:rFonts w:asciiTheme="minorHAnsi" w:hAnsiTheme="minorHAnsi" w:cstheme="minorHAnsi"/>
                <w:bCs/>
                <w:color w:val="auto"/>
                <w:sz w:val="20"/>
                <w:szCs w:val="20"/>
              </w:rPr>
            </w:pPr>
            <w:r w:rsidRPr="00D1408C">
              <w:rPr>
                <w:rFonts w:asciiTheme="minorHAnsi" w:hAnsiTheme="minorHAnsi" w:cstheme="minorHAnsi"/>
                <w:color w:val="auto"/>
                <w:sz w:val="20"/>
                <w:szCs w:val="20"/>
              </w:rPr>
              <w:t>Revision of specified subsidiary agreements between MOF and BT to mirror the original terms reflected in international agreements between MOF and financiers</w:t>
            </w:r>
          </w:p>
        </w:tc>
        <w:tc>
          <w:tcPr>
            <w:tcW w:w="831" w:type="pct"/>
          </w:tcPr>
          <w:p w14:paraId="35E897CD" w14:textId="4590133F" w:rsidR="00010BA2" w:rsidRPr="00D1408C" w:rsidRDefault="002E012B" w:rsidP="00A64B72">
            <w:pPr>
              <w:pStyle w:val="Normal314"/>
              <w:rPr>
                <w:rFonts w:asciiTheme="minorHAnsi" w:hAnsiTheme="minorHAnsi" w:cstheme="minorHAnsi"/>
                <w:bCs/>
                <w:color w:val="auto"/>
                <w:sz w:val="20"/>
                <w:szCs w:val="20"/>
              </w:rPr>
            </w:pPr>
            <w:r>
              <w:rPr>
                <w:rFonts w:asciiTheme="minorHAnsi" w:hAnsiTheme="minorHAnsi" w:cstheme="minorHAnsi"/>
                <w:bCs/>
                <w:color w:val="auto"/>
                <w:sz w:val="20"/>
                <w:szCs w:val="20"/>
              </w:rPr>
              <w:t>-</w:t>
            </w:r>
          </w:p>
        </w:tc>
        <w:tc>
          <w:tcPr>
            <w:tcW w:w="691" w:type="pct"/>
            <w:shd w:val="clear" w:color="auto" w:fill="auto"/>
          </w:tcPr>
          <w:p w14:paraId="61CC7ED9" w14:textId="16C9CE1D" w:rsidR="00010BA2" w:rsidRPr="00D1408C" w:rsidRDefault="002B0E2E" w:rsidP="00A64B72">
            <w:pPr>
              <w:pStyle w:val="Normal314"/>
              <w:rPr>
                <w:rFonts w:asciiTheme="minorHAnsi" w:hAnsiTheme="minorHAnsi" w:cstheme="minorHAnsi"/>
                <w:bCs/>
                <w:color w:val="auto"/>
                <w:sz w:val="20"/>
                <w:szCs w:val="20"/>
              </w:rPr>
            </w:pPr>
            <w:r>
              <w:rPr>
                <w:rFonts w:asciiTheme="minorHAnsi" w:hAnsiTheme="minorHAnsi" w:cstheme="minorHAnsi"/>
                <w:bCs/>
                <w:color w:val="auto"/>
                <w:sz w:val="20"/>
                <w:szCs w:val="20"/>
              </w:rPr>
              <w:t xml:space="preserve">The </w:t>
            </w:r>
            <w:r w:rsidR="00010BA2" w:rsidRPr="00D1408C">
              <w:rPr>
                <w:rFonts w:asciiTheme="minorHAnsi" w:hAnsiTheme="minorHAnsi" w:cstheme="minorHAnsi"/>
                <w:bCs/>
                <w:color w:val="auto"/>
                <w:sz w:val="20"/>
                <w:szCs w:val="20"/>
              </w:rPr>
              <w:t>Government and BT</w:t>
            </w:r>
          </w:p>
        </w:tc>
        <w:tc>
          <w:tcPr>
            <w:tcW w:w="566" w:type="pct"/>
            <w:shd w:val="clear" w:color="auto" w:fill="auto"/>
          </w:tcPr>
          <w:p w14:paraId="7BE583BF" w14:textId="77777777" w:rsidR="00010BA2" w:rsidRPr="00D1408C" w:rsidRDefault="00010BA2" w:rsidP="00A64B72">
            <w:pPr>
              <w:pStyle w:val="Normal314"/>
              <w:rPr>
                <w:rFonts w:asciiTheme="minorHAnsi" w:hAnsiTheme="minorHAnsi" w:cstheme="minorHAnsi"/>
                <w:bCs/>
                <w:color w:val="auto"/>
                <w:sz w:val="20"/>
                <w:szCs w:val="20"/>
              </w:rPr>
            </w:pPr>
            <w:r w:rsidRPr="00D1408C">
              <w:rPr>
                <w:rFonts w:asciiTheme="minorHAnsi" w:hAnsiTheme="minorHAnsi" w:cstheme="minorHAnsi"/>
                <w:bCs/>
                <w:color w:val="auto"/>
                <w:sz w:val="20"/>
                <w:szCs w:val="20"/>
              </w:rPr>
              <w:t>Dec. 31, 2022</w:t>
            </w:r>
          </w:p>
        </w:tc>
        <w:tc>
          <w:tcPr>
            <w:tcW w:w="503" w:type="pct"/>
          </w:tcPr>
          <w:p w14:paraId="13D157CA" w14:textId="284E3D16" w:rsidR="00010BA2" w:rsidRPr="00D1408C" w:rsidRDefault="002E012B" w:rsidP="00A64B72">
            <w:pPr>
              <w:pStyle w:val="Normal314"/>
              <w:rPr>
                <w:rFonts w:asciiTheme="minorHAnsi" w:hAnsiTheme="minorHAnsi" w:cstheme="minorHAnsi"/>
                <w:bCs/>
                <w:color w:val="auto"/>
                <w:sz w:val="20"/>
                <w:szCs w:val="20"/>
              </w:rPr>
            </w:pPr>
            <w:r>
              <w:rPr>
                <w:rFonts w:asciiTheme="minorHAnsi" w:hAnsiTheme="minorHAnsi" w:cstheme="minorHAnsi"/>
                <w:bCs/>
                <w:color w:val="auto"/>
                <w:sz w:val="20"/>
                <w:szCs w:val="20"/>
              </w:rPr>
              <w:t>Sep. 30, 2022</w:t>
            </w:r>
          </w:p>
        </w:tc>
        <w:tc>
          <w:tcPr>
            <w:tcW w:w="440" w:type="pct"/>
          </w:tcPr>
          <w:p w14:paraId="31B4D20C" w14:textId="40E8EECB" w:rsidR="00010BA2" w:rsidRPr="00D1408C" w:rsidRDefault="002E012B" w:rsidP="00A64B72">
            <w:pPr>
              <w:pStyle w:val="Normal314"/>
              <w:rPr>
                <w:rFonts w:asciiTheme="minorHAnsi" w:hAnsiTheme="minorHAnsi" w:cstheme="minorHAnsi"/>
                <w:bCs/>
                <w:color w:val="auto"/>
                <w:sz w:val="20"/>
                <w:szCs w:val="20"/>
              </w:rPr>
            </w:pPr>
            <w:r>
              <w:rPr>
                <w:rFonts w:asciiTheme="minorHAnsi" w:hAnsiTheme="minorHAnsi" w:cstheme="minorHAnsi"/>
                <w:bCs/>
                <w:color w:val="auto"/>
                <w:sz w:val="20"/>
                <w:szCs w:val="20"/>
              </w:rPr>
              <w:t>In-progress</w:t>
            </w:r>
          </w:p>
        </w:tc>
      </w:tr>
      <w:tr w:rsidR="002E012B" w:rsidRPr="00D1408C" w14:paraId="13FB5085" w14:textId="00EAF632" w:rsidTr="002B0E2E">
        <w:trPr>
          <w:trHeight w:val="532"/>
        </w:trPr>
        <w:tc>
          <w:tcPr>
            <w:tcW w:w="845" w:type="pct"/>
            <w:shd w:val="clear" w:color="auto" w:fill="auto"/>
          </w:tcPr>
          <w:p w14:paraId="1CD29016" w14:textId="77777777" w:rsidR="002E012B" w:rsidRPr="00D1408C" w:rsidRDefault="002E012B" w:rsidP="002E012B">
            <w:pPr>
              <w:pStyle w:val="Normal314"/>
              <w:rPr>
                <w:rFonts w:asciiTheme="minorHAnsi" w:hAnsiTheme="minorHAnsi" w:cstheme="minorHAnsi"/>
                <w:b/>
                <w:bCs/>
                <w:color w:val="auto"/>
                <w:sz w:val="20"/>
                <w:szCs w:val="20"/>
              </w:rPr>
            </w:pPr>
            <w:r w:rsidRPr="00D1408C">
              <w:rPr>
                <w:rFonts w:asciiTheme="minorHAnsi" w:hAnsiTheme="minorHAnsi" w:cstheme="minorHAnsi"/>
                <w:color w:val="auto"/>
                <w:sz w:val="20"/>
                <w:szCs w:val="20"/>
              </w:rPr>
              <w:t>Inefficient corporate governance of BT</w:t>
            </w:r>
          </w:p>
        </w:tc>
        <w:tc>
          <w:tcPr>
            <w:tcW w:w="1123" w:type="pct"/>
            <w:shd w:val="clear" w:color="auto" w:fill="auto"/>
          </w:tcPr>
          <w:p w14:paraId="54EE6BDD" w14:textId="77777777" w:rsidR="002E012B" w:rsidRPr="00D1408C" w:rsidRDefault="002E012B" w:rsidP="002E012B">
            <w:pPr>
              <w:rPr>
                <w:rFonts w:asciiTheme="minorHAnsi" w:hAnsiTheme="minorHAnsi" w:cstheme="minorHAnsi"/>
                <w:sz w:val="20"/>
              </w:rPr>
            </w:pPr>
            <w:r w:rsidRPr="00D1408C">
              <w:rPr>
                <w:rFonts w:asciiTheme="minorHAnsi" w:hAnsiTheme="minorHAnsi" w:cstheme="minorHAnsi"/>
                <w:sz w:val="20"/>
              </w:rPr>
              <w:t xml:space="preserve">Corporate governance of BT generation, transmission, and distribution companies is </w:t>
            </w:r>
            <w:r w:rsidRPr="00D1408C">
              <w:rPr>
                <w:rFonts w:asciiTheme="minorHAnsi" w:hAnsiTheme="minorHAnsi" w:cstheme="minorHAnsi"/>
                <w:sz w:val="20"/>
              </w:rPr>
              <w:lastRenderedPageBreak/>
              <w:t>strengthened</w:t>
            </w:r>
          </w:p>
        </w:tc>
        <w:tc>
          <w:tcPr>
            <w:tcW w:w="831" w:type="pct"/>
          </w:tcPr>
          <w:p w14:paraId="26450124" w14:textId="434C28F3" w:rsidR="002E012B" w:rsidRPr="00D1408C" w:rsidRDefault="002E012B" w:rsidP="002E012B">
            <w:pPr>
              <w:pStyle w:val="Normal314"/>
              <w:rPr>
                <w:rFonts w:asciiTheme="minorHAnsi" w:hAnsiTheme="minorHAnsi" w:cstheme="minorHAnsi"/>
                <w:bCs/>
                <w:color w:val="auto"/>
                <w:sz w:val="20"/>
                <w:szCs w:val="20"/>
              </w:rPr>
            </w:pPr>
            <w:r w:rsidRPr="00D1408C">
              <w:rPr>
                <w:rFonts w:asciiTheme="minorHAnsi" w:hAnsiTheme="minorHAnsi" w:cstheme="minorHAnsi"/>
                <w:sz w:val="20"/>
              </w:rPr>
              <w:lastRenderedPageBreak/>
              <w:t>Corporate governance of BT</w:t>
            </w:r>
            <w:r>
              <w:rPr>
                <w:rFonts w:asciiTheme="minorHAnsi" w:hAnsiTheme="minorHAnsi" w:cstheme="minorHAnsi"/>
                <w:sz w:val="20"/>
              </w:rPr>
              <w:t xml:space="preserve">, SIB, and STB </w:t>
            </w:r>
            <w:r w:rsidRPr="00D1408C">
              <w:rPr>
                <w:rFonts w:asciiTheme="minorHAnsi" w:hAnsiTheme="minorHAnsi" w:cstheme="minorHAnsi"/>
                <w:sz w:val="20"/>
              </w:rPr>
              <w:t>is strengthened</w:t>
            </w:r>
          </w:p>
        </w:tc>
        <w:tc>
          <w:tcPr>
            <w:tcW w:w="691" w:type="pct"/>
            <w:shd w:val="clear" w:color="auto" w:fill="auto"/>
          </w:tcPr>
          <w:p w14:paraId="59ACEF40" w14:textId="37147122" w:rsidR="002E012B" w:rsidRPr="00D1408C" w:rsidRDefault="002E012B" w:rsidP="002E012B">
            <w:pPr>
              <w:pStyle w:val="Normal314"/>
              <w:rPr>
                <w:rFonts w:asciiTheme="minorHAnsi" w:hAnsiTheme="minorHAnsi" w:cstheme="minorHAnsi"/>
                <w:bCs/>
                <w:color w:val="auto"/>
                <w:sz w:val="20"/>
                <w:szCs w:val="20"/>
              </w:rPr>
            </w:pPr>
            <w:r w:rsidRPr="00D1408C">
              <w:rPr>
                <w:rFonts w:asciiTheme="minorHAnsi" w:hAnsiTheme="minorHAnsi" w:cstheme="minorHAnsi"/>
                <w:bCs/>
                <w:color w:val="auto"/>
                <w:sz w:val="20"/>
                <w:szCs w:val="20"/>
              </w:rPr>
              <w:t>The Government</w:t>
            </w:r>
          </w:p>
        </w:tc>
        <w:tc>
          <w:tcPr>
            <w:tcW w:w="566" w:type="pct"/>
            <w:shd w:val="clear" w:color="auto" w:fill="auto"/>
          </w:tcPr>
          <w:p w14:paraId="2ECD45CB" w14:textId="77777777" w:rsidR="002E012B" w:rsidRPr="00D1408C" w:rsidRDefault="002E012B" w:rsidP="002E012B">
            <w:pPr>
              <w:pStyle w:val="Normal314"/>
              <w:rPr>
                <w:rFonts w:asciiTheme="minorHAnsi" w:hAnsiTheme="minorHAnsi" w:cstheme="minorHAnsi"/>
                <w:bCs/>
                <w:color w:val="auto"/>
                <w:sz w:val="20"/>
                <w:szCs w:val="20"/>
              </w:rPr>
            </w:pPr>
            <w:r w:rsidRPr="00D1408C">
              <w:rPr>
                <w:rFonts w:asciiTheme="minorHAnsi" w:hAnsiTheme="minorHAnsi" w:cstheme="minorHAnsi"/>
                <w:bCs/>
                <w:color w:val="auto"/>
                <w:sz w:val="20"/>
                <w:szCs w:val="20"/>
              </w:rPr>
              <w:t xml:space="preserve">Supervisory Boards and the specialized </w:t>
            </w:r>
            <w:r w:rsidRPr="00D1408C">
              <w:rPr>
                <w:rFonts w:asciiTheme="minorHAnsi" w:hAnsiTheme="minorHAnsi" w:cstheme="minorHAnsi"/>
                <w:bCs/>
                <w:color w:val="auto"/>
                <w:sz w:val="20"/>
                <w:szCs w:val="20"/>
              </w:rPr>
              <w:lastRenderedPageBreak/>
              <w:t xml:space="preserve">committees are in place by Dec. 30, </w:t>
            </w:r>
            <w:proofErr w:type="gramStart"/>
            <w:r w:rsidRPr="00D1408C">
              <w:rPr>
                <w:rFonts w:asciiTheme="minorHAnsi" w:hAnsiTheme="minorHAnsi" w:cstheme="minorHAnsi"/>
                <w:bCs/>
                <w:color w:val="auto"/>
                <w:sz w:val="20"/>
                <w:szCs w:val="20"/>
              </w:rPr>
              <w:t>2020</w:t>
            </w:r>
            <w:proofErr w:type="gramEnd"/>
            <w:r w:rsidRPr="00D1408C">
              <w:rPr>
                <w:rFonts w:asciiTheme="minorHAnsi" w:hAnsiTheme="minorHAnsi" w:cstheme="minorHAnsi"/>
                <w:bCs/>
                <w:color w:val="auto"/>
                <w:sz w:val="20"/>
                <w:szCs w:val="20"/>
              </w:rPr>
              <w:t xml:space="preserve"> and continue to be functional during the whole period of the Program implementation</w:t>
            </w:r>
          </w:p>
        </w:tc>
        <w:tc>
          <w:tcPr>
            <w:tcW w:w="503" w:type="pct"/>
          </w:tcPr>
          <w:p w14:paraId="6296750C" w14:textId="06A3020F" w:rsidR="002E012B" w:rsidRPr="00D1408C" w:rsidRDefault="002E012B" w:rsidP="002E012B">
            <w:pPr>
              <w:pStyle w:val="Normal314"/>
              <w:rPr>
                <w:rFonts w:asciiTheme="minorHAnsi" w:hAnsiTheme="minorHAnsi" w:cstheme="minorHAnsi"/>
                <w:bCs/>
                <w:color w:val="auto"/>
                <w:sz w:val="20"/>
                <w:szCs w:val="20"/>
              </w:rPr>
            </w:pPr>
            <w:r w:rsidRPr="00D1408C">
              <w:rPr>
                <w:rFonts w:asciiTheme="minorHAnsi" w:hAnsiTheme="minorHAnsi" w:cstheme="minorHAnsi"/>
                <w:bCs/>
                <w:color w:val="auto"/>
                <w:sz w:val="20"/>
                <w:szCs w:val="20"/>
              </w:rPr>
              <w:lastRenderedPageBreak/>
              <w:t xml:space="preserve">Supervisory Boards and the </w:t>
            </w:r>
            <w:r w:rsidRPr="00D1408C">
              <w:rPr>
                <w:rFonts w:asciiTheme="minorHAnsi" w:hAnsiTheme="minorHAnsi" w:cstheme="minorHAnsi"/>
                <w:bCs/>
                <w:color w:val="auto"/>
                <w:sz w:val="20"/>
                <w:szCs w:val="20"/>
              </w:rPr>
              <w:lastRenderedPageBreak/>
              <w:t xml:space="preserve">specialized committees are in place by </w:t>
            </w:r>
            <w:r w:rsidR="00943242">
              <w:rPr>
                <w:rFonts w:asciiTheme="minorHAnsi" w:hAnsiTheme="minorHAnsi" w:cstheme="minorHAnsi"/>
                <w:bCs/>
                <w:color w:val="auto"/>
                <w:sz w:val="20"/>
                <w:szCs w:val="20"/>
              </w:rPr>
              <w:t>July</w:t>
            </w:r>
            <w:r w:rsidRPr="00D1408C">
              <w:rPr>
                <w:rFonts w:asciiTheme="minorHAnsi" w:hAnsiTheme="minorHAnsi" w:cstheme="minorHAnsi"/>
                <w:bCs/>
                <w:color w:val="auto"/>
                <w:sz w:val="20"/>
                <w:szCs w:val="20"/>
              </w:rPr>
              <w:t xml:space="preserve"> 30, </w:t>
            </w:r>
            <w:proofErr w:type="gramStart"/>
            <w:r w:rsidRPr="00D1408C">
              <w:rPr>
                <w:rFonts w:asciiTheme="minorHAnsi" w:hAnsiTheme="minorHAnsi" w:cstheme="minorHAnsi"/>
                <w:bCs/>
                <w:color w:val="auto"/>
                <w:sz w:val="20"/>
                <w:szCs w:val="20"/>
              </w:rPr>
              <w:t>202</w:t>
            </w:r>
            <w:r>
              <w:rPr>
                <w:rFonts w:asciiTheme="minorHAnsi" w:hAnsiTheme="minorHAnsi" w:cstheme="minorHAnsi"/>
                <w:bCs/>
                <w:color w:val="auto"/>
                <w:sz w:val="20"/>
                <w:szCs w:val="20"/>
              </w:rPr>
              <w:t>2</w:t>
            </w:r>
            <w:proofErr w:type="gramEnd"/>
            <w:r w:rsidRPr="00D1408C">
              <w:rPr>
                <w:rFonts w:asciiTheme="minorHAnsi" w:hAnsiTheme="minorHAnsi" w:cstheme="minorHAnsi"/>
                <w:bCs/>
                <w:color w:val="auto"/>
                <w:sz w:val="20"/>
                <w:szCs w:val="20"/>
              </w:rPr>
              <w:t xml:space="preserve"> and continue to be functional during the whole period of the Program implementation</w:t>
            </w:r>
          </w:p>
        </w:tc>
        <w:tc>
          <w:tcPr>
            <w:tcW w:w="440" w:type="pct"/>
          </w:tcPr>
          <w:p w14:paraId="50F39BDA" w14:textId="31D42348" w:rsidR="002E012B" w:rsidRPr="00D1408C" w:rsidRDefault="002E012B" w:rsidP="002E012B">
            <w:pPr>
              <w:pStyle w:val="Normal314"/>
              <w:rPr>
                <w:rFonts w:asciiTheme="minorHAnsi" w:hAnsiTheme="minorHAnsi" w:cstheme="minorHAnsi"/>
                <w:bCs/>
                <w:color w:val="auto"/>
                <w:sz w:val="20"/>
                <w:szCs w:val="20"/>
              </w:rPr>
            </w:pPr>
            <w:r>
              <w:rPr>
                <w:rFonts w:asciiTheme="minorHAnsi" w:hAnsiTheme="minorHAnsi" w:cstheme="minorHAnsi"/>
                <w:bCs/>
                <w:color w:val="auto"/>
                <w:sz w:val="20"/>
                <w:szCs w:val="20"/>
              </w:rPr>
              <w:lastRenderedPageBreak/>
              <w:t>In-progress</w:t>
            </w:r>
          </w:p>
        </w:tc>
      </w:tr>
      <w:tr w:rsidR="002E012B" w:rsidRPr="00D1408C" w14:paraId="681B501F" w14:textId="2CAEE32C" w:rsidTr="002B0E2E">
        <w:trPr>
          <w:trHeight w:val="532"/>
        </w:trPr>
        <w:tc>
          <w:tcPr>
            <w:tcW w:w="845" w:type="pct"/>
            <w:shd w:val="clear" w:color="auto" w:fill="auto"/>
          </w:tcPr>
          <w:p w14:paraId="2B4CB4A4" w14:textId="77777777" w:rsidR="002E012B" w:rsidRPr="00D1408C" w:rsidRDefault="002E012B" w:rsidP="002E012B">
            <w:pPr>
              <w:pStyle w:val="Normal314"/>
              <w:rPr>
                <w:rFonts w:asciiTheme="minorHAnsi" w:hAnsiTheme="minorHAnsi" w:cstheme="minorHAnsi"/>
                <w:b/>
                <w:bCs/>
                <w:color w:val="auto"/>
                <w:sz w:val="20"/>
                <w:szCs w:val="20"/>
              </w:rPr>
            </w:pPr>
            <w:r w:rsidRPr="00D1408C">
              <w:rPr>
                <w:rFonts w:asciiTheme="minorHAnsi" w:hAnsiTheme="minorHAnsi" w:cstheme="minorHAnsi"/>
                <w:color w:val="auto"/>
                <w:sz w:val="20"/>
                <w:szCs w:val="20"/>
              </w:rPr>
              <w:t xml:space="preserve">Weak capacity of financial management, </w:t>
            </w:r>
            <w:proofErr w:type="gramStart"/>
            <w:r w:rsidRPr="00D1408C">
              <w:rPr>
                <w:rFonts w:asciiTheme="minorHAnsi" w:hAnsiTheme="minorHAnsi" w:cstheme="minorHAnsi"/>
                <w:color w:val="auto"/>
                <w:sz w:val="20"/>
                <w:szCs w:val="20"/>
              </w:rPr>
              <w:t>accounting</w:t>
            </w:r>
            <w:proofErr w:type="gramEnd"/>
            <w:r w:rsidRPr="00D1408C">
              <w:rPr>
                <w:rFonts w:asciiTheme="minorHAnsi" w:hAnsiTheme="minorHAnsi" w:cstheme="minorHAnsi"/>
                <w:color w:val="auto"/>
                <w:sz w:val="20"/>
                <w:szCs w:val="20"/>
              </w:rPr>
              <w:t xml:space="preserve"> and internal audit staff</w:t>
            </w:r>
          </w:p>
        </w:tc>
        <w:tc>
          <w:tcPr>
            <w:tcW w:w="1123" w:type="pct"/>
            <w:shd w:val="clear" w:color="auto" w:fill="auto"/>
          </w:tcPr>
          <w:p w14:paraId="38BAC581" w14:textId="77777777" w:rsidR="002E012B" w:rsidRPr="00D1408C" w:rsidRDefault="002E012B" w:rsidP="002E012B">
            <w:pPr>
              <w:pStyle w:val="Normal314"/>
              <w:rPr>
                <w:rFonts w:asciiTheme="minorHAnsi" w:hAnsiTheme="minorHAnsi" w:cstheme="minorHAnsi"/>
                <w:b/>
                <w:bCs/>
                <w:color w:val="auto"/>
                <w:sz w:val="20"/>
                <w:szCs w:val="20"/>
              </w:rPr>
            </w:pPr>
            <w:r w:rsidRPr="00D1408C">
              <w:rPr>
                <w:rFonts w:asciiTheme="minorHAnsi" w:hAnsiTheme="minorHAnsi" w:cstheme="minorHAnsi"/>
                <w:sz w:val="20"/>
                <w:szCs w:val="20"/>
              </w:rPr>
              <w:t>Prepare a capacity building and training plan, acceptable to the Bank, for improving the BT staff capacity in longer term institutional capital budget planning, international accounting/financial reporting standards/auditing standards and internal control procedures</w:t>
            </w:r>
          </w:p>
        </w:tc>
        <w:tc>
          <w:tcPr>
            <w:tcW w:w="831" w:type="pct"/>
          </w:tcPr>
          <w:p w14:paraId="601DD881" w14:textId="797AE2B6" w:rsidR="002E012B" w:rsidRPr="00D1408C" w:rsidRDefault="002E012B" w:rsidP="002E012B">
            <w:pPr>
              <w:pStyle w:val="Normal314"/>
              <w:rPr>
                <w:rFonts w:asciiTheme="minorHAnsi" w:hAnsiTheme="minorHAnsi" w:cstheme="minorHAnsi"/>
                <w:bCs/>
                <w:color w:val="auto"/>
                <w:sz w:val="20"/>
                <w:szCs w:val="20"/>
              </w:rPr>
            </w:pPr>
            <w:r>
              <w:rPr>
                <w:rFonts w:asciiTheme="minorHAnsi" w:hAnsiTheme="minorHAnsi" w:cstheme="minorHAnsi"/>
                <w:bCs/>
                <w:color w:val="auto"/>
                <w:sz w:val="20"/>
                <w:szCs w:val="20"/>
              </w:rPr>
              <w:t>-</w:t>
            </w:r>
          </w:p>
        </w:tc>
        <w:tc>
          <w:tcPr>
            <w:tcW w:w="691" w:type="pct"/>
            <w:shd w:val="clear" w:color="auto" w:fill="auto"/>
          </w:tcPr>
          <w:p w14:paraId="7037BC1A" w14:textId="4049891C" w:rsidR="002E012B" w:rsidRPr="00D1408C" w:rsidRDefault="002E012B" w:rsidP="002E012B">
            <w:pPr>
              <w:pStyle w:val="Normal314"/>
              <w:rPr>
                <w:rFonts w:asciiTheme="minorHAnsi" w:hAnsiTheme="minorHAnsi" w:cstheme="minorHAnsi"/>
                <w:bCs/>
                <w:color w:val="auto"/>
                <w:sz w:val="20"/>
                <w:szCs w:val="20"/>
              </w:rPr>
            </w:pPr>
            <w:r w:rsidRPr="00D1408C">
              <w:rPr>
                <w:rFonts w:asciiTheme="minorHAnsi" w:hAnsiTheme="minorHAnsi" w:cstheme="minorHAnsi"/>
                <w:bCs/>
                <w:color w:val="auto"/>
                <w:sz w:val="20"/>
                <w:szCs w:val="20"/>
              </w:rPr>
              <w:t>BT</w:t>
            </w:r>
          </w:p>
        </w:tc>
        <w:tc>
          <w:tcPr>
            <w:tcW w:w="566" w:type="pct"/>
            <w:shd w:val="clear" w:color="auto" w:fill="auto"/>
          </w:tcPr>
          <w:p w14:paraId="783A1A99" w14:textId="77777777" w:rsidR="002E012B" w:rsidRPr="00D1408C" w:rsidRDefault="002E012B" w:rsidP="002E012B">
            <w:pPr>
              <w:pStyle w:val="Normal314"/>
              <w:rPr>
                <w:rFonts w:asciiTheme="minorHAnsi" w:hAnsiTheme="minorHAnsi" w:cstheme="minorHAnsi"/>
                <w:b/>
                <w:bCs/>
                <w:color w:val="auto"/>
                <w:sz w:val="20"/>
                <w:szCs w:val="20"/>
              </w:rPr>
            </w:pPr>
            <w:r w:rsidRPr="00D1408C">
              <w:rPr>
                <w:rFonts w:asciiTheme="minorHAnsi" w:hAnsiTheme="minorHAnsi" w:cstheme="minorHAnsi"/>
                <w:color w:val="auto"/>
                <w:sz w:val="20"/>
                <w:szCs w:val="20"/>
              </w:rPr>
              <w:t>The capacity building and training plan, agreed with the Bank, to be developed and approved by the BT no later than 6 months after the Program effectiveness</w:t>
            </w:r>
          </w:p>
        </w:tc>
        <w:tc>
          <w:tcPr>
            <w:tcW w:w="503" w:type="pct"/>
          </w:tcPr>
          <w:p w14:paraId="642BBA16" w14:textId="47C7F8C2" w:rsidR="002E012B" w:rsidRPr="00D1408C" w:rsidRDefault="002E012B" w:rsidP="002E012B">
            <w:pPr>
              <w:pStyle w:val="Normal314"/>
              <w:rPr>
                <w:rFonts w:asciiTheme="minorHAnsi" w:hAnsiTheme="minorHAnsi" w:cstheme="minorHAnsi"/>
                <w:color w:val="auto"/>
                <w:sz w:val="20"/>
                <w:szCs w:val="20"/>
              </w:rPr>
            </w:pPr>
            <w:r>
              <w:rPr>
                <w:rFonts w:asciiTheme="minorHAnsi" w:hAnsiTheme="minorHAnsi" w:cstheme="minorHAnsi"/>
                <w:color w:val="auto"/>
                <w:sz w:val="20"/>
                <w:szCs w:val="20"/>
              </w:rPr>
              <w:t>-</w:t>
            </w:r>
          </w:p>
        </w:tc>
        <w:tc>
          <w:tcPr>
            <w:tcW w:w="440" w:type="pct"/>
          </w:tcPr>
          <w:p w14:paraId="4C4DE048" w14:textId="086DFF57" w:rsidR="002E012B" w:rsidRPr="00D1408C" w:rsidRDefault="002E012B" w:rsidP="002E012B">
            <w:pPr>
              <w:pStyle w:val="Normal314"/>
              <w:rPr>
                <w:rFonts w:asciiTheme="minorHAnsi" w:hAnsiTheme="minorHAnsi" w:cstheme="minorHAnsi"/>
                <w:color w:val="auto"/>
                <w:sz w:val="20"/>
                <w:szCs w:val="20"/>
              </w:rPr>
            </w:pPr>
            <w:r w:rsidRPr="00FD6DA6">
              <w:rPr>
                <w:rFonts w:asciiTheme="minorHAnsi" w:hAnsiTheme="minorHAnsi" w:cstheme="minorHAnsi"/>
                <w:color w:val="auto"/>
                <w:sz w:val="20"/>
                <w:szCs w:val="20"/>
              </w:rPr>
              <w:t>BT has developed a capacity building and training plan, which was agreed with the Bank</w:t>
            </w:r>
          </w:p>
        </w:tc>
      </w:tr>
      <w:tr w:rsidR="002E012B" w:rsidRPr="00D1408C" w14:paraId="1F33F8E3" w14:textId="62A20711" w:rsidTr="002B0E2E">
        <w:trPr>
          <w:trHeight w:val="242"/>
        </w:trPr>
        <w:tc>
          <w:tcPr>
            <w:tcW w:w="845" w:type="pct"/>
            <w:shd w:val="clear" w:color="auto" w:fill="D9D9D9" w:themeFill="background1" w:themeFillShade="D9"/>
          </w:tcPr>
          <w:p w14:paraId="7ADDAEDE" w14:textId="77777777" w:rsidR="002E012B" w:rsidRPr="00D1408C" w:rsidRDefault="002E012B" w:rsidP="002E012B">
            <w:pPr>
              <w:pStyle w:val="Normal314"/>
              <w:rPr>
                <w:rFonts w:asciiTheme="minorHAnsi" w:hAnsiTheme="minorHAnsi" w:cstheme="minorHAnsi"/>
                <w:b/>
                <w:bCs/>
                <w:color w:val="auto"/>
                <w:sz w:val="20"/>
                <w:szCs w:val="20"/>
              </w:rPr>
            </w:pPr>
            <w:r w:rsidRPr="00D1408C">
              <w:rPr>
                <w:rFonts w:asciiTheme="minorHAnsi" w:hAnsiTheme="minorHAnsi" w:cstheme="minorHAnsi"/>
                <w:b/>
                <w:bCs/>
                <w:color w:val="auto"/>
                <w:sz w:val="20"/>
                <w:szCs w:val="20"/>
              </w:rPr>
              <w:t>Procurement</w:t>
            </w:r>
          </w:p>
        </w:tc>
        <w:tc>
          <w:tcPr>
            <w:tcW w:w="1123" w:type="pct"/>
            <w:shd w:val="clear" w:color="auto" w:fill="D9D9D9" w:themeFill="background1" w:themeFillShade="D9"/>
          </w:tcPr>
          <w:p w14:paraId="258A7349" w14:textId="77777777" w:rsidR="002E012B" w:rsidRPr="00D1408C" w:rsidRDefault="002E012B" w:rsidP="002E012B">
            <w:pPr>
              <w:pStyle w:val="Normal314"/>
              <w:rPr>
                <w:rFonts w:asciiTheme="minorHAnsi" w:hAnsiTheme="minorHAnsi" w:cstheme="minorHAnsi"/>
                <w:b/>
                <w:sz w:val="20"/>
                <w:szCs w:val="20"/>
              </w:rPr>
            </w:pPr>
          </w:p>
        </w:tc>
        <w:tc>
          <w:tcPr>
            <w:tcW w:w="831" w:type="pct"/>
            <w:shd w:val="clear" w:color="auto" w:fill="D9D9D9" w:themeFill="background1" w:themeFillShade="D9"/>
          </w:tcPr>
          <w:p w14:paraId="644B3C4B" w14:textId="77777777" w:rsidR="002E012B" w:rsidRPr="00D1408C" w:rsidRDefault="002E012B" w:rsidP="002E012B">
            <w:pPr>
              <w:pStyle w:val="Normal314"/>
              <w:jc w:val="both"/>
              <w:rPr>
                <w:rFonts w:asciiTheme="minorHAnsi" w:hAnsiTheme="minorHAnsi" w:cstheme="minorHAnsi"/>
                <w:b/>
                <w:sz w:val="20"/>
                <w:szCs w:val="20"/>
              </w:rPr>
            </w:pPr>
          </w:p>
        </w:tc>
        <w:tc>
          <w:tcPr>
            <w:tcW w:w="691" w:type="pct"/>
            <w:shd w:val="clear" w:color="auto" w:fill="D9D9D9" w:themeFill="background1" w:themeFillShade="D9"/>
          </w:tcPr>
          <w:p w14:paraId="4B757C14" w14:textId="7407A4D4" w:rsidR="002E012B" w:rsidRPr="00D1408C" w:rsidRDefault="002E012B" w:rsidP="002E012B">
            <w:pPr>
              <w:pStyle w:val="Normal314"/>
              <w:jc w:val="both"/>
              <w:rPr>
                <w:rFonts w:asciiTheme="minorHAnsi" w:hAnsiTheme="minorHAnsi" w:cstheme="minorHAnsi"/>
                <w:b/>
                <w:sz w:val="20"/>
                <w:szCs w:val="20"/>
              </w:rPr>
            </w:pPr>
          </w:p>
        </w:tc>
        <w:tc>
          <w:tcPr>
            <w:tcW w:w="566" w:type="pct"/>
            <w:shd w:val="clear" w:color="auto" w:fill="D9D9D9" w:themeFill="background1" w:themeFillShade="D9"/>
          </w:tcPr>
          <w:p w14:paraId="4AFB2129" w14:textId="77777777" w:rsidR="002E012B" w:rsidRPr="00D1408C" w:rsidRDefault="002E012B" w:rsidP="002E012B">
            <w:pPr>
              <w:pStyle w:val="Normal314"/>
              <w:rPr>
                <w:rFonts w:asciiTheme="minorHAnsi" w:hAnsiTheme="minorHAnsi" w:cstheme="minorHAnsi"/>
                <w:b/>
                <w:bCs/>
                <w:color w:val="auto"/>
                <w:sz w:val="20"/>
                <w:szCs w:val="20"/>
              </w:rPr>
            </w:pPr>
          </w:p>
        </w:tc>
        <w:tc>
          <w:tcPr>
            <w:tcW w:w="503" w:type="pct"/>
            <w:shd w:val="clear" w:color="auto" w:fill="D9D9D9" w:themeFill="background1" w:themeFillShade="D9"/>
          </w:tcPr>
          <w:p w14:paraId="0AA512C1" w14:textId="77777777" w:rsidR="002E012B" w:rsidRPr="00D1408C" w:rsidRDefault="002E012B" w:rsidP="002E012B">
            <w:pPr>
              <w:pStyle w:val="Normal314"/>
              <w:rPr>
                <w:rFonts w:asciiTheme="minorHAnsi" w:hAnsiTheme="minorHAnsi" w:cstheme="minorHAnsi"/>
                <w:b/>
                <w:bCs/>
                <w:color w:val="auto"/>
                <w:sz w:val="20"/>
                <w:szCs w:val="20"/>
              </w:rPr>
            </w:pPr>
          </w:p>
        </w:tc>
        <w:tc>
          <w:tcPr>
            <w:tcW w:w="440" w:type="pct"/>
            <w:shd w:val="clear" w:color="auto" w:fill="D9D9D9" w:themeFill="background1" w:themeFillShade="D9"/>
          </w:tcPr>
          <w:p w14:paraId="7CF5FA01" w14:textId="7C8EBAE6" w:rsidR="002E012B" w:rsidRPr="00D1408C" w:rsidRDefault="002E012B" w:rsidP="002E012B">
            <w:pPr>
              <w:pStyle w:val="Normal314"/>
              <w:rPr>
                <w:rFonts w:asciiTheme="minorHAnsi" w:hAnsiTheme="minorHAnsi" w:cstheme="minorHAnsi"/>
                <w:b/>
                <w:bCs/>
                <w:color w:val="auto"/>
                <w:sz w:val="20"/>
                <w:szCs w:val="20"/>
              </w:rPr>
            </w:pPr>
          </w:p>
        </w:tc>
      </w:tr>
      <w:tr w:rsidR="002E012B" w:rsidRPr="00D1408C" w14:paraId="4806D7BC" w14:textId="0384E89C" w:rsidTr="002B0E2E">
        <w:trPr>
          <w:trHeight w:val="242"/>
        </w:trPr>
        <w:tc>
          <w:tcPr>
            <w:tcW w:w="845" w:type="pct"/>
            <w:shd w:val="clear" w:color="auto" w:fill="auto"/>
          </w:tcPr>
          <w:p w14:paraId="27DFF1E3" w14:textId="77777777" w:rsidR="002E012B" w:rsidRPr="00D1408C" w:rsidRDefault="002E012B" w:rsidP="002E012B">
            <w:pPr>
              <w:pStyle w:val="Normal314"/>
              <w:rPr>
                <w:rFonts w:asciiTheme="minorHAnsi" w:hAnsiTheme="minorHAnsi" w:cstheme="minorHAnsi"/>
                <w:bCs/>
                <w:color w:val="auto"/>
                <w:sz w:val="20"/>
                <w:szCs w:val="20"/>
              </w:rPr>
            </w:pPr>
            <w:r w:rsidRPr="00D1408C">
              <w:rPr>
                <w:rFonts w:asciiTheme="minorHAnsi" w:hAnsiTheme="minorHAnsi" w:cstheme="minorHAnsi"/>
                <w:bCs/>
                <w:color w:val="auto"/>
                <w:sz w:val="20"/>
                <w:szCs w:val="20"/>
              </w:rPr>
              <w:t>General conditions of contracts are not part of the bidding documents</w:t>
            </w:r>
          </w:p>
        </w:tc>
        <w:tc>
          <w:tcPr>
            <w:tcW w:w="1123" w:type="pct"/>
            <w:shd w:val="clear" w:color="auto" w:fill="auto"/>
          </w:tcPr>
          <w:p w14:paraId="554F47A3" w14:textId="77777777" w:rsidR="002E012B" w:rsidRPr="00D1408C" w:rsidRDefault="002E012B" w:rsidP="002E012B">
            <w:pPr>
              <w:pStyle w:val="Normal314"/>
              <w:rPr>
                <w:rFonts w:asciiTheme="minorHAnsi" w:hAnsiTheme="minorHAnsi" w:cstheme="minorHAnsi"/>
                <w:sz w:val="20"/>
                <w:szCs w:val="20"/>
              </w:rPr>
            </w:pPr>
            <w:r w:rsidRPr="00D1408C">
              <w:rPr>
                <w:rFonts w:asciiTheme="minorHAnsi" w:hAnsiTheme="minorHAnsi" w:cstheme="minorHAnsi"/>
                <w:sz w:val="20"/>
                <w:szCs w:val="20"/>
              </w:rPr>
              <w:t xml:space="preserve">The Public Procurement Agency would continue working on improvement of standard bidding documents </w:t>
            </w:r>
            <w:proofErr w:type="gramStart"/>
            <w:r w:rsidRPr="00D1408C">
              <w:rPr>
                <w:rFonts w:asciiTheme="minorHAnsi" w:hAnsiTheme="minorHAnsi" w:cstheme="minorHAnsi"/>
                <w:sz w:val="20"/>
                <w:szCs w:val="20"/>
              </w:rPr>
              <w:t>taking into account</w:t>
            </w:r>
            <w:proofErr w:type="gramEnd"/>
            <w:r w:rsidRPr="00D1408C">
              <w:rPr>
                <w:rFonts w:asciiTheme="minorHAnsi" w:hAnsiTheme="minorHAnsi" w:cstheme="minorHAnsi"/>
                <w:sz w:val="20"/>
                <w:szCs w:val="20"/>
              </w:rPr>
              <w:t xml:space="preserve"> the recommendations from the Bank</w:t>
            </w:r>
          </w:p>
        </w:tc>
        <w:tc>
          <w:tcPr>
            <w:tcW w:w="831" w:type="pct"/>
          </w:tcPr>
          <w:p w14:paraId="187B27EC" w14:textId="4BBB3D96" w:rsidR="002E012B" w:rsidRPr="00D1408C" w:rsidRDefault="002E012B" w:rsidP="002E012B">
            <w:pPr>
              <w:pStyle w:val="Normal314"/>
              <w:jc w:val="both"/>
              <w:rPr>
                <w:rFonts w:asciiTheme="minorHAnsi" w:hAnsiTheme="minorHAnsi" w:cstheme="minorHAnsi"/>
                <w:sz w:val="20"/>
                <w:szCs w:val="20"/>
              </w:rPr>
            </w:pPr>
            <w:r>
              <w:rPr>
                <w:rFonts w:asciiTheme="minorHAnsi" w:hAnsiTheme="minorHAnsi" w:cstheme="minorHAnsi"/>
                <w:sz w:val="20"/>
                <w:szCs w:val="20"/>
              </w:rPr>
              <w:t>-</w:t>
            </w:r>
          </w:p>
        </w:tc>
        <w:tc>
          <w:tcPr>
            <w:tcW w:w="691" w:type="pct"/>
            <w:shd w:val="clear" w:color="auto" w:fill="auto"/>
          </w:tcPr>
          <w:p w14:paraId="5D7C1E91" w14:textId="3554FD03" w:rsidR="002E012B" w:rsidRPr="00D1408C" w:rsidRDefault="002E012B" w:rsidP="002E012B">
            <w:pPr>
              <w:pStyle w:val="Normal314"/>
              <w:jc w:val="both"/>
              <w:rPr>
                <w:rFonts w:asciiTheme="minorHAnsi" w:hAnsiTheme="minorHAnsi" w:cstheme="minorHAnsi"/>
                <w:sz w:val="20"/>
                <w:szCs w:val="20"/>
              </w:rPr>
            </w:pPr>
            <w:r w:rsidRPr="00D1408C">
              <w:rPr>
                <w:rFonts w:asciiTheme="minorHAnsi" w:hAnsiTheme="minorHAnsi" w:cstheme="minorHAnsi"/>
                <w:sz w:val="20"/>
                <w:szCs w:val="20"/>
              </w:rPr>
              <w:t>State Procurement Agency and BT</w:t>
            </w:r>
          </w:p>
        </w:tc>
        <w:tc>
          <w:tcPr>
            <w:tcW w:w="566" w:type="pct"/>
            <w:shd w:val="clear" w:color="auto" w:fill="auto"/>
          </w:tcPr>
          <w:p w14:paraId="03F4239C" w14:textId="77777777" w:rsidR="002E012B" w:rsidRPr="00D1408C" w:rsidRDefault="002E012B" w:rsidP="002E012B">
            <w:pPr>
              <w:pStyle w:val="Normal314"/>
              <w:rPr>
                <w:rFonts w:asciiTheme="minorHAnsi" w:hAnsiTheme="minorHAnsi" w:cstheme="minorHAnsi"/>
                <w:bCs/>
                <w:color w:val="auto"/>
                <w:sz w:val="20"/>
                <w:szCs w:val="20"/>
              </w:rPr>
            </w:pPr>
            <w:r w:rsidRPr="00D1408C">
              <w:rPr>
                <w:rFonts w:asciiTheme="minorHAnsi" w:hAnsiTheme="minorHAnsi" w:cstheme="minorHAnsi"/>
                <w:sz w:val="20"/>
                <w:szCs w:val="20"/>
              </w:rPr>
              <w:t>Continuous during the Program implementation</w:t>
            </w:r>
          </w:p>
        </w:tc>
        <w:tc>
          <w:tcPr>
            <w:tcW w:w="503" w:type="pct"/>
          </w:tcPr>
          <w:p w14:paraId="4C5FF2F2" w14:textId="60C5BCF2" w:rsidR="002E012B" w:rsidRPr="00D1408C" w:rsidRDefault="002E012B" w:rsidP="002E012B">
            <w:pPr>
              <w:pStyle w:val="Normal314"/>
              <w:rPr>
                <w:rFonts w:asciiTheme="minorHAnsi" w:hAnsiTheme="minorHAnsi" w:cstheme="minorHAnsi"/>
                <w:sz w:val="20"/>
                <w:szCs w:val="20"/>
              </w:rPr>
            </w:pPr>
            <w:r>
              <w:rPr>
                <w:rFonts w:asciiTheme="minorHAnsi" w:hAnsiTheme="minorHAnsi" w:cstheme="minorHAnsi"/>
                <w:sz w:val="20"/>
                <w:szCs w:val="20"/>
              </w:rPr>
              <w:t>-</w:t>
            </w:r>
          </w:p>
        </w:tc>
        <w:tc>
          <w:tcPr>
            <w:tcW w:w="440" w:type="pct"/>
          </w:tcPr>
          <w:p w14:paraId="1CDC600C" w14:textId="44E53ED8" w:rsidR="002E012B" w:rsidRPr="00D1408C" w:rsidRDefault="002E012B" w:rsidP="002E012B">
            <w:pPr>
              <w:pStyle w:val="Normal314"/>
              <w:rPr>
                <w:rFonts w:asciiTheme="minorHAnsi" w:hAnsiTheme="minorHAnsi" w:cstheme="minorHAnsi"/>
                <w:sz w:val="20"/>
                <w:szCs w:val="20"/>
              </w:rPr>
            </w:pPr>
            <w:r>
              <w:rPr>
                <w:rFonts w:asciiTheme="minorHAnsi" w:hAnsiTheme="minorHAnsi" w:cstheme="minorHAnsi"/>
                <w:sz w:val="20"/>
                <w:szCs w:val="20"/>
              </w:rPr>
              <w:t>In-progress. The General conditions would be submitted for Bank review by Sep 3, 2022</w:t>
            </w:r>
          </w:p>
        </w:tc>
      </w:tr>
      <w:tr w:rsidR="002E012B" w:rsidRPr="00D1408C" w14:paraId="51EAB8C6" w14:textId="4D5D68C0" w:rsidTr="002B0E2E">
        <w:trPr>
          <w:trHeight w:val="242"/>
        </w:trPr>
        <w:tc>
          <w:tcPr>
            <w:tcW w:w="845" w:type="pct"/>
            <w:shd w:val="clear" w:color="auto" w:fill="auto"/>
          </w:tcPr>
          <w:p w14:paraId="498F2CC0" w14:textId="77777777" w:rsidR="002E012B" w:rsidRPr="00D1408C" w:rsidRDefault="002E012B" w:rsidP="002E012B">
            <w:pPr>
              <w:pStyle w:val="Normal314"/>
              <w:rPr>
                <w:rFonts w:asciiTheme="minorHAnsi" w:hAnsiTheme="minorHAnsi" w:cstheme="minorHAnsi"/>
                <w:bCs/>
                <w:color w:val="auto"/>
                <w:sz w:val="20"/>
                <w:szCs w:val="20"/>
              </w:rPr>
            </w:pPr>
            <w:r w:rsidRPr="00D1408C">
              <w:rPr>
                <w:rFonts w:asciiTheme="minorHAnsi" w:hAnsiTheme="minorHAnsi" w:cstheme="minorHAnsi"/>
                <w:bCs/>
                <w:color w:val="auto"/>
                <w:sz w:val="20"/>
                <w:szCs w:val="20"/>
              </w:rPr>
              <w:lastRenderedPageBreak/>
              <w:t>No publicly available information on the procurement complaints received by BT and how they are addressed</w:t>
            </w:r>
          </w:p>
        </w:tc>
        <w:tc>
          <w:tcPr>
            <w:tcW w:w="1123" w:type="pct"/>
            <w:shd w:val="clear" w:color="auto" w:fill="auto"/>
          </w:tcPr>
          <w:p w14:paraId="14B49958" w14:textId="77777777" w:rsidR="002E012B" w:rsidRPr="00D1408C" w:rsidRDefault="002E012B" w:rsidP="002E012B">
            <w:pPr>
              <w:pStyle w:val="Normal314"/>
              <w:rPr>
                <w:rFonts w:asciiTheme="minorHAnsi" w:hAnsiTheme="minorHAnsi" w:cstheme="minorHAnsi"/>
                <w:sz w:val="20"/>
                <w:szCs w:val="20"/>
              </w:rPr>
            </w:pPr>
            <w:r w:rsidRPr="00D1408C">
              <w:rPr>
                <w:rFonts w:asciiTheme="minorHAnsi" w:hAnsiTheme="minorHAnsi" w:cstheme="minorHAnsi"/>
                <w:sz w:val="20"/>
                <w:szCs w:val="20"/>
              </w:rPr>
              <w:t>Create a dedicated section in BT public website to post the information on procurement complaints handling</w:t>
            </w:r>
          </w:p>
        </w:tc>
        <w:tc>
          <w:tcPr>
            <w:tcW w:w="831" w:type="pct"/>
          </w:tcPr>
          <w:p w14:paraId="5A854130" w14:textId="3E94DF04" w:rsidR="002E012B" w:rsidRPr="00D1408C" w:rsidRDefault="002E012B" w:rsidP="002E012B">
            <w:pPr>
              <w:pStyle w:val="Normal314"/>
              <w:rPr>
                <w:rFonts w:asciiTheme="minorHAnsi" w:hAnsiTheme="minorHAnsi" w:cstheme="minorHAnsi"/>
                <w:sz w:val="20"/>
                <w:szCs w:val="20"/>
              </w:rPr>
            </w:pPr>
            <w:r w:rsidRPr="00D1408C">
              <w:rPr>
                <w:rFonts w:asciiTheme="minorHAnsi" w:hAnsiTheme="minorHAnsi" w:cstheme="minorHAnsi"/>
                <w:sz w:val="20"/>
                <w:szCs w:val="20"/>
              </w:rPr>
              <w:t>Create a dedicated section</w:t>
            </w:r>
            <w:r>
              <w:rPr>
                <w:rFonts w:asciiTheme="minorHAnsi" w:hAnsiTheme="minorHAnsi" w:cstheme="minorHAnsi"/>
                <w:sz w:val="20"/>
                <w:szCs w:val="20"/>
              </w:rPr>
              <w:t xml:space="preserve"> on</w:t>
            </w:r>
            <w:r w:rsidRPr="00D1408C">
              <w:rPr>
                <w:rFonts w:asciiTheme="minorHAnsi" w:hAnsiTheme="minorHAnsi" w:cstheme="minorHAnsi"/>
                <w:sz w:val="20"/>
                <w:szCs w:val="20"/>
              </w:rPr>
              <w:t xml:space="preserve"> public website</w:t>
            </w:r>
            <w:r>
              <w:rPr>
                <w:rFonts w:asciiTheme="minorHAnsi" w:hAnsiTheme="minorHAnsi" w:cstheme="minorHAnsi"/>
                <w:sz w:val="20"/>
                <w:szCs w:val="20"/>
              </w:rPr>
              <w:t>s of BT, SIB, and STB</w:t>
            </w:r>
            <w:r w:rsidRPr="00D1408C">
              <w:rPr>
                <w:rFonts w:asciiTheme="minorHAnsi" w:hAnsiTheme="minorHAnsi" w:cstheme="minorHAnsi"/>
                <w:sz w:val="20"/>
                <w:szCs w:val="20"/>
              </w:rPr>
              <w:t xml:space="preserve"> to post the information on procurement complaints handling</w:t>
            </w:r>
          </w:p>
        </w:tc>
        <w:tc>
          <w:tcPr>
            <w:tcW w:w="691" w:type="pct"/>
            <w:shd w:val="clear" w:color="auto" w:fill="auto"/>
          </w:tcPr>
          <w:p w14:paraId="6F6B8568" w14:textId="47B73551" w:rsidR="002E012B" w:rsidRPr="00D1408C" w:rsidRDefault="002E012B" w:rsidP="002E012B">
            <w:pPr>
              <w:pStyle w:val="Normal314"/>
              <w:jc w:val="both"/>
              <w:rPr>
                <w:rFonts w:asciiTheme="minorHAnsi" w:hAnsiTheme="minorHAnsi" w:cstheme="minorHAnsi"/>
                <w:sz w:val="20"/>
                <w:szCs w:val="20"/>
              </w:rPr>
            </w:pPr>
            <w:r w:rsidRPr="00D1408C">
              <w:rPr>
                <w:rFonts w:asciiTheme="minorHAnsi" w:hAnsiTheme="minorHAnsi" w:cstheme="minorHAnsi"/>
                <w:sz w:val="20"/>
                <w:szCs w:val="20"/>
              </w:rPr>
              <w:t>BT</w:t>
            </w:r>
          </w:p>
        </w:tc>
        <w:tc>
          <w:tcPr>
            <w:tcW w:w="566" w:type="pct"/>
            <w:shd w:val="clear" w:color="auto" w:fill="auto"/>
          </w:tcPr>
          <w:p w14:paraId="45C5D78B" w14:textId="77777777" w:rsidR="002E012B" w:rsidRPr="00D1408C" w:rsidRDefault="002E012B" w:rsidP="002E012B">
            <w:pPr>
              <w:pStyle w:val="Normal314"/>
              <w:rPr>
                <w:rFonts w:asciiTheme="minorHAnsi" w:hAnsiTheme="minorHAnsi" w:cstheme="minorHAnsi"/>
                <w:bCs/>
                <w:color w:val="auto"/>
                <w:sz w:val="20"/>
                <w:szCs w:val="20"/>
              </w:rPr>
            </w:pPr>
            <w:r w:rsidRPr="00D1408C">
              <w:rPr>
                <w:rFonts w:asciiTheme="minorHAnsi" w:hAnsiTheme="minorHAnsi" w:cstheme="minorHAnsi"/>
                <w:sz w:val="20"/>
                <w:szCs w:val="20"/>
              </w:rPr>
              <w:t xml:space="preserve">Created by December 30, </w:t>
            </w:r>
            <w:proofErr w:type="gramStart"/>
            <w:r w:rsidRPr="00D1408C">
              <w:rPr>
                <w:rFonts w:asciiTheme="minorHAnsi" w:hAnsiTheme="minorHAnsi" w:cstheme="minorHAnsi"/>
                <w:sz w:val="20"/>
                <w:szCs w:val="20"/>
              </w:rPr>
              <w:t>2020</w:t>
            </w:r>
            <w:proofErr w:type="gramEnd"/>
            <w:r w:rsidRPr="00D1408C">
              <w:rPr>
                <w:rFonts w:asciiTheme="minorHAnsi" w:hAnsiTheme="minorHAnsi" w:cstheme="minorHAnsi"/>
                <w:sz w:val="20"/>
                <w:szCs w:val="20"/>
              </w:rPr>
              <w:t xml:space="preserve"> and maintained continuously during Program implementation</w:t>
            </w:r>
          </w:p>
        </w:tc>
        <w:tc>
          <w:tcPr>
            <w:tcW w:w="503" w:type="pct"/>
          </w:tcPr>
          <w:p w14:paraId="1FF5584E" w14:textId="1DED15FE" w:rsidR="002E012B" w:rsidRPr="00D1408C" w:rsidRDefault="002E012B" w:rsidP="002E012B">
            <w:pPr>
              <w:pStyle w:val="Normal314"/>
              <w:rPr>
                <w:rFonts w:asciiTheme="minorHAnsi" w:hAnsiTheme="minorHAnsi" w:cstheme="minorHAnsi"/>
                <w:sz w:val="20"/>
                <w:szCs w:val="20"/>
              </w:rPr>
            </w:pPr>
            <w:r>
              <w:rPr>
                <w:rFonts w:asciiTheme="minorHAnsi" w:hAnsiTheme="minorHAnsi" w:cstheme="minorHAnsi"/>
                <w:sz w:val="20"/>
                <w:szCs w:val="20"/>
              </w:rPr>
              <w:t>-</w:t>
            </w:r>
          </w:p>
        </w:tc>
        <w:tc>
          <w:tcPr>
            <w:tcW w:w="440" w:type="pct"/>
          </w:tcPr>
          <w:p w14:paraId="13887707" w14:textId="15E0B5D4" w:rsidR="002E012B" w:rsidRPr="00D1408C" w:rsidRDefault="002E012B" w:rsidP="002E012B">
            <w:pPr>
              <w:pStyle w:val="Normal314"/>
              <w:rPr>
                <w:rFonts w:asciiTheme="minorHAnsi" w:hAnsiTheme="minorHAnsi" w:cstheme="minorHAnsi"/>
                <w:sz w:val="20"/>
                <w:szCs w:val="20"/>
              </w:rPr>
            </w:pPr>
            <w:r>
              <w:rPr>
                <w:rFonts w:asciiTheme="minorHAnsi" w:hAnsiTheme="minorHAnsi" w:cstheme="minorHAnsi"/>
                <w:sz w:val="20"/>
                <w:szCs w:val="20"/>
              </w:rPr>
              <w:t>Completed</w:t>
            </w:r>
          </w:p>
        </w:tc>
      </w:tr>
      <w:tr w:rsidR="002E012B" w:rsidRPr="00D1408C" w14:paraId="50206F40" w14:textId="754B02E2" w:rsidTr="002B0E2E">
        <w:trPr>
          <w:trHeight w:val="242"/>
        </w:trPr>
        <w:tc>
          <w:tcPr>
            <w:tcW w:w="845" w:type="pct"/>
            <w:shd w:val="clear" w:color="auto" w:fill="auto"/>
          </w:tcPr>
          <w:p w14:paraId="34BF767F" w14:textId="77777777" w:rsidR="002E012B" w:rsidRPr="00D1408C" w:rsidRDefault="002E012B" w:rsidP="002E012B">
            <w:pPr>
              <w:pStyle w:val="Normal314"/>
              <w:rPr>
                <w:rFonts w:asciiTheme="minorHAnsi" w:hAnsiTheme="minorHAnsi" w:cstheme="minorHAnsi"/>
                <w:bCs/>
                <w:color w:val="auto"/>
                <w:sz w:val="20"/>
                <w:szCs w:val="20"/>
              </w:rPr>
            </w:pPr>
            <w:r w:rsidRPr="00D1408C">
              <w:rPr>
                <w:rFonts w:asciiTheme="minorHAnsi" w:hAnsiTheme="minorHAnsi" w:cstheme="minorHAnsi"/>
                <w:bCs/>
                <w:color w:val="auto"/>
                <w:sz w:val="20"/>
                <w:szCs w:val="20"/>
              </w:rPr>
              <w:t>Competitive procurement of critical services required for successful implementation of the Program</w:t>
            </w:r>
          </w:p>
        </w:tc>
        <w:tc>
          <w:tcPr>
            <w:tcW w:w="1123" w:type="pct"/>
            <w:shd w:val="clear" w:color="auto" w:fill="auto"/>
          </w:tcPr>
          <w:p w14:paraId="3031B590" w14:textId="77777777" w:rsidR="002E012B" w:rsidRPr="00D1408C" w:rsidRDefault="002E012B" w:rsidP="002E012B">
            <w:pPr>
              <w:pStyle w:val="Normal314"/>
              <w:rPr>
                <w:rFonts w:asciiTheme="minorHAnsi" w:hAnsiTheme="minorHAnsi" w:cstheme="minorHAnsi"/>
                <w:sz w:val="20"/>
                <w:szCs w:val="20"/>
              </w:rPr>
            </w:pPr>
            <w:r w:rsidRPr="00D1408C">
              <w:rPr>
                <w:rFonts w:asciiTheme="minorHAnsi" w:hAnsiTheme="minorHAnsi" w:cstheme="minorHAnsi"/>
                <w:sz w:val="20"/>
                <w:szCs w:val="20"/>
              </w:rPr>
              <w:t>Outsourcing critical specialized services, such as capacity development support, Independent Verification Agent (IVA) and audit to the market on a competitive basis</w:t>
            </w:r>
          </w:p>
        </w:tc>
        <w:tc>
          <w:tcPr>
            <w:tcW w:w="831" w:type="pct"/>
          </w:tcPr>
          <w:p w14:paraId="5CE0C600" w14:textId="77777777" w:rsidR="002E012B" w:rsidRPr="00D1408C" w:rsidRDefault="002E012B" w:rsidP="002E012B">
            <w:pPr>
              <w:pStyle w:val="Normal314"/>
              <w:jc w:val="both"/>
              <w:rPr>
                <w:rFonts w:asciiTheme="minorHAnsi" w:hAnsiTheme="minorHAnsi" w:cstheme="minorHAnsi"/>
                <w:sz w:val="20"/>
                <w:szCs w:val="20"/>
              </w:rPr>
            </w:pPr>
          </w:p>
        </w:tc>
        <w:tc>
          <w:tcPr>
            <w:tcW w:w="691" w:type="pct"/>
            <w:shd w:val="clear" w:color="auto" w:fill="auto"/>
          </w:tcPr>
          <w:p w14:paraId="7E0F1D77" w14:textId="4522A355" w:rsidR="002E012B" w:rsidRPr="00D1408C" w:rsidRDefault="002E012B" w:rsidP="002E012B">
            <w:pPr>
              <w:pStyle w:val="Normal314"/>
              <w:jc w:val="both"/>
              <w:rPr>
                <w:rFonts w:asciiTheme="minorHAnsi" w:hAnsiTheme="minorHAnsi" w:cstheme="minorHAnsi"/>
                <w:sz w:val="20"/>
                <w:szCs w:val="20"/>
              </w:rPr>
            </w:pPr>
            <w:r w:rsidRPr="00D1408C">
              <w:rPr>
                <w:rFonts w:asciiTheme="minorHAnsi" w:hAnsiTheme="minorHAnsi" w:cstheme="minorHAnsi"/>
                <w:sz w:val="20"/>
                <w:szCs w:val="20"/>
              </w:rPr>
              <w:t>BT</w:t>
            </w:r>
          </w:p>
        </w:tc>
        <w:tc>
          <w:tcPr>
            <w:tcW w:w="566" w:type="pct"/>
            <w:shd w:val="clear" w:color="auto" w:fill="auto"/>
          </w:tcPr>
          <w:p w14:paraId="4DBFBF73" w14:textId="77777777" w:rsidR="002E012B" w:rsidRPr="00D1408C" w:rsidRDefault="002E012B" w:rsidP="002E012B">
            <w:pPr>
              <w:pStyle w:val="Normal314"/>
              <w:rPr>
                <w:rFonts w:asciiTheme="minorHAnsi" w:hAnsiTheme="minorHAnsi" w:cstheme="minorHAnsi"/>
                <w:bCs/>
                <w:color w:val="auto"/>
                <w:sz w:val="20"/>
                <w:szCs w:val="20"/>
              </w:rPr>
            </w:pPr>
            <w:r w:rsidRPr="00D1408C">
              <w:rPr>
                <w:rFonts w:asciiTheme="minorHAnsi" w:hAnsiTheme="minorHAnsi" w:cstheme="minorHAnsi"/>
                <w:sz w:val="20"/>
                <w:szCs w:val="20"/>
              </w:rPr>
              <w:t>Continuous during Program implementation</w:t>
            </w:r>
          </w:p>
        </w:tc>
        <w:tc>
          <w:tcPr>
            <w:tcW w:w="503" w:type="pct"/>
          </w:tcPr>
          <w:p w14:paraId="78619209" w14:textId="6EF09DBA" w:rsidR="002E012B" w:rsidRPr="00D1408C" w:rsidRDefault="002E012B" w:rsidP="002E012B">
            <w:pPr>
              <w:pStyle w:val="Normal314"/>
              <w:rPr>
                <w:rFonts w:asciiTheme="minorHAnsi" w:hAnsiTheme="minorHAnsi" w:cstheme="minorHAnsi"/>
                <w:sz w:val="20"/>
                <w:szCs w:val="20"/>
              </w:rPr>
            </w:pPr>
            <w:r>
              <w:rPr>
                <w:rFonts w:asciiTheme="minorHAnsi" w:hAnsiTheme="minorHAnsi" w:cstheme="minorHAnsi"/>
                <w:sz w:val="20"/>
                <w:szCs w:val="20"/>
              </w:rPr>
              <w:t>-</w:t>
            </w:r>
          </w:p>
        </w:tc>
        <w:tc>
          <w:tcPr>
            <w:tcW w:w="440" w:type="pct"/>
          </w:tcPr>
          <w:p w14:paraId="59BA92E8" w14:textId="2053DF3A" w:rsidR="002E012B" w:rsidRPr="00D1408C" w:rsidRDefault="002E012B" w:rsidP="002E012B">
            <w:pPr>
              <w:pStyle w:val="Normal314"/>
              <w:rPr>
                <w:rFonts w:asciiTheme="minorHAnsi" w:hAnsiTheme="minorHAnsi" w:cstheme="minorHAnsi"/>
                <w:sz w:val="20"/>
                <w:szCs w:val="20"/>
              </w:rPr>
            </w:pPr>
            <w:r>
              <w:rPr>
                <w:rFonts w:asciiTheme="minorHAnsi" w:hAnsiTheme="minorHAnsi" w:cstheme="minorHAnsi"/>
                <w:sz w:val="20"/>
                <w:szCs w:val="20"/>
              </w:rPr>
              <w:t>No consultancy services selected yet</w:t>
            </w:r>
          </w:p>
        </w:tc>
      </w:tr>
      <w:tr w:rsidR="002E012B" w:rsidRPr="00D1408C" w14:paraId="483CA621" w14:textId="65A2C364" w:rsidTr="002B0E2E">
        <w:trPr>
          <w:trHeight w:val="242"/>
        </w:trPr>
        <w:tc>
          <w:tcPr>
            <w:tcW w:w="845" w:type="pct"/>
            <w:shd w:val="clear" w:color="auto" w:fill="D9D9D9" w:themeFill="background1" w:themeFillShade="D9"/>
          </w:tcPr>
          <w:p w14:paraId="0758C73D" w14:textId="77777777" w:rsidR="002E012B" w:rsidRPr="00D1408C" w:rsidRDefault="002E012B" w:rsidP="002E012B">
            <w:pPr>
              <w:pStyle w:val="Normal314"/>
              <w:rPr>
                <w:rFonts w:asciiTheme="minorHAnsi" w:hAnsiTheme="minorHAnsi" w:cstheme="minorHAnsi"/>
                <w:b/>
                <w:bCs/>
                <w:color w:val="auto"/>
                <w:sz w:val="20"/>
                <w:szCs w:val="20"/>
              </w:rPr>
            </w:pPr>
            <w:r w:rsidRPr="00D1408C">
              <w:rPr>
                <w:rFonts w:asciiTheme="minorHAnsi" w:hAnsiTheme="minorHAnsi" w:cstheme="minorHAnsi"/>
                <w:b/>
                <w:bCs/>
                <w:color w:val="auto"/>
                <w:sz w:val="20"/>
                <w:szCs w:val="20"/>
              </w:rPr>
              <w:t>Environmental</w:t>
            </w:r>
          </w:p>
        </w:tc>
        <w:tc>
          <w:tcPr>
            <w:tcW w:w="1123" w:type="pct"/>
            <w:shd w:val="clear" w:color="auto" w:fill="D9D9D9" w:themeFill="background1" w:themeFillShade="D9"/>
          </w:tcPr>
          <w:p w14:paraId="73E03298" w14:textId="77777777" w:rsidR="002E012B" w:rsidRPr="00D1408C" w:rsidRDefault="002E012B" w:rsidP="002E012B">
            <w:pPr>
              <w:pStyle w:val="Normal314"/>
              <w:rPr>
                <w:rFonts w:asciiTheme="minorHAnsi" w:hAnsiTheme="minorHAnsi" w:cstheme="minorHAnsi"/>
                <w:b/>
                <w:sz w:val="20"/>
                <w:szCs w:val="20"/>
              </w:rPr>
            </w:pPr>
          </w:p>
        </w:tc>
        <w:tc>
          <w:tcPr>
            <w:tcW w:w="831" w:type="pct"/>
            <w:shd w:val="clear" w:color="auto" w:fill="D9D9D9" w:themeFill="background1" w:themeFillShade="D9"/>
          </w:tcPr>
          <w:p w14:paraId="702A4F9A" w14:textId="77777777" w:rsidR="002E012B" w:rsidRPr="00D1408C" w:rsidRDefault="002E012B" w:rsidP="002E012B">
            <w:pPr>
              <w:pStyle w:val="Normal314"/>
              <w:jc w:val="both"/>
              <w:rPr>
                <w:rFonts w:asciiTheme="minorHAnsi" w:hAnsiTheme="minorHAnsi" w:cstheme="minorHAnsi"/>
                <w:b/>
                <w:sz w:val="20"/>
                <w:szCs w:val="20"/>
              </w:rPr>
            </w:pPr>
          </w:p>
        </w:tc>
        <w:tc>
          <w:tcPr>
            <w:tcW w:w="691" w:type="pct"/>
            <w:shd w:val="clear" w:color="auto" w:fill="D9D9D9" w:themeFill="background1" w:themeFillShade="D9"/>
          </w:tcPr>
          <w:p w14:paraId="7B01DD56" w14:textId="3618CAD6" w:rsidR="002E012B" w:rsidRPr="00D1408C" w:rsidRDefault="002E012B" w:rsidP="002E012B">
            <w:pPr>
              <w:pStyle w:val="Normal314"/>
              <w:jc w:val="both"/>
              <w:rPr>
                <w:rFonts w:asciiTheme="minorHAnsi" w:hAnsiTheme="minorHAnsi" w:cstheme="minorHAnsi"/>
                <w:b/>
                <w:sz w:val="20"/>
                <w:szCs w:val="20"/>
              </w:rPr>
            </w:pPr>
          </w:p>
        </w:tc>
        <w:tc>
          <w:tcPr>
            <w:tcW w:w="566" w:type="pct"/>
            <w:shd w:val="clear" w:color="auto" w:fill="D9D9D9" w:themeFill="background1" w:themeFillShade="D9"/>
          </w:tcPr>
          <w:p w14:paraId="2377DBEC" w14:textId="77777777" w:rsidR="002E012B" w:rsidRPr="00D1408C" w:rsidRDefault="002E012B" w:rsidP="002E012B">
            <w:pPr>
              <w:pStyle w:val="Normal314"/>
              <w:rPr>
                <w:rFonts w:asciiTheme="minorHAnsi" w:hAnsiTheme="minorHAnsi" w:cstheme="minorHAnsi"/>
                <w:b/>
                <w:bCs/>
                <w:color w:val="auto"/>
                <w:sz w:val="20"/>
                <w:szCs w:val="20"/>
              </w:rPr>
            </w:pPr>
          </w:p>
        </w:tc>
        <w:tc>
          <w:tcPr>
            <w:tcW w:w="503" w:type="pct"/>
            <w:shd w:val="clear" w:color="auto" w:fill="D9D9D9" w:themeFill="background1" w:themeFillShade="D9"/>
          </w:tcPr>
          <w:p w14:paraId="09EB81FC" w14:textId="77777777" w:rsidR="002E012B" w:rsidRPr="00D1408C" w:rsidRDefault="002E012B" w:rsidP="002E012B">
            <w:pPr>
              <w:pStyle w:val="Normal314"/>
              <w:rPr>
                <w:rFonts w:asciiTheme="minorHAnsi" w:hAnsiTheme="minorHAnsi" w:cstheme="minorHAnsi"/>
                <w:b/>
                <w:bCs/>
                <w:color w:val="auto"/>
                <w:sz w:val="20"/>
                <w:szCs w:val="20"/>
              </w:rPr>
            </w:pPr>
          </w:p>
        </w:tc>
        <w:tc>
          <w:tcPr>
            <w:tcW w:w="440" w:type="pct"/>
            <w:shd w:val="clear" w:color="auto" w:fill="D9D9D9" w:themeFill="background1" w:themeFillShade="D9"/>
          </w:tcPr>
          <w:p w14:paraId="302ECFDC" w14:textId="522C55FC" w:rsidR="002E012B" w:rsidRPr="00D1408C" w:rsidRDefault="002E012B" w:rsidP="002E012B">
            <w:pPr>
              <w:pStyle w:val="Normal314"/>
              <w:rPr>
                <w:rFonts w:asciiTheme="minorHAnsi" w:hAnsiTheme="minorHAnsi" w:cstheme="minorHAnsi"/>
                <w:b/>
                <w:bCs/>
                <w:color w:val="auto"/>
                <w:sz w:val="20"/>
                <w:szCs w:val="20"/>
              </w:rPr>
            </w:pPr>
          </w:p>
        </w:tc>
      </w:tr>
      <w:tr w:rsidR="002E012B" w:rsidRPr="00D1408C" w14:paraId="29A6439D" w14:textId="0EE9006B" w:rsidTr="002B0E2E">
        <w:trPr>
          <w:trHeight w:val="532"/>
        </w:trPr>
        <w:tc>
          <w:tcPr>
            <w:tcW w:w="845" w:type="pct"/>
            <w:shd w:val="clear" w:color="auto" w:fill="auto"/>
          </w:tcPr>
          <w:p w14:paraId="59BE1F12" w14:textId="77777777" w:rsidR="002E012B" w:rsidRPr="00D1408C" w:rsidRDefault="002E012B" w:rsidP="002E012B">
            <w:pPr>
              <w:pStyle w:val="Normal314"/>
              <w:rPr>
                <w:rFonts w:asciiTheme="minorHAnsi" w:hAnsiTheme="minorHAnsi" w:cstheme="minorHAnsi"/>
                <w:color w:val="auto"/>
                <w:sz w:val="20"/>
                <w:szCs w:val="20"/>
              </w:rPr>
            </w:pPr>
            <w:r w:rsidRPr="00D1408C">
              <w:rPr>
                <w:rFonts w:asciiTheme="minorHAnsi" w:hAnsiTheme="minorHAnsi" w:cstheme="minorHAnsi"/>
                <w:bCs/>
                <w:color w:val="auto"/>
                <w:sz w:val="20"/>
                <w:szCs w:val="20"/>
              </w:rPr>
              <w:t>Gaps in environmental management policies and guidelines, including on PCB-containing oils</w:t>
            </w:r>
          </w:p>
        </w:tc>
        <w:tc>
          <w:tcPr>
            <w:tcW w:w="1123" w:type="pct"/>
            <w:shd w:val="clear" w:color="auto" w:fill="auto"/>
          </w:tcPr>
          <w:p w14:paraId="6DBAE2A2" w14:textId="62F1CA6D" w:rsidR="002E012B" w:rsidRPr="00D1408C" w:rsidRDefault="002E012B" w:rsidP="002E012B">
            <w:pPr>
              <w:pStyle w:val="Normal314"/>
              <w:rPr>
                <w:rFonts w:asciiTheme="minorHAnsi" w:hAnsiTheme="minorHAnsi" w:cstheme="minorHAnsi"/>
                <w:sz w:val="20"/>
                <w:szCs w:val="20"/>
              </w:rPr>
            </w:pPr>
            <w:r w:rsidRPr="00D1408C">
              <w:rPr>
                <w:rFonts w:asciiTheme="minorHAnsi" w:hAnsiTheme="minorHAnsi" w:cstheme="minorHAnsi"/>
                <w:sz w:val="20"/>
                <w:szCs w:val="20"/>
              </w:rPr>
              <w:t>Develop corporate environmental policy and key guidelines, regulations and norms for BT</w:t>
            </w:r>
            <w:r w:rsidR="0089128F">
              <w:rPr>
                <w:rFonts w:asciiTheme="minorHAnsi" w:hAnsiTheme="minorHAnsi" w:cstheme="minorHAnsi"/>
                <w:sz w:val="20"/>
                <w:szCs w:val="20"/>
              </w:rPr>
              <w:t>, SIB, and STB</w:t>
            </w:r>
            <w:r w:rsidRPr="00D1408C">
              <w:rPr>
                <w:rFonts w:asciiTheme="minorHAnsi" w:hAnsiTheme="minorHAnsi" w:cstheme="minorHAnsi"/>
                <w:sz w:val="20"/>
                <w:szCs w:val="20"/>
              </w:rPr>
              <w:t xml:space="preserve"> to facilitate adequate environmental performance in implementing rehabilitation, replacement, and upgrade of key assets.</w:t>
            </w:r>
          </w:p>
        </w:tc>
        <w:tc>
          <w:tcPr>
            <w:tcW w:w="831" w:type="pct"/>
          </w:tcPr>
          <w:p w14:paraId="0EEAA2FD" w14:textId="1791C2DA" w:rsidR="002E012B" w:rsidRPr="00D1408C" w:rsidRDefault="002E012B" w:rsidP="002E012B">
            <w:pPr>
              <w:pStyle w:val="Normal314"/>
              <w:jc w:val="both"/>
              <w:rPr>
                <w:rFonts w:asciiTheme="minorHAnsi" w:hAnsiTheme="minorHAnsi" w:cstheme="minorHAnsi"/>
                <w:sz w:val="20"/>
                <w:szCs w:val="20"/>
              </w:rPr>
            </w:pPr>
            <w:r>
              <w:rPr>
                <w:rFonts w:asciiTheme="minorHAnsi" w:hAnsiTheme="minorHAnsi" w:cstheme="minorHAnsi"/>
                <w:sz w:val="20"/>
                <w:szCs w:val="20"/>
              </w:rPr>
              <w:t>-</w:t>
            </w:r>
          </w:p>
        </w:tc>
        <w:tc>
          <w:tcPr>
            <w:tcW w:w="691" w:type="pct"/>
            <w:shd w:val="clear" w:color="auto" w:fill="auto"/>
          </w:tcPr>
          <w:p w14:paraId="35954CAD" w14:textId="223CBB50" w:rsidR="002E012B" w:rsidRPr="00D1408C" w:rsidRDefault="002E012B" w:rsidP="002E012B">
            <w:pPr>
              <w:pStyle w:val="Normal314"/>
              <w:rPr>
                <w:rFonts w:asciiTheme="minorHAnsi" w:hAnsiTheme="minorHAnsi" w:cstheme="minorHAnsi"/>
                <w:bCs/>
                <w:color w:val="auto"/>
                <w:sz w:val="20"/>
                <w:szCs w:val="20"/>
              </w:rPr>
            </w:pPr>
            <w:r w:rsidRPr="00D1408C">
              <w:rPr>
                <w:rFonts w:asciiTheme="minorHAnsi" w:hAnsiTheme="minorHAnsi" w:cstheme="minorHAnsi"/>
                <w:sz w:val="20"/>
                <w:szCs w:val="20"/>
              </w:rPr>
              <w:t>BT with the assistance of Energy Sector Project Management Unit (ESPMU)</w:t>
            </w:r>
          </w:p>
        </w:tc>
        <w:tc>
          <w:tcPr>
            <w:tcW w:w="566" w:type="pct"/>
            <w:shd w:val="clear" w:color="auto" w:fill="auto"/>
          </w:tcPr>
          <w:p w14:paraId="3569747A" w14:textId="77777777" w:rsidR="002E012B" w:rsidRPr="00D1408C" w:rsidRDefault="002E012B" w:rsidP="002E012B">
            <w:pPr>
              <w:pStyle w:val="Normal314"/>
              <w:rPr>
                <w:rFonts w:asciiTheme="minorHAnsi" w:hAnsiTheme="minorHAnsi" w:cstheme="minorHAnsi"/>
                <w:color w:val="auto"/>
                <w:sz w:val="20"/>
                <w:szCs w:val="20"/>
              </w:rPr>
            </w:pPr>
            <w:r w:rsidRPr="00D1408C">
              <w:rPr>
                <w:rFonts w:asciiTheme="minorHAnsi" w:hAnsiTheme="minorHAnsi" w:cstheme="minorHAnsi"/>
                <w:bCs/>
                <w:color w:val="auto"/>
                <w:sz w:val="20"/>
                <w:szCs w:val="20"/>
              </w:rPr>
              <w:t>Oct. 30, 2020</w:t>
            </w:r>
          </w:p>
        </w:tc>
        <w:tc>
          <w:tcPr>
            <w:tcW w:w="503" w:type="pct"/>
          </w:tcPr>
          <w:p w14:paraId="641ABA5B" w14:textId="32587351" w:rsidR="002E012B" w:rsidRPr="00D1408C" w:rsidRDefault="002E012B" w:rsidP="002E012B">
            <w:pPr>
              <w:pStyle w:val="Normal314"/>
              <w:rPr>
                <w:rFonts w:asciiTheme="minorHAnsi" w:hAnsiTheme="minorHAnsi" w:cstheme="minorHAnsi"/>
                <w:bCs/>
                <w:color w:val="auto"/>
                <w:sz w:val="20"/>
                <w:szCs w:val="20"/>
              </w:rPr>
            </w:pPr>
            <w:r>
              <w:rPr>
                <w:rFonts w:asciiTheme="minorHAnsi" w:hAnsiTheme="minorHAnsi" w:cstheme="minorHAnsi"/>
                <w:bCs/>
                <w:color w:val="auto"/>
                <w:sz w:val="20"/>
                <w:szCs w:val="20"/>
              </w:rPr>
              <w:t>-</w:t>
            </w:r>
          </w:p>
        </w:tc>
        <w:tc>
          <w:tcPr>
            <w:tcW w:w="440" w:type="pct"/>
          </w:tcPr>
          <w:p w14:paraId="1BC1C604" w14:textId="05F1DA80" w:rsidR="002E012B" w:rsidRPr="00D1408C" w:rsidRDefault="002E012B" w:rsidP="002E012B">
            <w:pPr>
              <w:pStyle w:val="Normal314"/>
              <w:rPr>
                <w:rFonts w:asciiTheme="minorHAnsi" w:hAnsiTheme="minorHAnsi" w:cstheme="minorHAnsi"/>
                <w:bCs/>
                <w:color w:val="auto"/>
                <w:sz w:val="20"/>
                <w:szCs w:val="20"/>
              </w:rPr>
            </w:pPr>
            <w:r>
              <w:rPr>
                <w:rFonts w:asciiTheme="minorHAnsi" w:hAnsiTheme="minorHAnsi" w:cstheme="minorHAnsi"/>
                <w:bCs/>
                <w:color w:val="auto"/>
                <w:sz w:val="20"/>
                <w:szCs w:val="20"/>
              </w:rPr>
              <w:t>Completed</w:t>
            </w:r>
          </w:p>
        </w:tc>
      </w:tr>
      <w:tr w:rsidR="002E012B" w:rsidRPr="00D1408C" w14:paraId="41A59E63" w14:textId="73D64351" w:rsidTr="002B0E2E">
        <w:trPr>
          <w:trHeight w:val="532"/>
        </w:trPr>
        <w:tc>
          <w:tcPr>
            <w:tcW w:w="845" w:type="pct"/>
            <w:shd w:val="clear" w:color="auto" w:fill="auto"/>
          </w:tcPr>
          <w:p w14:paraId="6A7CA8F6" w14:textId="77777777" w:rsidR="002E012B" w:rsidRPr="00D1408C" w:rsidRDefault="002E012B" w:rsidP="002E012B">
            <w:pPr>
              <w:pStyle w:val="Normal314"/>
              <w:rPr>
                <w:rFonts w:asciiTheme="minorHAnsi" w:hAnsiTheme="minorHAnsi" w:cstheme="minorHAnsi"/>
                <w:color w:val="auto"/>
                <w:sz w:val="20"/>
                <w:szCs w:val="20"/>
              </w:rPr>
            </w:pPr>
            <w:r w:rsidRPr="00D1408C">
              <w:rPr>
                <w:rFonts w:asciiTheme="minorHAnsi" w:hAnsiTheme="minorHAnsi" w:cstheme="minorHAnsi"/>
                <w:sz w:val="20"/>
                <w:szCs w:val="20"/>
              </w:rPr>
              <w:t>The only existing BT environmental specialist cannot ensure compliance of Program activities (due to large workload) with requirements of applicable environmental legislation and regulations</w:t>
            </w:r>
          </w:p>
        </w:tc>
        <w:tc>
          <w:tcPr>
            <w:tcW w:w="1123" w:type="pct"/>
            <w:shd w:val="clear" w:color="auto" w:fill="auto"/>
          </w:tcPr>
          <w:p w14:paraId="4B6AD7C8" w14:textId="7C33ADC2" w:rsidR="002E012B" w:rsidRPr="00D1408C" w:rsidRDefault="002E012B" w:rsidP="002E012B">
            <w:pPr>
              <w:pStyle w:val="Normal314"/>
              <w:rPr>
                <w:rFonts w:asciiTheme="minorHAnsi" w:hAnsiTheme="minorHAnsi" w:cstheme="minorHAnsi"/>
                <w:sz w:val="20"/>
                <w:szCs w:val="20"/>
              </w:rPr>
            </w:pPr>
            <w:r w:rsidRPr="00D1408C">
              <w:rPr>
                <w:rFonts w:asciiTheme="minorHAnsi" w:hAnsiTheme="minorHAnsi" w:cstheme="minorHAnsi"/>
                <w:sz w:val="20"/>
                <w:szCs w:val="20"/>
              </w:rPr>
              <w:t>Hire additional environmental specialists/consultants at BT</w:t>
            </w:r>
            <w:r w:rsidR="0089128F">
              <w:rPr>
                <w:rFonts w:asciiTheme="minorHAnsi" w:hAnsiTheme="minorHAnsi" w:cstheme="minorHAnsi"/>
                <w:sz w:val="20"/>
                <w:szCs w:val="20"/>
              </w:rPr>
              <w:t xml:space="preserve">, SIB, and STB to </w:t>
            </w:r>
            <w:r w:rsidRPr="00D1408C">
              <w:rPr>
                <w:rFonts w:asciiTheme="minorHAnsi" w:hAnsiTheme="minorHAnsi" w:cstheme="minorHAnsi"/>
                <w:sz w:val="20"/>
                <w:szCs w:val="20"/>
              </w:rPr>
              <w:t xml:space="preserve">ensure that the newly formed generation, </w:t>
            </w:r>
            <w:proofErr w:type="gramStart"/>
            <w:r w:rsidRPr="00D1408C">
              <w:rPr>
                <w:rFonts w:asciiTheme="minorHAnsi" w:hAnsiTheme="minorHAnsi" w:cstheme="minorHAnsi"/>
                <w:sz w:val="20"/>
                <w:szCs w:val="20"/>
              </w:rPr>
              <w:t>transmission</w:t>
            </w:r>
            <w:proofErr w:type="gramEnd"/>
            <w:r w:rsidRPr="00D1408C">
              <w:rPr>
                <w:rFonts w:asciiTheme="minorHAnsi" w:hAnsiTheme="minorHAnsi" w:cstheme="minorHAnsi"/>
                <w:sz w:val="20"/>
                <w:szCs w:val="20"/>
              </w:rPr>
              <w:t xml:space="preserve"> and distribution companies also have adequate in-house environmental capacity</w:t>
            </w:r>
          </w:p>
        </w:tc>
        <w:tc>
          <w:tcPr>
            <w:tcW w:w="831" w:type="pct"/>
          </w:tcPr>
          <w:p w14:paraId="4E71B932" w14:textId="433A7CB2" w:rsidR="002E012B" w:rsidRPr="00D1408C" w:rsidRDefault="002E012B" w:rsidP="002E012B">
            <w:pPr>
              <w:pStyle w:val="Normal314"/>
              <w:rPr>
                <w:rFonts w:asciiTheme="minorHAnsi" w:hAnsiTheme="minorHAnsi" w:cstheme="minorHAnsi"/>
                <w:sz w:val="20"/>
                <w:szCs w:val="20"/>
              </w:rPr>
            </w:pPr>
            <w:r>
              <w:rPr>
                <w:rFonts w:asciiTheme="minorHAnsi" w:hAnsiTheme="minorHAnsi" w:cstheme="minorHAnsi"/>
                <w:sz w:val="20"/>
                <w:szCs w:val="20"/>
              </w:rPr>
              <w:t>Retain the environmental specialist/consultant at BT for the duration of the Program; hire</w:t>
            </w:r>
            <w:r w:rsidR="0089128F">
              <w:rPr>
                <w:rFonts w:asciiTheme="minorHAnsi" w:hAnsiTheme="minorHAnsi" w:cstheme="minorHAnsi"/>
                <w:sz w:val="20"/>
                <w:szCs w:val="20"/>
              </w:rPr>
              <w:t xml:space="preserve"> and retain</w:t>
            </w:r>
            <w:r>
              <w:rPr>
                <w:rFonts w:asciiTheme="minorHAnsi" w:hAnsiTheme="minorHAnsi" w:cstheme="minorHAnsi"/>
                <w:sz w:val="20"/>
                <w:szCs w:val="20"/>
              </w:rPr>
              <w:t xml:space="preserve"> environmental specialists at SIB and STB</w:t>
            </w:r>
          </w:p>
        </w:tc>
        <w:tc>
          <w:tcPr>
            <w:tcW w:w="691" w:type="pct"/>
            <w:shd w:val="clear" w:color="auto" w:fill="auto"/>
          </w:tcPr>
          <w:p w14:paraId="5CE4FB81" w14:textId="48439CD7" w:rsidR="002E012B" w:rsidRPr="00D1408C" w:rsidRDefault="002E012B" w:rsidP="002E012B">
            <w:pPr>
              <w:pStyle w:val="Normal314"/>
              <w:rPr>
                <w:rFonts w:asciiTheme="minorHAnsi" w:hAnsiTheme="minorHAnsi" w:cstheme="minorHAnsi"/>
                <w:bCs/>
                <w:color w:val="auto"/>
                <w:sz w:val="20"/>
                <w:szCs w:val="20"/>
              </w:rPr>
            </w:pPr>
            <w:r w:rsidRPr="00D1408C">
              <w:rPr>
                <w:rFonts w:asciiTheme="minorHAnsi" w:hAnsiTheme="minorHAnsi" w:cstheme="minorHAnsi"/>
                <w:sz w:val="20"/>
                <w:szCs w:val="20"/>
              </w:rPr>
              <w:t>BT</w:t>
            </w:r>
            <w:r>
              <w:rPr>
                <w:rFonts w:asciiTheme="minorHAnsi" w:hAnsiTheme="minorHAnsi" w:cstheme="minorHAnsi"/>
                <w:sz w:val="20"/>
                <w:szCs w:val="20"/>
              </w:rPr>
              <w:t>, SIB, and STB</w:t>
            </w:r>
          </w:p>
        </w:tc>
        <w:tc>
          <w:tcPr>
            <w:tcW w:w="566" w:type="pct"/>
            <w:shd w:val="clear" w:color="auto" w:fill="auto"/>
          </w:tcPr>
          <w:p w14:paraId="031A2226" w14:textId="77777777" w:rsidR="002E012B" w:rsidRPr="00D1408C" w:rsidRDefault="002E012B" w:rsidP="002E012B">
            <w:pPr>
              <w:pStyle w:val="Normal314"/>
              <w:jc w:val="both"/>
              <w:rPr>
                <w:rFonts w:asciiTheme="minorHAnsi" w:hAnsiTheme="minorHAnsi" w:cstheme="minorHAnsi"/>
                <w:bCs/>
                <w:color w:val="auto"/>
                <w:sz w:val="20"/>
                <w:szCs w:val="20"/>
              </w:rPr>
            </w:pPr>
            <w:r w:rsidRPr="00D1408C">
              <w:rPr>
                <w:rFonts w:asciiTheme="minorHAnsi" w:hAnsiTheme="minorHAnsi" w:cstheme="minorHAnsi"/>
                <w:bCs/>
                <w:color w:val="auto"/>
                <w:sz w:val="20"/>
                <w:szCs w:val="20"/>
              </w:rPr>
              <w:t>Oct. 30, 2020</w:t>
            </w:r>
          </w:p>
          <w:p w14:paraId="1C9CAD00" w14:textId="77777777" w:rsidR="002E012B" w:rsidRPr="00D1408C" w:rsidRDefault="002E012B" w:rsidP="002E012B">
            <w:pPr>
              <w:pStyle w:val="Normal314"/>
              <w:rPr>
                <w:rFonts w:asciiTheme="minorHAnsi" w:hAnsiTheme="minorHAnsi" w:cstheme="minorHAnsi"/>
                <w:color w:val="auto"/>
                <w:sz w:val="20"/>
                <w:szCs w:val="20"/>
              </w:rPr>
            </w:pPr>
          </w:p>
        </w:tc>
        <w:tc>
          <w:tcPr>
            <w:tcW w:w="503" w:type="pct"/>
          </w:tcPr>
          <w:p w14:paraId="7D78B43B" w14:textId="3CCB9EAD" w:rsidR="002E012B" w:rsidRPr="00D1408C" w:rsidRDefault="002E012B" w:rsidP="002E012B">
            <w:pPr>
              <w:pStyle w:val="Normal314"/>
              <w:jc w:val="both"/>
              <w:rPr>
                <w:rFonts w:asciiTheme="minorHAnsi" w:hAnsiTheme="minorHAnsi" w:cstheme="minorHAnsi"/>
                <w:bCs/>
                <w:color w:val="auto"/>
                <w:sz w:val="20"/>
                <w:szCs w:val="20"/>
              </w:rPr>
            </w:pPr>
            <w:r>
              <w:rPr>
                <w:rFonts w:asciiTheme="minorHAnsi" w:hAnsiTheme="minorHAnsi" w:cstheme="minorHAnsi"/>
                <w:bCs/>
                <w:color w:val="auto"/>
                <w:sz w:val="20"/>
                <w:szCs w:val="20"/>
              </w:rPr>
              <w:t>Oct. 30, 2022</w:t>
            </w:r>
          </w:p>
        </w:tc>
        <w:tc>
          <w:tcPr>
            <w:tcW w:w="440" w:type="pct"/>
          </w:tcPr>
          <w:p w14:paraId="7DE17FA5" w14:textId="34BC5C50" w:rsidR="002E012B" w:rsidRPr="00D1408C" w:rsidRDefault="002E012B" w:rsidP="002E012B">
            <w:pPr>
              <w:pStyle w:val="Normal314"/>
              <w:jc w:val="both"/>
              <w:rPr>
                <w:rFonts w:asciiTheme="minorHAnsi" w:hAnsiTheme="minorHAnsi" w:cstheme="minorHAnsi"/>
                <w:bCs/>
                <w:color w:val="auto"/>
                <w:sz w:val="20"/>
                <w:szCs w:val="20"/>
              </w:rPr>
            </w:pPr>
            <w:r>
              <w:rPr>
                <w:rFonts w:asciiTheme="minorHAnsi" w:hAnsiTheme="minorHAnsi" w:cstheme="minorHAnsi"/>
                <w:bCs/>
                <w:color w:val="auto"/>
                <w:sz w:val="20"/>
                <w:szCs w:val="20"/>
              </w:rPr>
              <w:t>Partially completed</w:t>
            </w:r>
          </w:p>
        </w:tc>
      </w:tr>
      <w:tr w:rsidR="002E012B" w:rsidRPr="00D1408C" w14:paraId="47633974" w14:textId="4EEADBA5" w:rsidTr="002B0E2E">
        <w:trPr>
          <w:trHeight w:val="532"/>
        </w:trPr>
        <w:tc>
          <w:tcPr>
            <w:tcW w:w="845" w:type="pct"/>
            <w:shd w:val="clear" w:color="auto" w:fill="auto"/>
          </w:tcPr>
          <w:p w14:paraId="09BA0E17" w14:textId="77777777" w:rsidR="002E012B" w:rsidRPr="00D1408C" w:rsidRDefault="002E012B" w:rsidP="002E012B">
            <w:pPr>
              <w:pStyle w:val="Normal314"/>
              <w:rPr>
                <w:rFonts w:asciiTheme="minorHAnsi" w:hAnsiTheme="minorHAnsi" w:cstheme="minorHAnsi"/>
                <w:color w:val="auto"/>
                <w:sz w:val="20"/>
                <w:szCs w:val="20"/>
              </w:rPr>
            </w:pPr>
            <w:r w:rsidRPr="00D1408C">
              <w:rPr>
                <w:rFonts w:asciiTheme="minorHAnsi" w:hAnsiTheme="minorHAnsi" w:cstheme="minorHAnsi"/>
                <w:sz w:val="20"/>
                <w:szCs w:val="20"/>
              </w:rPr>
              <w:t xml:space="preserve">Lack of in-house environmental management capacity at BT generation, </w:t>
            </w:r>
            <w:r w:rsidRPr="00D1408C">
              <w:rPr>
                <w:rFonts w:asciiTheme="minorHAnsi" w:hAnsiTheme="minorHAnsi" w:cstheme="minorHAnsi"/>
                <w:sz w:val="20"/>
                <w:szCs w:val="20"/>
              </w:rPr>
              <w:lastRenderedPageBreak/>
              <w:t>transmission, and distribution companies, and limited knowledge among local contractors with the Committee of Environmental Protection (CEP) requirements</w:t>
            </w:r>
          </w:p>
        </w:tc>
        <w:tc>
          <w:tcPr>
            <w:tcW w:w="1123" w:type="pct"/>
            <w:shd w:val="clear" w:color="auto" w:fill="auto"/>
          </w:tcPr>
          <w:p w14:paraId="41BB3ED4" w14:textId="77777777" w:rsidR="002E012B" w:rsidRPr="00D1408C" w:rsidRDefault="002E012B" w:rsidP="002E012B">
            <w:pPr>
              <w:pStyle w:val="Normal314"/>
              <w:rPr>
                <w:rFonts w:asciiTheme="minorHAnsi" w:hAnsiTheme="minorHAnsi" w:cstheme="minorHAnsi"/>
                <w:sz w:val="20"/>
                <w:szCs w:val="20"/>
              </w:rPr>
            </w:pPr>
            <w:r w:rsidRPr="00D1408C">
              <w:rPr>
                <w:rFonts w:asciiTheme="minorHAnsi" w:hAnsiTheme="minorHAnsi" w:cstheme="minorHAnsi"/>
                <w:sz w:val="20"/>
                <w:szCs w:val="20"/>
              </w:rPr>
              <w:lastRenderedPageBreak/>
              <w:t xml:space="preserve">Develop relevant educational modules and organize regular trainings on environmental management for BT generation and </w:t>
            </w:r>
            <w:r w:rsidRPr="00D1408C">
              <w:rPr>
                <w:rFonts w:asciiTheme="minorHAnsi" w:hAnsiTheme="minorHAnsi" w:cstheme="minorHAnsi"/>
                <w:sz w:val="20"/>
                <w:szCs w:val="20"/>
              </w:rPr>
              <w:lastRenderedPageBreak/>
              <w:t>transmission companies, and for their contractors</w:t>
            </w:r>
          </w:p>
        </w:tc>
        <w:tc>
          <w:tcPr>
            <w:tcW w:w="831" w:type="pct"/>
          </w:tcPr>
          <w:p w14:paraId="0B37C757" w14:textId="60A0F8CF" w:rsidR="002E012B" w:rsidRPr="00D1408C" w:rsidRDefault="002E012B" w:rsidP="002E012B">
            <w:pPr>
              <w:pStyle w:val="Normal314"/>
              <w:rPr>
                <w:rFonts w:asciiTheme="minorHAnsi" w:hAnsiTheme="minorHAnsi" w:cstheme="minorHAnsi"/>
                <w:sz w:val="20"/>
                <w:szCs w:val="20"/>
              </w:rPr>
            </w:pPr>
            <w:r w:rsidRPr="00D1408C">
              <w:rPr>
                <w:rFonts w:asciiTheme="minorHAnsi" w:hAnsiTheme="minorHAnsi" w:cstheme="minorHAnsi"/>
                <w:sz w:val="20"/>
                <w:szCs w:val="20"/>
              </w:rPr>
              <w:lastRenderedPageBreak/>
              <w:t xml:space="preserve">Develop relevant educational modules and organize regular trainings on environmental </w:t>
            </w:r>
            <w:r w:rsidRPr="00D1408C">
              <w:rPr>
                <w:rFonts w:asciiTheme="minorHAnsi" w:hAnsiTheme="minorHAnsi" w:cstheme="minorHAnsi"/>
                <w:sz w:val="20"/>
                <w:szCs w:val="20"/>
              </w:rPr>
              <w:lastRenderedPageBreak/>
              <w:t>management for BT,</w:t>
            </w:r>
            <w:r>
              <w:rPr>
                <w:rFonts w:asciiTheme="minorHAnsi" w:hAnsiTheme="minorHAnsi" w:cstheme="minorHAnsi"/>
                <w:sz w:val="20"/>
                <w:szCs w:val="20"/>
              </w:rPr>
              <w:t xml:space="preserve"> SIB, STB</w:t>
            </w:r>
            <w:r w:rsidRPr="00D1408C">
              <w:rPr>
                <w:rFonts w:asciiTheme="minorHAnsi" w:hAnsiTheme="minorHAnsi" w:cstheme="minorHAnsi"/>
                <w:sz w:val="20"/>
                <w:szCs w:val="20"/>
              </w:rPr>
              <w:t xml:space="preserve"> and for their contractors</w:t>
            </w:r>
          </w:p>
        </w:tc>
        <w:tc>
          <w:tcPr>
            <w:tcW w:w="691" w:type="pct"/>
            <w:shd w:val="clear" w:color="auto" w:fill="auto"/>
          </w:tcPr>
          <w:p w14:paraId="476626E1" w14:textId="7BDA929F" w:rsidR="002E012B" w:rsidRPr="00D1408C" w:rsidRDefault="002E012B" w:rsidP="00CB0465">
            <w:pPr>
              <w:pStyle w:val="Normal314"/>
              <w:numPr>
                <w:ilvl w:val="0"/>
                <w:numId w:val="14"/>
              </w:numPr>
              <w:ind w:left="150" w:hanging="150"/>
              <w:rPr>
                <w:rFonts w:asciiTheme="minorHAnsi" w:hAnsiTheme="minorHAnsi" w:cstheme="minorHAnsi"/>
                <w:sz w:val="20"/>
                <w:szCs w:val="20"/>
              </w:rPr>
            </w:pPr>
            <w:r w:rsidRPr="00D1408C">
              <w:rPr>
                <w:rFonts w:asciiTheme="minorHAnsi" w:hAnsiTheme="minorHAnsi" w:cstheme="minorHAnsi"/>
                <w:sz w:val="20"/>
                <w:szCs w:val="20"/>
              </w:rPr>
              <w:lastRenderedPageBreak/>
              <w:t xml:space="preserve">Until Dec. 31, 2021: BT with the assistance of ESPMU and in </w:t>
            </w:r>
            <w:r w:rsidRPr="00D1408C">
              <w:rPr>
                <w:rFonts w:asciiTheme="minorHAnsi" w:hAnsiTheme="minorHAnsi" w:cstheme="minorHAnsi"/>
                <w:sz w:val="20"/>
                <w:szCs w:val="20"/>
              </w:rPr>
              <w:lastRenderedPageBreak/>
              <w:t>cooperation with CEP.</w:t>
            </w:r>
          </w:p>
          <w:p w14:paraId="34EE53BD" w14:textId="0DC063BC" w:rsidR="002E012B" w:rsidRPr="00D1408C" w:rsidRDefault="002E012B" w:rsidP="00CB0465">
            <w:pPr>
              <w:pStyle w:val="Normal314"/>
              <w:numPr>
                <w:ilvl w:val="0"/>
                <w:numId w:val="14"/>
              </w:numPr>
              <w:ind w:left="153" w:hanging="153"/>
              <w:rPr>
                <w:rFonts w:asciiTheme="minorHAnsi" w:hAnsiTheme="minorHAnsi" w:cstheme="minorHAnsi"/>
                <w:sz w:val="20"/>
                <w:szCs w:val="20"/>
              </w:rPr>
            </w:pPr>
            <w:r w:rsidRPr="00D1408C">
              <w:rPr>
                <w:rFonts w:asciiTheme="minorHAnsi" w:hAnsiTheme="minorHAnsi" w:cstheme="minorHAnsi"/>
                <w:bCs/>
                <w:color w:val="auto"/>
                <w:sz w:val="20"/>
                <w:szCs w:val="20"/>
              </w:rPr>
              <w:t xml:space="preserve">From Jan. 1, </w:t>
            </w:r>
            <w:proofErr w:type="gramStart"/>
            <w:r w:rsidRPr="00D1408C">
              <w:rPr>
                <w:rFonts w:asciiTheme="minorHAnsi" w:hAnsiTheme="minorHAnsi" w:cstheme="minorHAnsi"/>
                <w:bCs/>
                <w:color w:val="auto"/>
                <w:sz w:val="20"/>
                <w:szCs w:val="20"/>
              </w:rPr>
              <w:t>2022</w:t>
            </w:r>
            <w:proofErr w:type="gramEnd"/>
            <w:r w:rsidRPr="00D1408C">
              <w:rPr>
                <w:rFonts w:asciiTheme="minorHAnsi" w:hAnsiTheme="minorHAnsi" w:cstheme="minorHAnsi"/>
                <w:bCs/>
                <w:color w:val="auto"/>
                <w:sz w:val="20"/>
                <w:szCs w:val="20"/>
              </w:rPr>
              <w:t xml:space="preserve"> till Dec. 31, 20</w:t>
            </w:r>
            <w:r>
              <w:rPr>
                <w:rFonts w:asciiTheme="minorHAnsi" w:hAnsiTheme="minorHAnsi" w:cstheme="minorHAnsi"/>
                <w:bCs/>
                <w:color w:val="auto"/>
                <w:sz w:val="20"/>
                <w:szCs w:val="20"/>
              </w:rPr>
              <w:t>30</w:t>
            </w:r>
            <w:r w:rsidRPr="00D1408C">
              <w:rPr>
                <w:rFonts w:asciiTheme="minorHAnsi" w:hAnsiTheme="minorHAnsi" w:cstheme="minorHAnsi"/>
                <w:bCs/>
                <w:color w:val="auto"/>
                <w:sz w:val="20"/>
                <w:szCs w:val="20"/>
              </w:rPr>
              <w:t>: BT</w:t>
            </w:r>
            <w:r>
              <w:rPr>
                <w:rFonts w:asciiTheme="minorHAnsi" w:hAnsiTheme="minorHAnsi" w:cstheme="minorHAnsi"/>
                <w:bCs/>
                <w:color w:val="auto"/>
                <w:sz w:val="20"/>
                <w:szCs w:val="20"/>
              </w:rPr>
              <w:t xml:space="preserve">, SIB, STB </w:t>
            </w:r>
            <w:r w:rsidRPr="00D1408C">
              <w:rPr>
                <w:rFonts w:asciiTheme="minorHAnsi" w:hAnsiTheme="minorHAnsi" w:cstheme="minorHAnsi"/>
                <w:bCs/>
                <w:color w:val="auto"/>
                <w:sz w:val="20"/>
                <w:szCs w:val="20"/>
              </w:rPr>
              <w:t>in cooperation with CEP</w:t>
            </w:r>
          </w:p>
        </w:tc>
        <w:tc>
          <w:tcPr>
            <w:tcW w:w="566" w:type="pct"/>
            <w:shd w:val="clear" w:color="auto" w:fill="auto"/>
          </w:tcPr>
          <w:p w14:paraId="0584815B" w14:textId="77777777" w:rsidR="002E012B" w:rsidRPr="00D1408C" w:rsidRDefault="002E012B" w:rsidP="002E012B">
            <w:pPr>
              <w:pStyle w:val="Normal314"/>
              <w:rPr>
                <w:rFonts w:asciiTheme="minorHAnsi" w:hAnsiTheme="minorHAnsi" w:cstheme="minorHAnsi"/>
                <w:color w:val="auto"/>
                <w:sz w:val="20"/>
                <w:szCs w:val="20"/>
              </w:rPr>
            </w:pPr>
            <w:r w:rsidRPr="00D1408C">
              <w:rPr>
                <w:rFonts w:asciiTheme="minorHAnsi" w:hAnsiTheme="minorHAnsi" w:cstheme="minorHAnsi"/>
                <w:bCs/>
                <w:color w:val="auto"/>
                <w:sz w:val="20"/>
                <w:szCs w:val="20"/>
              </w:rPr>
              <w:lastRenderedPageBreak/>
              <w:t xml:space="preserve">Oct. 30, </w:t>
            </w:r>
            <w:proofErr w:type="gramStart"/>
            <w:r w:rsidRPr="00D1408C">
              <w:rPr>
                <w:rFonts w:asciiTheme="minorHAnsi" w:hAnsiTheme="minorHAnsi" w:cstheme="minorHAnsi"/>
                <w:bCs/>
                <w:color w:val="auto"/>
                <w:sz w:val="20"/>
                <w:szCs w:val="20"/>
              </w:rPr>
              <w:t>2020</w:t>
            </w:r>
            <w:proofErr w:type="gramEnd"/>
            <w:r w:rsidRPr="00D1408C">
              <w:rPr>
                <w:rFonts w:asciiTheme="minorHAnsi" w:hAnsiTheme="minorHAnsi" w:cstheme="minorHAnsi"/>
                <w:bCs/>
                <w:color w:val="auto"/>
                <w:sz w:val="20"/>
                <w:szCs w:val="20"/>
              </w:rPr>
              <w:t xml:space="preserve"> and once per year afterwards</w:t>
            </w:r>
          </w:p>
        </w:tc>
        <w:tc>
          <w:tcPr>
            <w:tcW w:w="503" w:type="pct"/>
          </w:tcPr>
          <w:p w14:paraId="1BD8B747" w14:textId="394A9D14" w:rsidR="002E012B" w:rsidRPr="00D1408C" w:rsidRDefault="002E012B" w:rsidP="002E012B">
            <w:pPr>
              <w:pStyle w:val="Normal314"/>
              <w:rPr>
                <w:rFonts w:asciiTheme="minorHAnsi" w:hAnsiTheme="minorHAnsi" w:cstheme="minorHAnsi"/>
                <w:bCs/>
                <w:color w:val="auto"/>
                <w:sz w:val="20"/>
                <w:szCs w:val="20"/>
              </w:rPr>
            </w:pPr>
            <w:r>
              <w:rPr>
                <w:rFonts w:asciiTheme="minorHAnsi" w:hAnsiTheme="minorHAnsi" w:cstheme="minorHAnsi"/>
                <w:bCs/>
                <w:color w:val="auto"/>
                <w:sz w:val="20"/>
                <w:szCs w:val="20"/>
              </w:rPr>
              <w:t>-</w:t>
            </w:r>
          </w:p>
        </w:tc>
        <w:tc>
          <w:tcPr>
            <w:tcW w:w="440" w:type="pct"/>
          </w:tcPr>
          <w:p w14:paraId="22F928C7" w14:textId="35D1E007" w:rsidR="002E012B" w:rsidRPr="00D1408C" w:rsidRDefault="002E012B" w:rsidP="002E012B">
            <w:pPr>
              <w:pStyle w:val="Normal314"/>
              <w:rPr>
                <w:rFonts w:asciiTheme="minorHAnsi" w:hAnsiTheme="minorHAnsi" w:cstheme="minorHAnsi"/>
                <w:bCs/>
                <w:color w:val="auto"/>
                <w:sz w:val="20"/>
                <w:szCs w:val="20"/>
              </w:rPr>
            </w:pPr>
            <w:r>
              <w:rPr>
                <w:rFonts w:asciiTheme="minorHAnsi" w:hAnsiTheme="minorHAnsi" w:cstheme="minorHAnsi"/>
                <w:bCs/>
                <w:color w:val="auto"/>
                <w:sz w:val="20"/>
                <w:szCs w:val="20"/>
              </w:rPr>
              <w:t xml:space="preserve">Development of educational modules is </w:t>
            </w:r>
            <w:r>
              <w:rPr>
                <w:rFonts w:asciiTheme="minorHAnsi" w:hAnsiTheme="minorHAnsi" w:cstheme="minorHAnsi"/>
                <w:bCs/>
                <w:color w:val="auto"/>
                <w:sz w:val="20"/>
                <w:szCs w:val="20"/>
              </w:rPr>
              <w:lastRenderedPageBreak/>
              <w:t>completed and one training session done</w:t>
            </w:r>
          </w:p>
        </w:tc>
      </w:tr>
      <w:tr w:rsidR="002E012B" w:rsidRPr="00D1408C" w14:paraId="7B7EF95F" w14:textId="4B9E19FB" w:rsidTr="002B0E2E">
        <w:trPr>
          <w:trHeight w:val="532"/>
        </w:trPr>
        <w:tc>
          <w:tcPr>
            <w:tcW w:w="845" w:type="pct"/>
            <w:shd w:val="clear" w:color="auto" w:fill="auto"/>
          </w:tcPr>
          <w:p w14:paraId="449FF63A" w14:textId="7CADA31D" w:rsidR="002E012B" w:rsidRPr="00D1408C" w:rsidRDefault="002E012B" w:rsidP="002E012B">
            <w:pPr>
              <w:pStyle w:val="Normal314"/>
              <w:rPr>
                <w:rFonts w:asciiTheme="minorHAnsi" w:hAnsiTheme="minorHAnsi" w:cstheme="minorHAnsi"/>
                <w:color w:val="auto"/>
                <w:sz w:val="20"/>
                <w:szCs w:val="20"/>
              </w:rPr>
            </w:pPr>
            <w:r w:rsidRPr="00D1408C">
              <w:rPr>
                <w:rFonts w:asciiTheme="minorHAnsi" w:hAnsiTheme="minorHAnsi" w:cstheme="minorHAnsi"/>
                <w:bCs/>
                <w:sz w:val="20"/>
                <w:szCs w:val="20"/>
              </w:rPr>
              <w:lastRenderedPageBreak/>
              <w:t>Inadequate reporting on compliance of self-financed infrastructure investment</w:t>
            </w:r>
            <w:r w:rsidR="00E26905">
              <w:rPr>
                <w:rFonts w:asciiTheme="minorHAnsi" w:hAnsiTheme="minorHAnsi" w:cstheme="minorHAnsi"/>
                <w:bCs/>
                <w:sz w:val="20"/>
                <w:szCs w:val="20"/>
              </w:rPr>
              <w:t xml:space="preserve"> </w:t>
            </w:r>
            <w:r w:rsidRPr="00D1408C">
              <w:rPr>
                <w:rFonts w:asciiTheme="minorHAnsi" w:hAnsiTheme="minorHAnsi" w:cstheme="minorHAnsi"/>
                <w:bCs/>
                <w:sz w:val="20"/>
                <w:szCs w:val="20"/>
              </w:rPr>
              <w:t>and rehabilitation activities</w:t>
            </w:r>
            <w:r w:rsidR="00E26905">
              <w:rPr>
                <w:rFonts w:asciiTheme="minorHAnsi" w:hAnsiTheme="minorHAnsi" w:cstheme="minorHAnsi"/>
                <w:bCs/>
                <w:sz w:val="20"/>
                <w:szCs w:val="20"/>
              </w:rPr>
              <w:t xml:space="preserve"> by BT, SIB, and STB</w:t>
            </w:r>
            <w:r w:rsidRPr="00D1408C">
              <w:rPr>
                <w:rFonts w:asciiTheme="minorHAnsi" w:hAnsiTheme="minorHAnsi" w:cstheme="minorHAnsi"/>
                <w:bCs/>
                <w:sz w:val="20"/>
                <w:szCs w:val="20"/>
              </w:rPr>
              <w:t xml:space="preserve"> with requirements of environmental legislation and regulations</w:t>
            </w:r>
          </w:p>
        </w:tc>
        <w:tc>
          <w:tcPr>
            <w:tcW w:w="1123" w:type="pct"/>
            <w:shd w:val="clear" w:color="auto" w:fill="auto"/>
          </w:tcPr>
          <w:p w14:paraId="47B5D5CD" w14:textId="77777777" w:rsidR="002E012B" w:rsidRPr="00D1408C" w:rsidRDefault="002E012B" w:rsidP="002E012B">
            <w:pPr>
              <w:jc w:val="both"/>
              <w:rPr>
                <w:rFonts w:asciiTheme="minorHAnsi" w:eastAsia="Calibri" w:hAnsiTheme="minorHAnsi" w:cstheme="minorHAnsi"/>
                <w:b/>
                <w:i/>
                <w:sz w:val="20"/>
              </w:rPr>
            </w:pPr>
            <w:r w:rsidRPr="00D1408C">
              <w:rPr>
                <w:rFonts w:asciiTheme="minorHAnsi" w:eastAsia="Calibri" w:hAnsiTheme="minorHAnsi" w:cstheme="minorHAnsi"/>
                <w:sz w:val="20"/>
              </w:rPr>
              <w:t>Annual evaluation, monitoring and reporting of progress on environmental and social issues, especially regarding the compliance of the Program activities with the environmental legislation and regulations</w:t>
            </w:r>
          </w:p>
          <w:p w14:paraId="25D8054C" w14:textId="77777777" w:rsidR="002E012B" w:rsidRPr="00D1408C" w:rsidRDefault="002E012B" w:rsidP="002E012B">
            <w:pPr>
              <w:pStyle w:val="Normal314"/>
              <w:rPr>
                <w:rFonts w:asciiTheme="minorHAnsi" w:hAnsiTheme="minorHAnsi" w:cstheme="minorHAnsi"/>
                <w:sz w:val="20"/>
                <w:szCs w:val="20"/>
              </w:rPr>
            </w:pPr>
          </w:p>
        </w:tc>
        <w:tc>
          <w:tcPr>
            <w:tcW w:w="831" w:type="pct"/>
          </w:tcPr>
          <w:p w14:paraId="3ACC23B3" w14:textId="77777777" w:rsidR="002E012B" w:rsidRPr="00D1408C" w:rsidRDefault="002E012B" w:rsidP="00CB0465">
            <w:pPr>
              <w:pStyle w:val="Normal314"/>
              <w:numPr>
                <w:ilvl w:val="0"/>
                <w:numId w:val="16"/>
              </w:numPr>
              <w:ind w:left="150" w:hanging="150"/>
              <w:jc w:val="both"/>
              <w:rPr>
                <w:rFonts w:asciiTheme="minorHAnsi" w:hAnsiTheme="minorHAnsi" w:cstheme="minorHAnsi"/>
                <w:sz w:val="20"/>
                <w:szCs w:val="20"/>
              </w:rPr>
            </w:pPr>
          </w:p>
        </w:tc>
        <w:tc>
          <w:tcPr>
            <w:tcW w:w="691" w:type="pct"/>
            <w:shd w:val="clear" w:color="auto" w:fill="auto"/>
          </w:tcPr>
          <w:p w14:paraId="6B4FF6B2" w14:textId="75E70588" w:rsidR="002E012B" w:rsidRPr="00D1408C" w:rsidRDefault="002E012B" w:rsidP="00CB0465">
            <w:pPr>
              <w:pStyle w:val="Normal314"/>
              <w:numPr>
                <w:ilvl w:val="0"/>
                <w:numId w:val="16"/>
              </w:numPr>
              <w:ind w:left="150" w:hanging="150"/>
              <w:jc w:val="both"/>
              <w:rPr>
                <w:rFonts w:asciiTheme="minorHAnsi" w:hAnsiTheme="minorHAnsi" w:cstheme="minorHAnsi"/>
                <w:bCs/>
                <w:color w:val="auto"/>
                <w:sz w:val="20"/>
                <w:szCs w:val="20"/>
              </w:rPr>
            </w:pPr>
            <w:r w:rsidRPr="00D1408C">
              <w:rPr>
                <w:rFonts w:asciiTheme="minorHAnsi" w:hAnsiTheme="minorHAnsi" w:cstheme="minorHAnsi"/>
                <w:sz w:val="20"/>
                <w:szCs w:val="20"/>
              </w:rPr>
              <w:t>Until Dec. 31, 2020: BT with the assistance of ESPMU</w:t>
            </w:r>
          </w:p>
          <w:p w14:paraId="75B7EC71" w14:textId="17F99F0C" w:rsidR="002E012B" w:rsidRPr="00D1408C" w:rsidRDefault="002E012B" w:rsidP="00CB0465">
            <w:pPr>
              <w:pStyle w:val="Normal314"/>
              <w:numPr>
                <w:ilvl w:val="0"/>
                <w:numId w:val="15"/>
              </w:numPr>
              <w:ind w:left="153" w:hanging="153"/>
              <w:jc w:val="both"/>
              <w:rPr>
                <w:rFonts w:asciiTheme="minorHAnsi" w:hAnsiTheme="minorHAnsi" w:cstheme="minorHAnsi"/>
                <w:bCs/>
                <w:color w:val="auto"/>
                <w:sz w:val="20"/>
                <w:szCs w:val="20"/>
              </w:rPr>
            </w:pPr>
            <w:r w:rsidRPr="00D1408C">
              <w:rPr>
                <w:rFonts w:asciiTheme="minorHAnsi" w:hAnsiTheme="minorHAnsi" w:cstheme="minorHAnsi"/>
                <w:bCs/>
                <w:color w:val="auto"/>
                <w:sz w:val="20"/>
                <w:szCs w:val="20"/>
              </w:rPr>
              <w:t xml:space="preserve">From Jan. 1, </w:t>
            </w:r>
            <w:proofErr w:type="gramStart"/>
            <w:r w:rsidRPr="00D1408C">
              <w:rPr>
                <w:rFonts w:asciiTheme="minorHAnsi" w:hAnsiTheme="minorHAnsi" w:cstheme="minorHAnsi"/>
                <w:bCs/>
                <w:color w:val="auto"/>
                <w:sz w:val="20"/>
                <w:szCs w:val="20"/>
              </w:rPr>
              <w:t>2021</w:t>
            </w:r>
            <w:proofErr w:type="gramEnd"/>
            <w:r w:rsidRPr="00D1408C">
              <w:rPr>
                <w:rFonts w:asciiTheme="minorHAnsi" w:hAnsiTheme="minorHAnsi" w:cstheme="minorHAnsi"/>
                <w:bCs/>
                <w:color w:val="auto"/>
                <w:sz w:val="20"/>
                <w:szCs w:val="20"/>
              </w:rPr>
              <w:t xml:space="preserve"> till Dec. 31, 20</w:t>
            </w:r>
            <w:r>
              <w:rPr>
                <w:rFonts w:asciiTheme="minorHAnsi" w:hAnsiTheme="minorHAnsi" w:cstheme="minorHAnsi"/>
                <w:bCs/>
                <w:color w:val="auto"/>
                <w:sz w:val="20"/>
                <w:szCs w:val="20"/>
              </w:rPr>
              <w:t>30</w:t>
            </w:r>
            <w:r w:rsidRPr="00D1408C">
              <w:rPr>
                <w:rFonts w:asciiTheme="minorHAnsi" w:hAnsiTheme="minorHAnsi" w:cstheme="minorHAnsi"/>
                <w:bCs/>
                <w:color w:val="auto"/>
                <w:sz w:val="20"/>
                <w:szCs w:val="20"/>
              </w:rPr>
              <w:t>: BT</w:t>
            </w:r>
            <w:r>
              <w:rPr>
                <w:rFonts w:asciiTheme="minorHAnsi" w:hAnsiTheme="minorHAnsi" w:cstheme="minorHAnsi"/>
                <w:bCs/>
                <w:color w:val="auto"/>
                <w:sz w:val="20"/>
                <w:szCs w:val="20"/>
              </w:rPr>
              <w:t>, SIB, and STB</w:t>
            </w:r>
          </w:p>
        </w:tc>
        <w:tc>
          <w:tcPr>
            <w:tcW w:w="566" w:type="pct"/>
            <w:shd w:val="clear" w:color="auto" w:fill="auto"/>
          </w:tcPr>
          <w:p w14:paraId="3153EB84" w14:textId="77777777" w:rsidR="002E012B" w:rsidRPr="00D1408C" w:rsidRDefault="002E012B" w:rsidP="002E012B">
            <w:pPr>
              <w:pStyle w:val="Normal314"/>
              <w:rPr>
                <w:rFonts w:asciiTheme="minorHAnsi" w:hAnsiTheme="minorHAnsi" w:cstheme="minorHAnsi"/>
                <w:color w:val="auto"/>
                <w:sz w:val="20"/>
                <w:szCs w:val="20"/>
              </w:rPr>
            </w:pPr>
            <w:r w:rsidRPr="00D1408C">
              <w:rPr>
                <w:rFonts w:asciiTheme="minorHAnsi" w:hAnsiTheme="minorHAnsi" w:cstheme="minorHAnsi"/>
                <w:bCs/>
                <w:color w:val="auto"/>
                <w:sz w:val="20"/>
                <w:szCs w:val="20"/>
              </w:rPr>
              <w:t xml:space="preserve">Oct. 30, </w:t>
            </w:r>
            <w:proofErr w:type="gramStart"/>
            <w:r w:rsidRPr="00D1408C">
              <w:rPr>
                <w:rFonts w:asciiTheme="minorHAnsi" w:hAnsiTheme="minorHAnsi" w:cstheme="minorHAnsi"/>
                <w:bCs/>
                <w:color w:val="auto"/>
                <w:sz w:val="20"/>
                <w:szCs w:val="20"/>
              </w:rPr>
              <w:t>2020</w:t>
            </w:r>
            <w:proofErr w:type="gramEnd"/>
            <w:r w:rsidRPr="00D1408C">
              <w:rPr>
                <w:rFonts w:asciiTheme="minorHAnsi" w:hAnsiTheme="minorHAnsi" w:cstheme="minorHAnsi"/>
                <w:bCs/>
                <w:color w:val="auto"/>
                <w:sz w:val="20"/>
                <w:szCs w:val="20"/>
              </w:rPr>
              <w:t xml:space="preserve"> and once per year afterwards</w:t>
            </w:r>
          </w:p>
        </w:tc>
        <w:tc>
          <w:tcPr>
            <w:tcW w:w="503" w:type="pct"/>
          </w:tcPr>
          <w:p w14:paraId="4E319913" w14:textId="02DC1767" w:rsidR="002E012B" w:rsidRPr="00D1408C" w:rsidRDefault="002E012B" w:rsidP="002E012B">
            <w:pPr>
              <w:pStyle w:val="Normal314"/>
              <w:rPr>
                <w:rFonts w:asciiTheme="minorHAnsi" w:hAnsiTheme="minorHAnsi" w:cstheme="minorHAnsi"/>
                <w:bCs/>
                <w:color w:val="auto"/>
                <w:sz w:val="20"/>
                <w:szCs w:val="20"/>
              </w:rPr>
            </w:pPr>
            <w:r>
              <w:rPr>
                <w:rFonts w:asciiTheme="minorHAnsi" w:hAnsiTheme="minorHAnsi" w:cstheme="minorHAnsi"/>
                <w:bCs/>
                <w:color w:val="auto"/>
                <w:sz w:val="20"/>
                <w:szCs w:val="20"/>
              </w:rPr>
              <w:t xml:space="preserve">Dec. 31, </w:t>
            </w:r>
            <w:proofErr w:type="gramStart"/>
            <w:r>
              <w:rPr>
                <w:rFonts w:asciiTheme="minorHAnsi" w:hAnsiTheme="minorHAnsi" w:cstheme="minorHAnsi"/>
                <w:bCs/>
                <w:color w:val="auto"/>
                <w:sz w:val="20"/>
                <w:szCs w:val="20"/>
              </w:rPr>
              <w:t>2022</w:t>
            </w:r>
            <w:proofErr w:type="gramEnd"/>
            <w:r>
              <w:rPr>
                <w:rFonts w:asciiTheme="minorHAnsi" w:hAnsiTheme="minorHAnsi" w:cstheme="minorHAnsi"/>
                <w:bCs/>
                <w:color w:val="auto"/>
                <w:sz w:val="20"/>
                <w:szCs w:val="20"/>
              </w:rPr>
              <w:t xml:space="preserve"> and once per year </w:t>
            </w:r>
          </w:p>
        </w:tc>
        <w:tc>
          <w:tcPr>
            <w:tcW w:w="440" w:type="pct"/>
          </w:tcPr>
          <w:p w14:paraId="0B579B29" w14:textId="3D5641F1" w:rsidR="002E012B" w:rsidRPr="00D1408C" w:rsidRDefault="002E012B" w:rsidP="002E012B">
            <w:pPr>
              <w:pStyle w:val="Normal314"/>
              <w:rPr>
                <w:rFonts w:asciiTheme="minorHAnsi" w:hAnsiTheme="minorHAnsi" w:cstheme="minorHAnsi"/>
                <w:bCs/>
                <w:color w:val="auto"/>
                <w:sz w:val="20"/>
                <w:szCs w:val="20"/>
              </w:rPr>
            </w:pPr>
            <w:r>
              <w:rPr>
                <w:rFonts w:asciiTheme="minorHAnsi" w:hAnsiTheme="minorHAnsi" w:cstheme="minorHAnsi"/>
                <w:bCs/>
                <w:color w:val="auto"/>
                <w:sz w:val="20"/>
                <w:szCs w:val="20"/>
              </w:rPr>
              <w:t>Not started yet</w:t>
            </w:r>
          </w:p>
        </w:tc>
      </w:tr>
      <w:tr w:rsidR="002E012B" w:rsidRPr="00D1408C" w14:paraId="637D6814" w14:textId="3AE839BA" w:rsidTr="002B0E2E">
        <w:trPr>
          <w:trHeight w:val="278"/>
        </w:trPr>
        <w:tc>
          <w:tcPr>
            <w:tcW w:w="845" w:type="pct"/>
            <w:shd w:val="clear" w:color="auto" w:fill="D9D9D9" w:themeFill="background1" w:themeFillShade="D9"/>
          </w:tcPr>
          <w:p w14:paraId="5131AA38" w14:textId="77777777" w:rsidR="002E012B" w:rsidRPr="00D1408C" w:rsidRDefault="002E012B" w:rsidP="002E012B">
            <w:pPr>
              <w:pStyle w:val="Normal314"/>
              <w:rPr>
                <w:rFonts w:asciiTheme="minorHAnsi" w:hAnsiTheme="minorHAnsi" w:cstheme="minorHAnsi"/>
                <w:color w:val="auto"/>
                <w:sz w:val="20"/>
                <w:szCs w:val="20"/>
              </w:rPr>
            </w:pPr>
            <w:r w:rsidRPr="00D1408C">
              <w:rPr>
                <w:rFonts w:asciiTheme="minorHAnsi" w:hAnsiTheme="minorHAnsi" w:cstheme="minorHAnsi"/>
                <w:b/>
                <w:bCs/>
                <w:color w:val="auto"/>
                <w:sz w:val="20"/>
                <w:szCs w:val="20"/>
              </w:rPr>
              <w:t>Social</w:t>
            </w:r>
          </w:p>
        </w:tc>
        <w:tc>
          <w:tcPr>
            <w:tcW w:w="1123" w:type="pct"/>
            <w:shd w:val="clear" w:color="auto" w:fill="D9D9D9" w:themeFill="background1" w:themeFillShade="D9"/>
          </w:tcPr>
          <w:p w14:paraId="795C1828" w14:textId="77777777" w:rsidR="002E012B" w:rsidRPr="00D1408C" w:rsidRDefault="002E012B" w:rsidP="002E012B">
            <w:pPr>
              <w:pStyle w:val="Normal314"/>
              <w:rPr>
                <w:rFonts w:asciiTheme="minorHAnsi" w:hAnsiTheme="minorHAnsi" w:cstheme="minorHAnsi"/>
                <w:sz w:val="20"/>
                <w:szCs w:val="20"/>
              </w:rPr>
            </w:pPr>
          </w:p>
        </w:tc>
        <w:tc>
          <w:tcPr>
            <w:tcW w:w="831" w:type="pct"/>
            <w:shd w:val="clear" w:color="auto" w:fill="D9D9D9" w:themeFill="background1" w:themeFillShade="D9"/>
          </w:tcPr>
          <w:p w14:paraId="572D251D" w14:textId="77777777" w:rsidR="002E012B" w:rsidRPr="00D1408C" w:rsidRDefault="002E012B" w:rsidP="002E012B">
            <w:pPr>
              <w:pStyle w:val="Normal314"/>
              <w:rPr>
                <w:rFonts w:asciiTheme="minorHAnsi" w:hAnsiTheme="minorHAnsi" w:cstheme="minorHAnsi"/>
                <w:bCs/>
                <w:color w:val="auto"/>
                <w:sz w:val="20"/>
                <w:szCs w:val="20"/>
              </w:rPr>
            </w:pPr>
          </w:p>
        </w:tc>
        <w:tc>
          <w:tcPr>
            <w:tcW w:w="691" w:type="pct"/>
            <w:shd w:val="clear" w:color="auto" w:fill="D9D9D9" w:themeFill="background1" w:themeFillShade="D9"/>
          </w:tcPr>
          <w:p w14:paraId="5D17B35C" w14:textId="44825614" w:rsidR="002E012B" w:rsidRPr="00D1408C" w:rsidRDefault="002E012B" w:rsidP="002E012B">
            <w:pPr>
              <w:pStyle w:val="Normal314"/>
              <w:rPr>
                <w:rFonts w:asciiTheme="minorHAnsi" w:hAnsiTheme="minorHAnsi" w:cstheme="minorHAnsi"/>
                <w:bCs/>
                <w:color w:val="auto"/>
                <w:sz w:val="20"/>
                <w:szCs w:val="20"/>
              </w:rPr>
            </w:pPr>
          </w:p>
        </w:tc>
        <w:tc>
          <w:tcPr>
            <w:tcW w:w="566" w:type="pct"/>
            <w:shd w:val="clear" w:color="auto" w:fill="D9D9D9" w:themeFill="background1" w:themeFillShade="D9"/>
          </w:tcPr>
          <w:p w14:paraId="0F44F526" w14:textId="77777777" w:rsidR="002E012B" w:rsidRPr="00D1408C" w:rsidRDefault="002E012B" w:rsidP="002E012B">
            <w:pPr>
              <w:pStyle w:val="Normal314"/>
              <w:rPr>
                <w:rFonts w:asciiTheme="minorHAnsi" w:hAnsiTheme="minorHAnsi" w:cstheme="minorHAnsi"/>
                <w:color w:val="auto"/>
                <w:sz w:val="20"/>
                <w:szCs w:val="20"/>
              </w:rPr>
            </w:pPr>
          </w:p>
        </w:tc>
        <w:tc>
          <w:tcPr>
            <w:tcW w:w="503" w:type="pct"/>
            <w:shd w:val="clear" w:color="auto" w:fill="D9D9D9" w:themeFill="background1" w:themeFillShade="D9"/>
          </w:tcPr>
          <w:p w14:paraId="6FA1E502" w14:textId="77777777" w:rsidR="002E012B" w:rsidRPr="00D1408C" w:rsidRDefault="002E012B" w:rsidP="002E012B">
            <w:pPr>
              <w:pStyle w:val="Normal314"/>
              <w:rPr>
                <w:rFonts w:asciiTheme="minorHAnsi" w:hAnsiTheme="minorHAnsi" w:cstheme="minorHAnsi"/>
                <w:color w:val="auto"/>
                <w:sz w:val="20"/>
                <w:szCs w:val="20"/>
              </w:rPr>
            </w:pPr>
          </w:p>
        </w:tc>
        <w:tc>
          <w:tcPr>
            <w:tcW w:w="440" w:type="pct"/>
            <w:shd w:val="clear" w:color="auto" w:fill="D9D9D9" w:themeFill="background1" w:themeFillShade="D9"/>
          </w:tcPr>
          <w:p w14:paraId="79FB797F" w14:textId="5FCA5168" w:rsidR="002E012B" w:rsidRPr="00D1408C" w:rsidRDefault="002E012B" w:rsidP="002E012B">
            <w:pPr>
              <w:pStyle w:val="Normal314"/>
              <w:rPr>
                <w:rFonts w:asciiTheme="minorHAnsi" w:hAnsiTheme="minorHAnsi" w:cstheme="minorHAnsi"/>
                <w:color w:val="auto"/>
                <w:sz w:val="20"/>
                <w:szCs w:val="20"/>
              </w:rPr>
            </w:pPr>
          </w:p>
        </w:tc>
      </w:tr>
      <w:tr w:rsidR="002E012B" w:rsidRPr="00D1408C" w14:paraId="538688FC" w14:textId="3F70F0AD" w:rsidTr="002B0E2E">
        <w:trPr>
          <w:trHeight w:val="532"/>
        </w:trPr>
        <w:tc>
          <w:tcPr>
            <w:tcW w:w="845" w:type="pct"/>
            <w:shd w:val="clear" w:color="auto" w:fill="auto"/>
          </w:tcPr>
          <w:p w14:paraId="5D0EA6B9" w14:textId="77777777" w:rsidR="002E012B" w:rsidRPr="00D1408C" w:rsidRDefault="002E012B" w:rsidP="002E012B">
            <w:pPr>
              <w:pStyle w:val="Normal314"/>
              <w:rPr>
                <w:rFonts w:asciiTheme="minorHAnsi" w:hAnsiTheme="minorHAnsi" w:cstheme="minorHAnsi"/>
                <w:bCs/>
                <w:color w:val="auto"/>
                <w:sz w:val="20"/>
                <w:szCs w:val="20"/>
              </w:rPr>
            </w:pPr>
            <w:r w:rsidRPr="00D1408C">
              <w:rPr>
                <w:rFonts w:asciiTheme="minorHAnsi" w:hAnsiTheme="minorHAnsi" w:cstheme="minorHAnsi"/>
                <w:bCs/>
                <w:color w:val="auto"/>
                <w:sz w:val="20"/>
                <w:szCs w:val="20"/>
              </w:rPr>
              <w:t>No analysis of poverty impacts before tariff increase decisions are made and implemented</w:t>
            </w:r>
          </w:p>
        </w:tc>
        <w:tc>
          <w:tcPr>
            <w:tcW w:w="1123" w:type="pct"/>
            <w:shd w:val="clear" w:color="auto" w:fill="auto"/>
          </w:tcPr>
          <w:p w14:paraId="161EF0C9" w14:textId="77777777" w:rsidR="002E012B" w:rsidRPr="00D1408C" w:rsidRDefault="002E012B" w:rsidP="002E012B">
            <w:pPr>
              <w:pStyle w:val="Normal314"/>
              <w:rPr>
                <w:rFonts w:asciiTheme="minorHAnsi" w:hAnsiTheme="minorHAnsi" w:cstheme="minorHAnsi"/>
                <w:bCs/>
                <w:color w:val="auto"/>
                <w:sz w:val="20"/>
                <w:szCs w:val="20"/>
              </w:rPr>
            </w:pPr>
            <w:r w:rsidRPr="00D1408C">
              <w:rPr>
                <w:rFonts w:asciiTheme="minorHAnsi" w:hAnsiTheme="minorHAnsi" w:cstheme="minorHAnsi"/>
                <w:bCs/>
                <w:color w:val="auto"/>
                <w:sz w:val="20"/>
                <w:szCs w:val="20"/>
              </w:rPr>
              <w:t xml:space="preserve">Ministry Of Health and Social Protection (MOHSP) or the designated government agency will carry out analysis of poverty impacts of planned annual tariff increases, based on trajectory of increases to be approved through adoption of Tariff Paper, and estimate the fiscal cost of protection through TSA and adjustments required to lifeline tariffs </w:t>
            </w:r>
          </w:p>
        </w:tc>
        <w:tc>
          <w:tcPr>
            <w:tcW w:w="831" w:type="pct"/>
          </w:tcPr>
          <w:p w14:paraId="63DEF9A0" w14:textId="7E450DC2" w:rsidR="002E012B" w:rsidRPr="00D1408C" w:rsidRDefault="002E012B" w:rsidP="002E012B">
            <w:pPr>
              <w:pStyle w:val="Normal314"/>
              <w:rPr>
                <w:rFonts w:asciiTheme="minorHAnsi" w:hAnsiTheme="minorHAnsi" w:cstheme="minorHAnsi"/>
                <w:bCs/>
                <w:color w:val="auto"/>
                <w:sz w:val="20"/>
                <w:szCs w:val="20"/>
              </w:rPr>
            </w:pPr>
            <w:r>
              <w:rPr>
                <w:rFonts w:asciiTheme="minorHAnsi" w:hAnsiTheme="minorHAnsi" w:cstheme="minorHAnsi"/>
                <w:bCs/>
                <w:color w:val="auto"/>
                <w:sz w:val="20"/>
                <w:szCs w:val="20"/>
              </w:rPr>
              <w:t>-</w:t>
            </w:r>
          </w:p>
        </w:tc>
        <w:tc>
          <w:tcPr>
            <w:tcW w:w="691" w:type="pct"/>
            <w:shd w:val="clear" w:color="auto" w:fill="auto"/>
          </w:tcPr>
          <w:p w14:paraId="3C07FFE0" w14:textId="79F5C04B" w:rsidR="002E012B" w:rsidRPr="00D1408C" w:rsidRDefault="002E012B" w:rsidP="002E012B">
            <w:pPr>
              <w:pStyle w:val="Normal314"/>
              <w:rPr>
                <w:rFonts w:asciiTheme="minorHAnsi" w:hAnsiTheme="minorHAnsi" w:cstheme="minorHAnsi"/>
                <w:bCs/>
                <w:color w:val="auto"/>
                <w:sz w:val="20"/>
                <w:szCs w:val="20"/>
              </w:rPr>
            </w:pPr>
            <w:r w:rsidRPr="00D1408C">
              <w:rPr>
                <w:rFonts w:asciiTheme="minorHAnsi" w:hAnsiTheme="minorHAnsi" w:cstheme="minorHAnsi"/>
                <w:bCs/>
                <w:color w:val="auto"/>
                <w:sz w:val="20"/>
                <w:szCs w:val="20"/>
              </w:rPr>
              <w:t>MOHSP and BT</w:t>
            </w:r>
          </w:p>
        </w:tc>
        <w:tc>
          <w:tcPr>
            <w:tcW w:w="566" w:type="pct"/>
            <w:shd w:val="clear" w:color="auto" w:fill="auto"/>
          </w:tcPr>
          <w:p w14:paraId="2616CB6B" w14:textId="77777777" w:rsidR="002E012B" w:rsidRPr="00D1408C" w:rsidRDefault="002E012B" w:rsidP="002E012B">
            <w:pPr>
              <w:pStyle w:val="Normal314"/>
              <w:rPr>
                <w:rFonts w:asciiTheme="minorHAnsi" w:hAnsiTheme="minorHAnsi" w:cstheme="minorHAnsi"/>
                <w:bCs/>
                <w:color w:val="auto"/>
                <w:sz w:val="20"/>
                <w:szCs w:val="20"/>
              </w:rPr>
            </w:pPr>
            <w:r w:rsidRPr="00D1408C">
              <w:rPr>
                <w:rFonts w:asciiTheme="minorHAnsi" w:hAnsiTheme="minorHAnsi" w:cstheme="minorHAnsi"/>
                <w:bCs/>
                <w:color w:val="auto"/>
                <w:sz w:val="20"/>
                <w:szCs w:val="20"/>
              </w:rPr>
              <w:t xml:space="preserve">By Sep. 30, </w:t>
            </w:r>
            <w:proofErr w:type="gramStart"/>
            <w:r w:rsidRPr="00D1408C">
              <w:rPr>
                <w:rFonts w:asciiTheme="minorHAnsi" w:hAnsiTheme="minorHAnsi" w:cstheme="minorHAnsi"/>
                <w:bCs/>
                <w:color w:val="auto"/>
                <w:sz w:val="20"/>
                <w:szCs w:val="20"/>
              </w:rPr>
              <w:t>2020</w:t>
            </w:r>
            <w:proofErr w:type="gramEnd"/>
            <w:r w:rsidRPr="00D1408C">
              <w:rPr>
                <w:rFonts w:asciiTheme="minorHAnsi" w:hAnsiTheme="minorHAnsi" w:cstheme="minorHAnsi"/>
                <w:bCs/>
                <w:color w:val="auto"/>
                <w:sz w:val="20"/>
                <w:szCs w:val="20"/>
              </w:rPr>
              <w:t xml:space="preserve"> for 2020 and no later than July of each year for subsequent years to allow for timely inputs into budgeting process</w:t>
            </w:r>
          </w:p>
        </w:tc>
        <w:tc>
          <w:tcPr>
            <w:tcW w:w="503" w:type="pct"/>
          </w:tcPr>
          <w:p w14:paraId="703B7C9D" w14:textId="10D11067" w:rsidR="002E012B" w:rsidRPr="00D1408C" w:rsidRDefault="002E012B" w:rsidP="002E012B">
            <w:pPr>
              <w:pStyle w:val="Normal314"/>
              <w:rPr>
                <w:rFonts w:asciiTheme="minorHAnsi" w:hAnsiTheme="minorHAnsi" w:cstheme="minorHAnsi"/>
                <w:bCs/>
                <w:color w:val="auto"/>
                <w:sz w:val="20"/>
                <w:szCs w:val="20"/>
              </w:rPr>
            </w:pPr>
            <w:r w:rsidRPr="00D1408C">
              <w:rPr>
                <w:rFonts w:asciiTheme="minorHAnsi" w:hAnsiTheme="minorHAnsi" w:cstheme="minorHAnsi"/>
                <w:bCs/>
                <w:color w:val="auto"/>
                <w:sz w:val="20"/>
                <w:szCs w:val="20"/>
              </w:rPr>
              <w:t xml:space="preserve">By </w:t>
            </w:r>
            <w:r>
              <w:rPr>
                <w:rFonts w:asciiTheme="minorHAnsi" w:hAnsiTheme="minorHAnsi" w:cstheme="minorHAnsi"/>
                <w:bCs/>
                <w:color w:val="auto"/>
                <w:sz w:val="20"/>
                <w:szCs w:val="20"/>
              </w:rPr>
              <w:t>Nov</w:t>
            </w:r>
            <w:r w:rsidRPr="00D1408C">
              <w:rPr>
                <w:rFonts w:asciiTheme="minorHAnsi" w:hAnsiTheme="minorHAnsi" w:cstheme="minorHAnsi"/>
                <w:bCs/>
                <w:color w:val="auto"/>
                <w:sz w:val="20"/>
                <w:szCs w:val="20"/>
              </w:rPr>
              <w:t xml:space="preserve">. 30, </w:t>
            </w:r>
            <w:proofErr w:type="gramStart"/>
            <w:r w:rsidRPr="00D1408C">
              <w:rPr>
                <w:rFonts w:asciiTheme="minorHAnsi" w:hAnsiTheme="minorHAnsi" w:cstheme="minorHAnsi"/>
                <w:bCs/>
                <w:color w:val="auto"/>
                <w:sz w:val="20"/>
                <w:szCs w:val="20"/>
              </w:rPr>
              <w:t>202</w:t>
            </w:r>
            <w:r>
              <w:rPr>
                <w:rFonts w:asciiTheme="minorHAnsi" w:hAnsiTheme="minorHAnsi" w:cstheme="minorHAnsi"/>
                <w:bCs/>
                <w:color w:val="auto"/>
                <w:sz w:val="20"/>
                <w:szCs w:val="20"/>
              </w:rPr>
              <w:t>2</w:t>
            </w:r>
            <w:proofErr w:type="gramEnd"/>
            <w:r w:rsidRPr="00D1408C">
              <w:rPr>
                <w:rFonts w:asciiTheme="minorHAnsi" w:hAnsiTheme="minorHAnsi" w:cstheme="minorHAnsi"/>
                <w:bCs/>
                <w:color w:val="auto"/>
                <w:sz w:val="20"/>
                <w:szCs w:val="20"/>
              </w:rPr>
              <w:t xml:space="preserve"> for 202</w:t>
            </w:r>
            <w:r>
              <w:rPr>
                <w:rFonts w:asciiTheme="minorHAnsi" w:hAnsiTheme="minorHAnsi" w:cstheme="minorHAnsi"/>
                <w:bCs/>
                <w:color w:val="auto"/>
                <w:sz w:val="20"/>
                <w:szCs w:val="20"/>
              </w:rPr>
              <w:t>2</w:t>
            </w:r>
            <w:r w:rsidRPr="00D1408C">
              <w:rPr>
                <w:rFonts w:asciiTheme="minorHAnsi" w:hAnsiTheme="minorHAnsi" w:cstheme="minorHAnsi"/>
                <w:bCs/>
                <w:color w:val="auto"/>
                <w:sz w:val="20"/>
                <w:szCs w:val="20"/>
              </w:rPr>
              <w:t xml:space="preserve"> and no later than July of each year for subsequent years to allow for timely inputs into budgeting process</w:t>
            </w:r>
          </w:p>
        </w:tc>
        <w:tc>
          <w:tcPr>
            <w:tcW w:w="440" w:type="pct"/>
          </w:tcPr>
          <w:p w14:paraId="6ACDFA48" w14:textId="7B50E051" w:rsidR="002E012B" w:rsidRPr="00D1408C" w:rsidRDefault="002E012B" w:rsidP="002E012B">
            <w:pPr>
              <w:pStyle w:val="Normal314"/>
              <w:rPr>
                <w:rFonts w:asciiTheme="minorHAnsi" w:hAnsiTheme="minorHAnsi" w:cstheme="minorHAnsi"/>
                <w:bCs/>
                <w:color w:val="auto"/>
                <w:sz w:val="20"/>
                <w:szCs w:val="20"/>
              </w:rPr>
            </w:pPr>
            <w:r>
              <w:rPr>
                <w:rFonts w:asciiTheme="minorHAnsi" w:hAnsiTheme="minorHAnsi" w:cstheme="minorHAnsi"/>
                <w:bCs/>
                <w:color w:val="auto"/>
                <w:sz w:val="20"/>
                <w:szCs w:val="20"/>
              </w:rPr>
              <w:t>Not started yet</w:t>
            </w:r>
          </w:p>
        </w:tc>
      </w:tr>
      <w:tr w:rsidR="002E012B" w:rsidRPr="00D1408C" w14:paraId="790E9093" w14:textId="7B078966" w:rsidTr="002B0E2E">
        <w:trPr>
          <w:trHeight w:val="532"/>
        </w:trPr>
        <w:tc>
          <w:tcPr>
            <w:tcW w:w="845" w:type="pct"/>
            <w:shd w:val="clear" w:color="auto" w:fill="auto"/>
          </w:tcPr>
          <w:p w14:paraId="6B41FF77" w14:textId="77777777" w:rsidR="002E012B" w:rsidRPr="00D1408C" w:rsidRDefault="002E012B" w:rsidP="002E012B">
            <w:pPr>
              <w:pStyle w:val="Normal314"/>
              <w:rPr>
                <w:rFonts w:asciiTheme="minorHAnsi" w:hAnsiTheme="minorHAnsi" w:cstheme="minorHAnsi"/>
                <w:color w:val="auto"/>
                <w:sz w:val="20"/>
                <w:szCs w:val="20"/>
              </w:rPr>
            </w:pPr>
            <w:r w:rsidRPr="00D1408C">
              <w:rPr>
                <w:rFonts w:asciiTheme="minorHAnsi" w:hAnsiTheme="minorHAnsi" w:cstheme="minorHAnsi"/>
                <w:bCs/>
                <w:color w:val="auto"/>
                <w:sz w:val="20"/>
                <w:szCs w:val="20"/>
              </w:rPr>
              <w:t xml:space="preserve">Existing Targeted Social Assistance (TSA) program does not reach all socially vulnerable consumers and </w:t>
            </w:r>
            <w:r w:rsidRPr="00D1408C">
              <w:rPr>
                <w:rFonts w:asciiTheme="minorHAnsi" w:hAnsiTheme="minorHAnsi" w:cstheme="minorHAnsi"/>
                <w:bCs/>
                <w:color w:val="auto"/>
                <w:sz w:val="20"/>
                <w:szCs w:val="20"/>
              </w:rPr>
              <w:lastRenderedPageBreak/>
              <w:t>is not adequately funded to protect against electricity tariff increases</w:t>
            </w:r>
          </w:p>
        </w:tc>
        <w:tc>
          <w:tcPr>
            <w:tcW w:w="1123" w:type="pct"/>
            <w:shd w:val="clear" w:color="auto" w:fill="auto"/>
          </w:tcPr>
          <w:p w14:paraId="5DF262DA" w14:textId="77777777" w:rsidR="002E012B" w:rsidRPr="00D1408C" w:rsidRDefault="002E012B" w:rsidP="00CB0465">
            <w:pPr>
              <w:pStyle w:val="Normal314"/>
              <w:numPr>
                <w:ilvl w:val="0"/>
                <w:numId w:val="15"/>
              </w:numPr>
              <w:ind w:left="240" w:hanging="180"/>
              <w:rPr>
                <w:rFonts w:asciiTheme="minorHAnsi" w:hAnsiTheme="minorHAnsi" w:cstheme="minorHAnsi"/>
                <w:bCs/>
                <w:color w:val="auto"/>
                <w:sz w:val="20"/>
                <w:szCs w:val="20"/>
              </w:rPr>
            </w:pPr>
            <w:r w:rsidRPr="00D1408C">
              <w:rPr>
                <w:rFonts w:asciiTheme="minorHAnsi" w:eastAsia="Times New Roman" w:hAnsiTheme="minorHAnsi" w:cstheme="minorHAnsi"/>
                <w:bCs/>
                <w:sz w:val="20"/>
                <w:szCs w:val="20"/>
              </w:rPr>
              <w:lastRenderedPageBreak/>
              <w:t>TSA rolled out nationally and the </w:t>
            </w:r>
            <w:r w:rsidRPr="00D1408C">
              <w:rPr>
                <w:rFonts w:asciiTheme="minorHAnsi" w:hAnsiTheme="minorHAnsi" w:cstheme="minorHAnsi"/>
                <w:bCs/>
                <w:sz w:val="20"/>
                <w:szCs w:val="20"/>
              </w:rPr>
              <w:t xml:space="preserve">refined design of TSA incorporates a mechanism to mitigate the impact of increasing </w:t>
            </w:r>
            <w:r w:rsidRPr="00D1408C">
              <w:rPr>
                <w:rFonts w:asciiTheme="minorHAnsi" w:hAnsiTheme="minorHAnsi" w:cstheme="minorHAnsi"/>
                <w:bCs/>
                <w:sz w:val="20"/>
                <w:szCs w:val="20"/>
              </w:rPr>
              <w:lastRenderedPageBreak/>
              <w:t>electricity prices, including corresponding budget allocation</w:t>
            </w:r>
          </w:p>
          <w:p w14:paraId="36C73151" w14:textId="77777777" w:rsidR="002E012B" w:rsidRPr="00D1408C" w:rsidRDefault="002E012B" w:rsidP="002E012B">
            <w:pPr>
              <w:pStyle w:val="Normal314"/>
              <w:ind w:left="240"/>
              <w:rPr>
                <w:rFonts w:asciiTheme="minorHAnsi" w:hAnsiTheme="minorHAnsi" w:cstheme="minorHAnsi"/>
                <w:bCs/>
                <w:color w:val="auto"/>
                <w:sz w:val="20"/>
                <w:szCs w:val="20"/>
              </w:rPr>
            </w:pPr>
          </w:p>
          <w:p w14:paraId="12BBCE64" w14:textId="77777777" w:rsidR="002E012B" w:rsidRPr="00D1408C" w:rsidRDefault="002E012B" w:rsidP="002E012B">
            <w:pPr>
              <w:pStyle w:val="Normal314"/>
              <w:ind w:left="240"/>
              <w:rPr>
                <w:rFonts w:asciiTheme="minorHAnsi" w:hAnsiTheme="minorHAnsi" w:cstheme="minorHAnsi"/>
                <w:bCs/>
                <w:color w:val="auto"/>
                <w:sz w:val="20"/>
                <w:szCs w:val="20"/>
              </w:rPr>
            </w:pPr>
          </w:p>
          <w:p w14:paraId="49E97D43" w14:textId="77777777" w:rsidR="002E012B" w:rsidRPr="00D1408C" w:rsidRDefault="002E012B" w:rsidP="00CB0465">
            <w:pPr>
              <w:pStyle w:val="Normal314"/>
              <w:numPr>
                <w:ilvl w:val="0"/>
                <w:numId w:val="15"/>
              </w:numPr>
              <w:ind w:left="240" w:hanging="180"/>
              <w:rPr>
                <w:rFonts w:asciiTheme="minorHAnsi" w:hAnsiTheme="minorHAnsi" w:cstheme="minorHAnsi"/>
                <w:bCs/>
                <w:color w:val="auto"/>
                <w:sz w:val="20"/>
                <w:szCs w:val="20"/>
              </w:rPr>
            </w:pPr>
            <w:r w:rsidRPr="00D1408C">
              <w:rPr>
                <w:rFonts w:asciiTheme="minorHAnsi" w:hAnsiTheme="minorHAnsi" w:cstheme="minorHAnsi"/>
                <w:bCs/>
                <w:color w:val="auto"/>
                <w:sz w:val="20"/>
                <w:szCs w:val="20"/>
              </w:rPr>
              <w:t>Development of a lifeline tariff mechanism to mitigate the impact of increasing electricity prices on the poor and vulnerable</w:t>
            </w:r>
          </w:p>
          <w:p w14:paraId="1D775041" w14:textId="77777777" w:rsidR="002E012B" w:rsidRPr="00D1408C" w:rsidRDefault="002E012B" w:rsidP="002E012B">
            <w:pPr>
              <w:pStyle w:val="Normal314"/>
              <w:ind w:left="240"/>
              <w:rPr>
                <w:rFonts w:asciiTheme="minorHAnsi" w:hAnsiTheme="minorHAnsi" w:cstheme="minorHAnsi"/>
                <w:bCs/>
                <w:color w:val="auto"/>
                <w:sz w:val="20"/>
                <w:szCs w:val="20"/>
              </w:rPr>
            </w:pPr>
          </w:p>
          <w:p w14:paraId="054E8A16" w14:textId="77777777" w:rsidR="002E012B" w:rsidRPr="00D1408C" w:rsidRDefault="002E012B" w:rsidP="00CB0465">
            <w:pPr>
              <w:pStyle w:val="Normal314"/>
              <w:numPr>
                <w:ilvl w:val="0"/>
                <w:numId w:val="15"/>
              </w:numPr>
              <w:ind w:left="240" w:hanging="180"/>
              <w:rPr>
                <w:rFonts w:asciiTheme="minorHAnsi" w:hAnsiTheme="minorHAnsi" w:cstheme="minorHAnsi"/>
                <w:bCs/>
                <w:color w:val="auto"/>
                <w:sz w:val="20"/>
                <w:szCs w:val="20"/>
              </w:rPr>
            </w:pPr>
            <w:r w:rsidRPr="00D1408C">
              <w:rPr>
                <w:rFonts w:asciiTheme="minorHAnsi" w:hAnsiTheme="minorHAnsi" w:cstheme="minorHAnsi"/>
                <w:bCs/>
                <w:color w:val="auto"/>
                <w:sz w:val="20"/>
                <w:szCs w:val="20"/>
              </w:rPr>
              <w:t>Implementation of a lifeline tariff mechanism for residential consumers</w:t>
            </w:r>
          </w:p>
          <w:p w14:paraId="31141182" w14:textId="77777777" w:rsidR="002E012B" w:rsidRPr="00D1408C" w:rsidRDefault="002E012B" w:rsidP="002E012B">
            <w:pPr>
              <w:pStyle w:val="Normal314"/>
              <w:rPr>
                <w:rFonts w:asciiTheme="minorHAnsi" w:hAnsiTheme="minorHAnsi" w:cstheme="minorHAnsi"/>
                <w:color w:val="auto"/>
                <w:sz w:val="20"/>
                <w:szCs w:val="20"/>
              </w:rPr>
            </w:pPr>
          </w:p>
        </w:tc>
        <w:tc>
          <w:tcPr>
            <w:tcW w:w="831" w:type="pct"/>
          </w:tcPr>
          <w:p w14:paraId="40CD5ABE" w14:textId="034FA0BC" w:rsidR="002E012B" w:rsidRPr="00D1408C" w:rsidRDefault="002E012B" w:rsidP="002E012B">
            <w:pPr>
              <w:pStyle w:val="Normal314"/>
              <w:rPr>
                <w:rFonts w:asciiTheme="minorHAnsi" w:hAnsiTheme="minorHAnsi" w:cstheme="minorHAnsi"/>
                <w:bCs/>
                <w:color w:val="auto"/>
                <w:sz w:val="20"/>
                <w:szCs w:val="20"/>
              </w:rPr>
            </w:pPr>
            <w:r>
              <w:rPr>
                <w:rFonts w:asciiTheme="minorHAnsi" w:hAnsiTheme="minorHAnsi" w:cstheme="minorHAnsi"/>
                <w:bCs/>
                <w:color w:val="auto"/>
                <w:sz w:val="20"/>
                <w:szCs w:val="20"/>
              </w:rPr>
              <w:lastRenderedPageBreak/>
              <w:t>-</w:t>
            </w:r>
          </w:p>
        </w:tc>
        <w:tc>
          <w:tcPr>
            <w:tcW w:w="691" w:type="pct"/>
            <w:shd w:val="clear" w:color="auto" w:fill="auto"/>
          </w:tcPr>
          <w:p w14:paraId="69F085CF" w14:textId="7C1B5D0B" w:rsidR="002E012B" w:rsidRPr="00D1408C" w:rsidRDefault="002E012B" w:rsidP="002E012B">
            <w:pPr>
              <w:pStyle w:val="Normal314"/>
              <w:rPr>
                <w:rFonts w:asciiTheme="minorHAnsi" w:hAnsiTheme="minorHAnsi" w:cstheme="minorHAnsi"/>
                <w:bCs/>
                <w:color w:val="auto"/>
                <w:sz w:val="20"/>
                <w:szCs w:val="20"/>
              </w:rPr>
            </w:pPr>
            <w:r w:rsidRPr="00D1408C">
              <w:rPr>
                <w:rFonts w:asciiTheme="minorHAnsi" w:hAnsiTheme="minorHAnsi" w:cstheme="minorHAnsi"/>
                <w:bCs/>
                <w:color w:val="auto"/>
                <w:sz w:val="20"/>
                <w:szCs w:val="20"/>
              </w:rPr>
              <w:t>MOHSP, MOF</w:t>
            </w:r>
          </w:p>
          <w:p w14:paraId="4B4A5162" w14:textId="77777777" w:rsidR="002E012B" w:rsidRPr="00D1408C" w:rsidRDefault="002E012B" w:rsidP="002E012B">
            <w:pPr>
              <w:pStyle w:val="Normal314"/>
              <w:rPr>
                <w:rFonts w:asciiTheme="minorHAnsi" w:hAnsiTheme="minorHAnsi" w:cstheme="minorHAnsi"/>
                <w:bCs/>
                <w:color w:val="auto"/>
                <w:sz w:val="20"/>
                <w:szCs w:val="20"/>
              </w:rPr>
            </w:pPr>
          </w:p>
          <w:p w14:paraId="7D20E7C0" w14:textId="77777777" w:rsidR="002E012B" w:rsidRPr="00D1408C" w:rsidRDefault="002E012B" w:rsidP="002E012B">
            <w:pPr>
              <w:pStyle w:val="Normal314"/>
              <w:rPr>
                <w:rFonts w:asciiTheme="minorHAnsi" w:hAnsiTheme="minorHAnsi" w:cstheme="minorHAnsi"/>
                <w:bCs/>
                <w:color w:val="auto"/>
                <w:sz w:val="20"/>
                <w:szCs w:val="20"/>
              </w:rPr>
            </w:pPr>
          </w:p>
          <w:p w14:paraId="7267B811" w14:textId="77777777" w:rsidR="002E012B" w:rsidRPr="00D1408C" w:rsidRDefault="002E012B" w:rsidP="002E012B">
            <w:pPr>
              <w:pStyle w:val="Normal314"/>
              <w:rPr>
                <w:rFonts w:asciiTheme="minorHAnsi" w:hAnsiTheme="minorHAnsi" w:cstheme="minorHAnsi"/>
                <w:bCs/>
                <w:color w:val="auto"/>
                <w:sz w:val="20"/>
                <w:szCs w:val="20"/>
              </w:rPr>
            </w:pPr>
          </w:p>
          <w:p w14:paraId="100D662E" w14:textId="77777777" w:rsidR="002E012B" w:rsidRPr="00D1408C" w:rsidRDefault="002E012B" w:rsidP="002E012B">
            <w:pPr>
              <w:pStyle w:val="Normal314"/>
              <w:rPr>
                <w:rFonts w:asciiTheme="minorHAnsi" w:hAnsiTheme="minorHAnsi" w:cstheme="minorHAnsi"/>
                <w:bCs/>
                <w:color w:val="auto"/>
                <w:sz w:val="20"/>
                <w:szCs w:val="20"/>
              </w:rPr>
            </w:pPr>
          </w:p>
          <w:p w14:paraId="6D15ABE1" w14:textId="77777777" w:rsidR="002E012B" w:rsidRPr="00D1408C" w:rsidRDefault="002E012B" w:rsidP="002E012B">
            <w:pPr>
              <w:pStyle w:val="Normal314"/>
              <w:rPr>
                <w:rFonts w:asciiTheme="minorHAnsi" w:hAnsiTheme="minorHAnsi" w:cstheme="minorHAnsi"/>
                <w:bCs/>
                <w:color w:val="auto"/>
                <w:sz w:val="20"/>
                <w:szCs w:val="20"/>
              </w:rPr>
            </w:pPr>
          </w:p>
          <w:p w14:paraId="736FC747" w14:textId="77777777" w:rsidR="002E012B" w:rsidRPr="00D1408C" w:rsidRDefault="002E012B" w:rsidP="002E012B">
            <w:pPr>
              <w:pStyle w:val="Normal314"/>
              <w:rPr>
                <w:rFonts w:asciiTheme="minorHAnsi" w:hAnsiTheme="minorHAnsi" w:cstheme="minorHAnsi"/>
                <w:bCs/>
                <w:color w:val="auto"/>
                <w:sz w:val="20"/>
                <w:szCs w:val="20"/>
              </w:rPr>
            </w:pPr>
          </w:p>
          <w:p w14:paraId="223CE867" w14:textId="77777777" w:rsidR="002E012B" w:rsidRPr="00D1408C" w:rsidRDefault="002E012B" w:rsidP="002E012B">
            <w:pPr>
              <w:pStyle w:val="Normal314"/>
              <w:rPr>
                <w:rFonts w:asciiTheme="minorHAnsi" w:hAnsiTheme="minorHAnsi" w:cstheme="minorHAnsi"/>
                <w:bCs/>
                <w:color w:val="auto"/>
                <w:sz w:val="20"/>
                <w:szCs w:val="20"/>
              </w:rPr>
            </w:pPr>
          </w:p>
          <w:p w14:paraId="15AC89C4" w14:textId="0EF04A7D" w:rsidR="002E012B" w:rsidRPr="00D1408C" w:rsidRDefault="002E012B" w:rsidP="002E012B">
            <w:pPr>
              <w:pStyle w:val="Normal314"/>
              <w:rPr>
                <w:rFonts w:asciiTheme="minorHAnsi" w:hAnsiTheme="minorHAnsi" w:cstheme="minorHAnsi"/>
                <w:bCs/>
                <w:color w:val="auto"/>
                <w:sz w:val="20"/>
                <w:szCs w:val="20"/>
              </w:rPr>
            </w:pPr>
            <w:r w:rsidRPr="00D1408C">
              <w:rPr>
                <w:rFonts w:asciiTheme="minorHAnsi" w:hAnsiTheme="minorHAnsi" w:cstheme="minorHAnsi"/>
                <w:bCs/>
                <w:color w:val="auto"/>
                <w:sz w:val="20"/>
                <w:szCs w:val="20"/>
              </w:rPr>
              <w:t>BT, MEWR, and AM</w:t>
            </w:r>
            <w:r w:rsidR="00842CA3">
              <w:rPr>
                <w:rFonts w:asciiTheme="minorHAnsi" w:hAnsiTheme="minorHAnsi" w:cstheme="minorHAnsi"/>
                <w:bCs/>
                <w:color w:val="auto"/>
                <w:sz w:val="20"/>
                <w:szCs w:val="20"/>
              </w:rPr>
              <w:t>S</w:t>
            </w:r>
          </w:p>
          <w:p w14:paraId="172DEF95" w14:textId="77777777" w:rsidR="002E012B" w:rsidRPr="00D1408C" w:rsidRDefault="002E012B" w:rsidP="002E012B">
            <w:pPr>
              <w:pStyle w:val="Normal314"/>
              <w:rPr>
                <w:rFonts w:asciiTheme="minorHAnsi" w:hAnsiTheme="minorHAnsi" w:cstheme="minorHAnsi"/>
                <w:bCs/>
                <w:color w:val="auto"/>
                <w:sz w:val="20"/>
                <w:szCs w:val="20"/>
              </w:rPr>
            </w:pPr>
          </w:p>
          <w:p w14:paraId="584CF6A0" w14:textId="77777777" w:rsidR="002E012B" w:rsidRPr="00D1408C" w:rsidRDefault="002E012B" w:rsidP="002E012B">
            <w:pPr>
              <w:pStyle w:val="Normal314"/>
              <w:rPr>
                <w:rFonts w:asciiTheme="minorHAnsi" w:hAnsiTheme="minorHAnsi" w:cstheme="minorHAnsi"/>
                <w:bCs/>
                <w:color w:val="auto"/>
                <w:sz w:val="20"/>
                <w:szCs w:val="20"/>
              </w:rPr>
            </w:pPr>
          </w:p>
          <w:p w14:paraId="1B9E4D9D" w14:textId="60FE9094" w:rsidR="002E012B" w:rsidRDefault="002E012B" w:rsidP="002E012B">
            <w:pPr>
              <w:pStyle w:val="Normal314"/>
              <w:rPr>
                <w:rFonts w:asciiTheme="minorHAnsi" w:hAnsiTheme="minorHAnsi" w:cstheme="minorHAnsi"/>
                <w:bCs/>
                <w:color w:val="auto"/>
                <w:sz w:val="20"/>
                <w:szCs w:val="20"/>
              </w:rPr>
            </w:pPr>
          </w:p>
          <w:p w14:paraId="20FD7222" w14:textId="77777777" w:rsidR="002E012B" w:rsidRPr="00D1408C" w:rsidRDefault="002E012B" w:rsidP="002E012B">
            <w:pPr>
              <w:pStyle w:val="Normal314"/>
              <w:rPr>
                <w:rFonts w:asciiTheme="minorHAnsi" w:hAnsiTheme="minorHAnsi" w:cstheme="minorHAnsi"/>
                <w:bCs/>
                <w:color w:val="auto"/>
                <w:sz w:val="20"/>
                <w:szCs w:val="20"/>
              </w:rPr>
            </w:pPr>
          </w:p>
          <w:p w14:paraId="231452AF" w14:textId="77777777" w:rsidR="002E012B" w:rsidRPr="00D1408C" w:rsidRDefault="002E012B" w:rsidP="002E012B">
            <w:pPr>
              <w:pStyle w:val="Normal314"/>
              <w:rPr>
                <w:rFonts w:asciiTheme="minorHAnsi" w:hAnsiTheme="minorHAnsi" w:cstheme="minorHAnsi"/>
                <w:bCs/>
                <w:color w:val="auto"/>
                <w:sz w:val="20"/>
                <w:szCs w:val="20"/>
              </w:rPr>
            </w:pPr>
          </w:p>
          <w:p w14:paraId="5DB4C476" w14:textId="22D0679F" w:rsidR="002E012B" w:rsidRPr="00D1408C" w:rsidRDefault="002E012B" w:rsidP="002E012B">
            <w:pPr>
              <w:pStyle w:val="Normal314"/>
              <w:rPr>
                <w:rFonts w:asciiTheme="minorHAnsi" w:hAnsiTheme="minorHAnsi" w:cstheme="minorHAnsi"/>
                <w:bCs/>
                <w:color w:val="auto"/>
                <w:sz w:val="20"/>
                <w:szCs w:val="20"/>
              </w:rPr>
            </w:pPr>
            <w:r w:rsidRPr="00D1408C">
              <w:rPr>
                <w:rFonts w:asciiTheme="minorHAnsi" w:hAnsiTheme="minorHAnsi" w:cstheme="minorHAnsi"/>
                <w:bCs/>
                <w:color w:val="auto"/>
                <w:sz w:val="20"/>
                <w:szCs w:val="20"/>
              </w:rPr>
              <w:t>BT, MEWR, and AM</w:t>
            </w:r>
            <w:r w:rsidR="00842CA3">
              <w:rPr>
                <w:rFonts w:asciiTheme="minorHAnsi" w:hAnsiTheme="minorHAnsi" w:cstheme="minorHAnsi"/>
                <w:bCs/>
                <w:color w:val="auto"/>
                <w:sz w:val="20"/>
                <w:szCs w:val="20"/>
              </w:rPr>
              <w:t>S</w:t>
            </w:r>
          </w:p>
        </w:tc>
        <w:tc>
          <w:tcPr>
            <w:tcW w:w="566" w:type="pct"/>
            <w:shd w:val="clear" w:color="auto" w:fill="auto"/>
          </w:tcPr>
          <w:p w14:paraId="3B23867B" w14:textId="77777777" w:rsidR="002E012B" w:rsidRPr="00D1408C" w:rsidRDefault="002E012B" w:rsidP="002E012B">
            <w:pPr>
              <w:pStyle w:val="Normal314"/>
              <w:rPr>
                <w:rFonts w:asciiTheme="minorHAnsi" w:hAnsiTheme="minorHAnsi" w:cstheme="minorHAnsi"/>
                <w:bCs/>
                <w:color w:val="auto"/>
                <w:sz w:val="20"/>
                <w:szCs w:val="20"/>
              </w:rPr>
            </w:pPr>
            <w:r w:rsidRPr="00D1408C">
              <w:rPr>
                <w:rFonts w:asciiTheme="minorHAnsi" w:hAnsiTheme="minorHAnsi" w:cstheme="minorHAnsi"/>
                <w:bCs/>
                <w:color w:val="auto"/>
                <w:sz w:val="20"/>
                <w:szCs w:val="20"/>
              </w:rPr>
              <w:lastRenderedPageBreak/>
              <w:t>Oct. 31, 2020</w:t>
            </w:r>
          </w:p>
          <w:p w14:paraId="5CEAF71F" w14:textId="77777777" w:rsidR="002E012B" w:rsidRPr="00D1408C" w:rsidRDefault="002E012B" w:rsidP="002E012B">
            <w:pPr>
              <w:pStyle w:val="Normal314"/>
              <w:rPr>
                <w:rFonts w:asciiTheme="minorHAnsi" w:hAnsiTheme="minorHAnsi" w:cstheme="minorHAnsi"/>
                <w:color w:val="auto"/>
                <w:sz w:val="20"/>
                <w:szCs w:val="20"/>
              </w:rPr>
            </w:pPr>
          </w:p>
          <w:p w14:paraId="3D174351" w14:textId="77777777" w:rsidR="002E012B" w:rsidRPr="00D1408C" w:rsidRDefault="002E012B" w:rsidP="002E012B">
            <w:pPr>
              <w:pStyle w:val="Normal314"/>
              <w:rPr>
                <w:rFonts w:asciiTheme="minorHAnsi" w:hAnsiTheme="minorHAnsi" w:cstheme="minorHAnsi"/>
                <w:color w:val="auto"/>
                <w:sz w:val="20"/>
                <w:szCs w:val="20"/>
              </w:rPr>
            </w:pPr>
          </w:p>
          <w:p w14:paraId="407E5936" w14:textId="77777777" w:rsidR="002E012B" w:rsidRPr="00D1408C" w:rsidRDefault="002E012B" w:rsidP="002E012B">
            <w:pPr>
              <w:pStyle w:val="Normal314"/>
              <w:rPr>
                <w:rFonts w:asciiTheme="minorHAnsi" w:hAnsiTheme="minorHAnsi" w:cstheme="minorHAnsi"/>
                <w:color w:val="auto"/>
                <w:sz w:val="20"/>
                <w:szCs w:val="20"/>
              </w:rPr>
            </w:pPr>
          </w:p>
          <w:p w14:paraId="4A313DD7" w14:textId="77777777" w:rsidR="002E012B" w:rsidRPr="00D1408C" w:rsidRDefault="002E012B" w:rsidP="002E012B">
            <w:pPr>
              <w:pStyle w:val="Normal314"/>
              <w:rPr>
                <w:rFonts w:asciiTheme="minorHAnsi" w:hAnsiTheme="minorHAnsi" w:cstheme="minorHAnsi"/>
                <w:color w:val="auto"/>
                <w:sz w:val="20"/>
                <w:szCs w:val="20"/>
              </w:rPr>
            </w:pPr>
          </w:p>
          <w:p w14:paraId="5E1E370C" w14:textId="77777777" w:rsidR="002E012B" w:rsidRPr="00D1408C" w:rsidRDefault="002E012B" w:rsidP="002E012B">
            <w:pPr>
              <w:pStyle w:val="Normal314"/>
              <w:rPr>
                <w:rFonts w:asciiTheme="minorHAnsi" w:hAnsiTheme="minorHAnsi" w:cstheme="minorHAnsi"/>
                <w:color w:val="auto"/>
                <w:sz w:val="20"/>
                <w:szCs w:val="20"/>
              </w:rPr>
            </w:pPr>
          </w:p>
          <w:p w14:paraId="4832AE50" w14:textId="77777777" w:rsidR="002E012B" w:rsidRPr="00D1408C" w:rsidRDefault="002E012B" w:rsidP="002E012B">
            <w:pPr>
              <w:pStyle w:val="Normal314"/>
              <w:rPr>
                <w:rFonts w:asciiTheme="minorHAnsi" w:hAnsiTheme="minorHAnsi" w:cstheme="minorHAnsi"/>
                <w:color w:val="auto"/>
                <w:sz w:val="20"/>
                <w:szCs w:val="20"/>
              </w:rPr>
            </w:pPr>
          </w:p>
          <w:p w14:paraId="5B55FC91" w14:textId="77777777" w:rsidR="002E012B" w:rsidRPr="00D1408C" w:rsidRDefault="002E012B" w:rsidP="002E012B">
            <w:pPr>
              <w:pStyle w:val="Normal314"/>
              <w:rPr>
                <w:rFonts w:asciiTheme="minorHAnsi" w:hAnsiTheme="minorHAnsi" w:cstheme="minorHAnsi"/>
                <w:color w:val="auto"/>
                <w:sz w:val="20"/>
                <w:szCs w:val="20"/>
              </w:rPr>
            </w:pPr>
          </w:p>
          <w:p w14:paraId="0CC727C9" w14:textId="77777777" w:rsidR="002E012B" w:rsidRPr="00D1408C" w:rsidRDefault="002E012B" w:rsidP="002E012B">
            <w:pPr>
              <w:pStyle w:val="Normal314"/>
              <w:rPr>
                <w:rFonts w:asciiTheme="minorHAnsi" w:hAnsiTheme="minorHAnsi" w:cstheme="minorHAnsi"/>
                <w:bCs/>
                <w:color w:val="auto"/>
                <w:sz w:val="20"/>
                <w:szCs w:val="20"/>
              </w:rPr>
            </w:pPr>
            <w:r w:rsidRPr="00D1408C">
              <w:rPr>
                <w:rFonts w:asciiTheme="minorHAnsi" w:hAnsiTheme="minorHAnsi" w:cstheme="minorHAnsi"/>
                <w:bCs/>
                <w:color w:val="auto"/>
                <w:sz w:val="20"/>
                <w:szCs w:val="20"/>
              </w:rPr>
              <w:t>Nov. 30, 2020</w:t>
            </w:r>
          </w:p>
          <w:p w14:paraId="4F4E0D14" w14:textId="77777777" w:rsidR="002E012B" w:rsidRPr="00D1408C" w:rsidRDefault="002E012B" w:rsidP="002E012B">
            <w:pPr>
              <w:pStyle w:val="Normal314"/>
              <w:rPr>
                <w:rFonts w:asciiTheme="minorHAnsi" w:hAnsiTheme="minorHAnsi" w:cstheme="minorHAnsi"/>
                <w:bCs/>
                <w:color w:val="auto"/>
                <w:sz w:val="20"/>
                <w:szCs w:val="20"/>
              </w:rPr>
            </w:pPr>
          </w:p>
          <w:p w14:paraId="0058A7EA" w14:textId="77777777" w:rsidR="002E012B" w:rsidRPr="00D1408C" w:rsidRDefault="002E012B" w:rsidP="002E012B">
            <w:pPr>
              <w:pStyle w:val="Normal314"/>
              <w:rPr>
                <w:rFonts w:asciiTheme="minorHAnsi" w:hAnsiTheme="minorHAnsi" w:cstheme="minorHAnsi"/>
                <w:bCs/>
                <w:color w:val="auto"/>
                <w:sz w:val="20"/>
                <w:szCs w:val="20"/>
              </w:rPr>
            </w:pPr>
          </w:p>
          <w:p w14:paraId="642E61D8" w14:textId="77777777" w:rsidR="002E012B" w:rsidRPr="00D1408C" w:rsidRDefault="002E012B" w:rsidP="002E012B">
            <w:pPr>
              <w:pStyle w:val="Normal314"/>
              <w:rPr>
                <w:rFonts w:asciiTheme="minorHAnsi" w:hAnsiTheme="minorHAnsi" w:cstheme="minorHAnsi"/>
                <w:bCs/>
                <w:color w:val="auto"/>
                <w:sz w:val="20"/>
                <w:szCs w:val="20"/>
              </w:rPr>
            </w:pPr>
          </w:p>
          <w:p w14:paraId="626C9141" w14:textId="77777777" w:rsidR="002E012B" w:rsidRPr="00D1408C" w:rsidRDefault="002E012B" w:rsidP="002E012B">
            <w:pPr>
              <w:pStyle w:val="Normal314"/>
              <w:rPr>
                <w:rFonts w:asciiTheme="minorHAnsi" w:hAnsiTheme="minorHAnsi" w:cstheme="minorHAnsi"/>
                <w:bCs/>
                <w:color w:val="auto"/>
                <w:sz w:val="20"/>
                <w:szCs w:val="20"/>
              </w:rPr>
            </w:pPr>
          </w:p>
          <w:p w14:paraId="7A0D6784" w14:textId="77777777" w:rsidR="002E012B" w:rsidRPr="00D1408C" w:rsidRDefault="002E012B" w:rsidP="002E012B">
            <w:pPr>
              <w:pStyle w:val="Normal314"/>
              <w:rPr>
                <w:rFonts w:asciiTheme="minorHAnsi" w:hAnsiTheme="minorHAnsi" w:cstheme="minorHAnsi"/>
                <w:bCs/>
                <w:color w:val="auto"/>
                <w:sz w:val="20"/>
                <w:szCs w:val="20"/>
              </w:rPr>
            </w:pPr>
          </w:p>
          <w:p w14:paraId="6F492B49" w14:textId="77777777" w:rsidR="002E012B" w:rsidRPr="00D1408C" w:rsidRDefault="002E012B" w:rsidP="002E012B">
            <w:pPr>
              <w:pStyle w:val="Normal314"/>
              <w:rPr>
                <w:rFonts w:asciiTheme="minorHAnsi" w:hAnsiTheme="minorHAnsi" w:cstheme="minorHAnsi"/>
                <w:color w:val="auto"/>
                <w:sz w:val="20"/>
                <w:szCs w:val="20"/>
              </w:rPr>
            </w:pPr>
            <w:r w:rsidRPr="00D1408C">
              <w:rPr>
                <w:rFonts w:asciiTheme="minorHAnsi" w:hAnsiTheme="minorHAnsi" w:cstheme="minorHAnsi"/>
                <w:color w:val="auto"/>
                <w:sz w:val="20"/>
                <w:szCs w:val="20"/>
              </w:rPr>
              <w:t xml:space="preserve">July 31, </w:t>
            </w:r>
            <w:proofErr w:type="gramStart"/>
            <w:r w:rsidRPr="00D1408C">
              <w:rPr>
                <w:rFonts w:asciiTheme="minorHAnsi" w:hAnsiTheme="minorHAnsi" w:cstheme="minorHAnsi"/>
                <w:color w:val="auto"/>
                <w:sz w:val="20"/>
                <w:szCs w:val="20"/>
              </w:rPr>
              <w:t>2021</w:t>
            </w:r>
            <w:proofErr w:type="gramEnd"/>
            <w:r w:rsidRPr="00D1408C">
              <w:rPr>
                <w:rFonts w:asciiTheme="minorHAnsi" w:hAnsiTheme="minorHAnsi" w:cstheme="minorHAnsi"/>
                <w:color w:val="auto"/>
                <w:sz w:val="20"/>
                <w:szCs w:val="20"/>
              </w:rPr>
              <w:t xml:space="preserve"> and onwards</w:t>
            </w:r>
          </w:p>
          <w:p w14:paraId="650E84EE" w14:textId="77777777" w:rsidR="002E012B" w:rsidRPr="00D1408C" w:rsidRDefault="002E012B" w:rsidP="002E012B">
            <w:pPr>
              <w:pStyle w:val="Normal314"/>
              <w:rPr>
                <w:rFonts w:asciiTheme="minorHAnsi" w:hAnsiTheme="minorHAnsi" w:cstheme="minorHAnsi"/>
                <w:color w:val="auto"/>
                <w:sz w:val="20"/>
                <w:szCs w:val="20"/>
              </w:rPr>
            </w:pPr>
          </w:p>
        </w:tc>
        <w:tc>
          <w:tcPr>
            <w:tcW w:w="503" w:type="pct"/>
          </w:tcPr>
          <w:p w14:paraId="48BEFC5F" w14:textId="27D8BB43" w:rsidR="002E012B" w:rsidRDefault="002E012B" w:rsidP="002E012B">
            <w:pPr>
              <w:pStyle w:val="Normal314"/>
              <w:rPr>
                <w:rFonts w:asciiTheme="minorHAnsi" w:hAnsiTheme="minorHAnsi" w:cstheme="minorHAnsi"/>
                <w:bCs/>
                <w:color w:val="auto"/>
                <w:sz w:val="20"/>
                <w:szCs w:val="20"/>
              </w:rPr>
            </w:pPr>
            <w:r>
              <w:rPr>
                <w:rFonts w:asciiTheme="minorHAnsi" w:hAnsiTheme="minorHAnsi" w:cstheme="minorHAnsi"/>
                <w:bCs/>
                <w:color w:val="auto"/>
                <w:sz w:val="20"/>
                <w:szCs w:val="20"/>
              </w:rPr>
              <w:lastRenderedPageBreak/>
              <w:t>-</w:t>
            </w:r>
          </w:p>
          <w:p w14:paraId="1223B31E" w14:textId="77777777" w:rsidR="002E012B" w:rsidRDefault="002E012B" w:rsidP="002E012B">
            <w:pPr>
              <w:pStyle w:val="Normal314"/>
              <w:rPr>
                <w:rFonts w:asciiTheme="minorHAnsi" w:hAnsiTheme="minorHAnsi" w:cstheme="minorHAnsi"/>
                <w:bCs/>
                <w:color w:val="auto"/>
                <w:sz w:val="20"/>
                <w:szCs w:val="20"/>
              </w:rPr>
            </w:pPr>
          </w:p>
          <w:p w14:paraId="0F44EF85" w14:textId="77777777" w:rsidR="002E012B" w:rsidRDefault="002E012B" w:rsidP="002E012B">
            <w:pPr>
              <w:pStyle w:val="Normal314"/>
              <w:rPr>
                <w:rFonts w:asciiTheme="minorHAnsi" w:hAnsiTheme="minorHAnsi" w:cstheme="minorHAnsi"/>
                <w:bCs/>
                <w:color w:val="auto"/>
                <w:sz w:val="20"/>
                <w:szCs w:val="20"/>
              </w:rPr>
            </w:pPr>
          </w:p>
          <w:p w14:paraId="7ABAAEC5" w14:textId="77777777" w:rsidR="002E012B" w:rsidRDefault="002E012B" w:rsidP="002E012B">
            <w:pPr>
              <w:pStyle w:val="Normal314"/>
              <w:rPr>
                <w:rFonts w:asciiTheme="minorHAnsi" w:hAnsiTheme="minorHAnsi" w:cstheme="minorHAnsi"/>
                <w:bCs/>
                <w:color w:val="auto"/>
                <w:sz w:val="20"/>
                <w:szCs w:val="20"/>
              </w:rPr>
            </w:pPr>
          </w:p>
          <w:p w14:paraId="18E125CF" w14:textId="77777777" w:rsidR="002E012B" w:rsidRDefault="002E012B" w:rsidP="002E012B">
            <w:pPr>
              <w:pStyle w:val="Normal314"/>
              <w:rPr>
                <w:rFonts w:asciiTheme="minorHAnsi" w:hAnsiTheme="minorHAnsi" w:cstheme="minorHAnsi"/>
                <w:bCs/>
                <w:color w:val="auto"/>
                <w:sz w:val="20"/>
                <w:szCs w:val="20"/>
              </w:rPr>
            </w:pPr>
          </w:p>
          <w:p w14:paraId="10EACAAA" w14:textId="77777777" w:rsidR="002E012B" w:rsidRDefault="002E012B" w:rsidP="002E012B">
            <w:pPr>
              <w:pStyle w:val="Normal314"/>
              <w:rPr>
                <w:rFonts w:asciiTheme="minorHAnsi" w:hAnsiTheme="minorHAnsi" w:cstheme="minorHAnsi"/>
                <w:bCs/>
                <w:color w:val="auto"/>
                <w:sz w:val="20"/>
                <w:szCs w:val="20"/>
              </w:rPr>
            </w:pPr>
          </w:p>
          <w:p w14:paraId="1E5F3574" w14:textId="77777777" w:rsidR="002E012B" w:rsidRDefault="002E012B" w:rsidP="002E012B">
            <w:pPr>
              <w:pStyle w:val="Normal314"/>
              <w:rPr>
                <w:rFonts w:asciiTheme="minorHAnsi" w:hAnsiTheme="minorHAnsi" w:cstheme="minorHAnsi"/>
                <w:bCs/>
                <w:color w:val="auto"/>
                <w:sz w:val="20"/>
                <w:szCs w:val="20"/>
              </w:rPr>
            </w:pPr>
          </w:p>
          <w:p w14:paraId="55E49FB6" w14:textId="77777777" w:rsidR="002E012B" w:rsidRDefault="002E012B" w:rsidP="002E012B">
            <w:pPr>
              <w:pStyle w:val="Normal314"/>
              <w:rPr>
                <w:rFonts w:asciiTheme="minorHAnsi" w:hAnsiTheme="minorHAnsi" w:cstheme="minorHAnsi"/>
                <w:bCs/>
                <w:color w:val="auto"/>
                <w:sz w:val="20"/>
                <w:szCs w:val="20"/>
              </w:rPr>
            </w:pPr>
          </w:p>
          <w:p w14:paraId="09A9E6F2" w14:textId="77777777" w:rsidR="002E012B" w:rsidRDefault="002E012B" w:rsidP="002E012B">
            <w:pPr>
              <w:pStyle w:val="Normal314"/>
              <w:rPr>
                <w:rFonts w:asciiTheme="minorHAnsi" w:hAnsiTheme="minorHAnsi" w:cstheme="minorHAnsi"/>
                <w:bCs/>
                <w:color w:val="auto"/>
                <w:sz w:val="20"/>
                <w:szCs w:val="20"/>
              </w:rPr>
            </w:pPr>
            <w:r>
              <w:rPr>
                <w:rFonts w:asciiTheme="minorHAnsi" w:hAnsiTheme="minorHAnsi" w:cstheme="minorHAnsi"/>
                <w:bCs/>
                <w:color w:val="auto"/>
                <w:sz w:val="20"/>
                <w:szCs w:val="20"/>
              </w:rPr>
              <w:t>Nov. 30, 2022</w:t>
            </w:r>
          </w:p>
          <w:p w14:paraId="132B1F5C" w14:textId="77777777" w:rsidR="002E012B" w:rsidRDefault="002E012B" w:rsidP="002E012B">
            <w:pPr>
              <w:pStyle w:val="Normal314"/>
              <w:rPr>
                <w:rFonts w:asciiTheme="minorHAnsi" w:hAnsiTheme="minorHAnsi" w:cstheme="minorHAnsi"/>
                <w:bCs/>
                <w:color w:val="auto"/>
                <w:sz w:val="20"/>
                <w:szCs w:val="20"/>
              </w:rPr>
            </w:pPr>
          </w:p>
          <w:p w14:paraId="3A738AC0" w14:textId="77777777" w:rsidR="002E012B" w:rsidRDefault="002E012B" w:rsidP="002E012B">
            <w:pPr>
              <w:pStyle w:val="Normal314"/>
              <w:rPr>
                <w:rFonts w:asciiTheme="minorHAnsi" w:hAnsiTheme="minorHAnsi" w:cstheme="minorHAnsi"/>
                <w:bCs/>
                <w:color w:val="auto"/>
                <w:sz w:val="20"/>
                <w:szCs w:val="20"/>
              </w:rPr>
            </w:pPr>
          </w:p>
          <w:p w14:paraId="321DC7A2" w14:textId="77777777" w:rsidR="002E012B" w:rsidRDefault="002E012B" w:rsidP="002E012B">
            <w:pPr>
              <w:pStyle w:val="Normal314"/>
              <w:rPr>
                <w:rFonts w:asciiTheme="minorHAnsi" w:hAnsiTheme="minorHAnsi" w:cstheme="minorHAnsi"/>
                <w:bCs/>
                <w:color w:val="auto"/>
                <w:sz w:val="20"/>
                <w:szCs w:val="20"/>
              </w:rPr>
            </w:pPr>
          </w:p>
          <w:p w14:paraId="5BEB4D37" w14:textId="77777777" w:rsidR="002E012B" w:rsidRDefault="002E012B" w:rsidP="002E012B">
            <w:pPr>
              <w:pStyle w:val="Normal314"/>
              <w:rPr>
                <w:rFonts w:asciiTheme="minorHAnsi" w:hAnsiTheme="minorHAnsi" w:cstheme="minorHAnsi"/>
                <w:bCs/>
                <w:color w:val="auto"/>
                <w:sz w:val="20"/>
                <w:szCs w:val="20"/>
              </w:rPr>
            </w:pPr>
          </w:p>
          <w:p w14:paraId="0578BDB3" w14:textId="77777777" w:rsidR="002E012B" w:rsidRDefault="002E012B" w:rsidP="002E012B">
            <w:pPr>
              <w:pStyle w:val="Normal314"/>
              <w:rPr>
                <w:rFonts w:asciiTheme="minorHAnsi" w:hAnsiTheme="minorHAnsi" w:cstheme="minorHAnsi"/>
                <w:bCs/>
                <w:color w:val="auto"/>
                <w:sz w:val="20"/>
                <w:szCs w:val="20"/>
              </w:rPr>
            </w:pPr>
          </w:p>
          <w:p w14:paraId="04B9E20C" w14:textId="458EE392" w:rsidR="002E012B" w:rsidRDefault="002E012B" w:rsidP="002E012B">
            <w:pPr>
              <w:pStyle w:val="Normal314"/>
              <w:rPr>
                <w:rFonts w:asciiTheme="minorHAnsi" w:hAnsiTheme="minorHAnsi" w:cstheme="minorHAnsi"/>
                <w:bCs/>
                <w:color w:val="auto"/>
                <w:sz w:val="20"/>
                <w:szCs w:val="20"/>
              </w:rPr>
            </w:pPr>
            <w:r>
              <w:rPr>
                <w:rFonts w:asciiTheme="minorHAnsi" w:hAnsiTheme="minorHAnsi" w:cstheme="minorHAnsi"/>
                <w:bCs/>
                <w:color w:val="auto"/>
                <w:sz w:val="20"/>
                <w:szCs w:val="20"/>
              </w:rPr>
              <w:t>July 31, 2023</w:t>
            </w:r>
          </w:p>
          <w:p w14:paraId="29440866" w14:textId="77777777" w:rsidR="002E012B" w:rsidRDefault="002E012B" w:rsidP="002E012B">
            <w:pPr>
              <w:pStyle w:val="Normal314"/>
              <w:rPr>
                <w:rFonts w:asciiTheme="minorHAnsi" w:hAnsiTheme="minorHAnsi" w:cstheme="minorHAnsi"/>
                <w:bCs/>
                <w:color w:val="auto"/>
                <w:sz w:val="20"/>
                <w:szCs w:val="20"/>
              </w:rPr>
            </w:pPr>
          </w:p>
          <w:p w14:paraId="718872C3" w14:textId="7A36F438" w:rsidR="002E012B" w:rsidRPr="00D1408C" w:rsidRDefault="002E012B" w:rsidP="002E012B">
            <w:pPr>
              <w:pStyle w:val="Normal314"/>
              <w:rPr>
                <w:rFonts w:asciiTheme="minorHAnsi" w:hAnsiTheme="minorHAnsi" w:cstheme="minorHAnsi"/>
                <w:bCs/>
                <w:color w:val="auto"/>
                <w:sz w:val="20"/>
                <w:szCs w:val="20"/>
              </w:rPr>
            </w:pPr>
          </w:p>
        </w:tc>
        <w:tc>
          <w:tcPr>
            <w:tcW w:w="440" w:type="pct"/>
          </w:tcPr>
          <w:p w14:paraId="5F66D6AC" w14:textId="77777777" w:rsidR="002E012B" w:rsidRDefault="002E012B" w:rsidP="002E012B">
            <w:pPr>
              <w:pStyle w:val="Normal314"/>
              <w:rPr>
                <w:rFonts w:asciiTheme="minorHAnsi" w:hAnsiTheme="minorHAnsi" w:cstheme="minorHAnsi"/>
                <w:bCs/>
                <w:color w:val="auto"/>
                <w:sz w:val="20"/>
                <w:szCs w:val="20"/>
              </w:rPr>
            </w:pPr>
            <w:r>
              <w:rPr>
                <w:rFonts w:asciiTheme="minorHAnsi" w:hAnsiTheme="minorHAnsi" w:cstheme="minorHAnsi"/>
                <w:bCs/>
                <w:color w:val="auto"/>
                <w:sz w:val="20"/>
                <w:szCs w:val="20"/>
              </w:rPr>
              <w:lastRenderedPageBreak/>
              <w:t>Completed</w:t>
            </w:r>
          </w:p>
          <w:p w14:paraId="0F1A2322" w14:textId="77777777" w:rsidR="002E012B" w:rsidRDefault="002E012B" w:rsidP="002E012B">
            <w:pPr>
              <w:pStyle w:val="Normal314"/>
              <w:rPr>
                <w:rFonts w:asciiTheme="minorHAnsi" w:hAnsiTheme="minorHAnsi" w:cstheme="minorHAnsi"/>
                <w:bCs/>
                <w:color w:val="auto"/>
                <w:sz w:val="20"/>
                <w:szCs w:val="20"/>
              </w:rPr>
            </w:pPr>
          </w:p>
          <w:p w14:paraId="199DA975" w14:textId="77777777" w:rsidR="002E012B" w:rsidRDefault="002E012B" w:rsidP="002E012B">
            <w:pPr>
              <w:pStyle w:val="Normal314"/>
              <w:rPr>
                <w:rFonts w:asciiTheme="minorHAnsi" w:hAnsiTheme="minorHAnsi" w:cstheme="minorHAnsi"/>
                <w:bCs/>
                <w:color w:val="auto"/>
                <w:sz w:val="20"/>
                <w:szCs w:val="20"/>
              </w:rPr>
            </w:pPr>
          </w:p>
          <w:p w14:paraId="7FBF4B8D" w14:textId="77777777" w:rsidR="002E012B" w:rsidRDefault="002E012B" w:rsidP="002E012B">
            <w:pPr>
              <w:pStyle w:val="Normal314"/>
              <w:rPr>
                <w:rFonts w:asciiTheme="minorHAnsi" w:hAnsiTheme="minorHAnsi" w:cstheme="minorHAnsi"/>
                <w:bCs/>
                <w:color w:val="auto"/>
                <w:sz w:val="20"/>
                <w:szCs w:val="20"/>
              </w:rPr>
            </w:pPr>
          </w:p>
          <w:p w14:paraId="15982F62" w14:textId="77777777" w:rsidR="002E012B" w:rsidRDefault="002E012B" w:rsidP="002E012B">
            <w:pPr>
              <w:pStyle w:val="Normal314"/>
              <w:rPr>
                <w:rFonts w:asciiTheme="minorHAnsi" w:hAnsiTheme="minorHAnsi" w:cstheme="minorHAnsi"/>
                <w:bCs/>
                <w:color w:val="auto"/>
                <w:sz w:val="20"/>
                <w:szCs w:val="20"/>
              </w:rPr>
            </w:pPr>
          </w:p>
          <w:p w14:paraId="2ECE4B36" w14:textId="77777777" w:rsidR="002E012B" w:rsidRDefault="002E012B" w:rsidP="002E012B">
            <w:pPr>
              <w:pStyle w:val="Normal314"/>
              <w:rPr>
                <w:rFonts w:asciiTheme="minorHAnsi" w:hAnsiTheme="minorHAnsi" w:cstheme="minorHAnsi"/>
                <w:bCs/>
                <w:color w:val="auto"/>
                <w:sz w:val="20"/>
                <w:szCs w:val="20"/>
              </w:rPr>
            </w:pPr>
          </w:p>
          <w:p w14:paraId="6A353333" w14:textId="77777777" w:rsidR="002E012B" w:rsidRDefault="002E012B" w:rsidP="002E012B">
            <w:pPr>
              <w:pStyle w:val="Normal314"/>
              <w:rPr>
                <w:rFonts w:asciiTheme="minorHAnsi" w:hAnsiTheme="minorHAnsi" w:cstheme="minorHAnsi"/>
                <w:bCs/>
                <w:color w:val="auto"/>
                <w:sz w:val="20"/>
                <w:szCs w:val="20"/>
              </w:rPr>
            </w:pPr>
          </w:p>
          <w:p w14:paraId="2147FAE2" w14:textId="77777777" w:rsidR="002E012B" w:rsidRDefault="002E012B" w:rsidP="002E012B">
            <w:pPr>
              <w:pStyle w:val="Normal314"/>
              <w:rPr>
                <w:rFonts w:asciiTheme="minorHAnsi" w:hAnsiTheme="minorHAnsi" w:cstheme="minorHAnsi"/>
                <w:bCs/>
                <w:color w:val="auto"/>
                <w:sz w:val="20"/>
                <w:szCs w:val="20"/>
              </w:rPr>
            </w:pPr>
          </w:p>
          <w:p w14:paraId="5B51A159" w14:textId="77777777" w:rsidR="002E012B" w:rsidRDefault="002E012B" w:rsidP="002E012B">
            <w:pPr>
              <w:pStyle w:val="Normal314"/>
              <w:rPr>
                <w:rFonts w:asciiTheme="minorHAnsi" w:hAnsiTheme="minorHAnsi" w:cstheme="minorHAnsi"/>
                <w:bCs/>
                <w:color w:val="auto"/>
                <w:sz w:val="20"/>
                <w:szCs w:val="20"/>
              </w:rPr>
            </w:pPr>
            <w:r>
              <w:rPr>
                <w:rFonts w:asciiTheme="minorHAnsi" w:hAnsiTheme="minorHAnsi" w:cstheme="minorHAnsi"/>
                <w:bCs/>
                <w:color w:val="auto"/>
                <w:sz w:val="20"/>
                <w:szCs w:val="20"/>
              </w:rPr>
              <w:t>In-progress</w:t>
            </w:r>
          </w:p>
          <w:p w14:paraId="5F093B97" w14:textId="77777777" w:rsidR="002E012B" w:rsidRDefault="002E012B" w:rsidP="002E012B">
            <w:pPr>
              <w:pStyle w:val="Normal314"/>
              <w:rPr>
                <w:rFonts w:asciiTheme="minorHAnsi" w:hAnsiTheme="minorHAnsi" w:cstheme="minorHAnsi"/>
                <w:bCs/>
                <w:color w:val="auto"/>
                <w:sz w:val="20"/>
                <w:szCs w:val="20"/>
              </w:rPr>
            </w:pPr>
          </w:p>
          <w:p w14:paraId="5C034F57" w14:textId="77777777" w:rsidR="002E012B" w:rsidRDefault="002E012B" w:rsidP="002E012B">
            <w:pPr>
              <w:pStyle w:val="Normal314"/>
              <w:rPr>
                <w:rFonts w:asciiTheme="minorHAnsi" w:hAnsiTheme="minorHAnsi" w:cstheme="minorHAnsi"/>
                <w:bCs/>
                <w:color w:val="auto"/>
                <w:sz w:val="20"/>
                <w:szCs w:val="20"/>
              </w:rPr>
            </w:pPr>
          </w:p>
          <w:p w14:paraId="25C81094" w14:textId="77777777" w:rsidR="002E012B" w:rsidRDefault="002E012B" w:rsidP="002E012B">
            <w:pPr>
              <w:pStyle w:val="Normal314"/>
              <w:rPr>
                <w:rFonts w:asciiTheme="minorHAnsi" w:hAnsiTheme="minorHAnsi" w:cstheme="minorHAnsi"/>
                <w:bCs/>
                <w:color w:val="auto"/>
                <w:sz w:val="20"/>
                <w:szCs w:val="20"/>
              </w:rPr>
            </w:pPr>
          </w:p>
          <w:p w14:paraId="4064D563" w14:textId="77777777" w:rsidR="002E012B" w:rsidRDefault="002E012B" w:rsidP="002E012B">
            <w:pPr>
              <w:pStyle w:val="Normal314"/>
              <w:rPr>
                <w:rFonts w:asciiTheme="minorHAnsi" w:hAnsiTheme="minorHAnsi" w:cstheme="minorHAnsi"/>
                <w:bCs/>
                <w:color w:val="auto"/>
                <w:sz w:val="20"/>
                <w:szCs w:val="20"/>
              </w:rPr>
            </w:pPr>
          </w:p>
          <w:p w14:paraId="2DFAD34B" w14:textId="77777777" w:rsidR="002E012B" w:rsidRDefault="002E012B" w:rsidP="002E012B">
            <w:pPr>
              <w:pStyle w:val="Normal314"/>
              <w:rPr>
                <w:rFonts w:asciiTheme="minorHAnsi" w:hAnsiTheme="minorHAnsi" w:cstheme="minorHAnsi"/>
                <w:bCs/>
                <w:color w:val="auto"/>
                <w:sz w:val="20"/>
                <w:szCs w:val="20"/>
              </w:rPr>
            </w:pPr>
          </w:p>
          <w:p w14:paraId="3BD13910" w14:textId="27E99CB0" w:rsidR="002E012B" w:rsidRDefault="002E012B" w:rsidP="002E012B">
            <w:pPr>
              <w:pStyle w:val="Normal314"/>
              <w:rPr>
                <w:rFonts w:asciiTheme="minorHAnsi" w:hAnsiTheme="minorHAnsi" w:cstheme="minorHAnsi"/>
                <w:bCs/>
                <w:color w:val="auto"/>
                <w:sz w:val="20"/>
                <w:szCs w:val="20"/>
              </w:rPr>
            </w:pPr>
            <w:r>
              <w:rPr>
                <w:rFonts w:asciiTheme="minorHAnsi" w:hAnsiTheme="minorHAnsi" w:cstheme="minorHAnsi"/>
                <w:bCs/>
                <w:color w:val="auto"/>
                <w:sz w:val="20"/>
                <w:szCs w:val="20"/>
              </w:rPr>
              <w:t>Not started yet</w:t>
            </w:r>
          </w:p>
          <w:p w14:paraId="6B2F07F6" w14:textId="35D4B284" w:rsidR="002E012B" w:rsidRPr="00D1408C" w:rsidRDefault="002E012B" w:rsidP="002E012B">
            <w:pPr>
              <w:pStyle w:val="Normal314"/>
              <w:rPr>
                <w:rFonts w:asciiTheme="minorHAnsi" w:hAnsiTheme="minorHAnsi" w:cstheme="minorHAnsi"/>
                <w:bCs/>
                <w:color w:val="auto"/>
                <w:sz w:val="20"/>
                <w:szCs w:val="20"/>
              </w:rPr>
            </w:pPr>
          </w:p>
        </w:tc>
      </w:tr>
    </w:tbl>
    <w:p w14:paraId="397D8625" w14:textId="77777777" w:rsidR="00D1408C" w:rsidRDefault="00D1408C" w:rsidP="002003F7">
      <w:pPr>
        <w:tabs>
          <w:tab w:val="left" w:pos="1695"/>
        </w:tabs>
        <w:ind w:left="-720"/>
        <w:rPr>
          <w:rFonts w:asciiTheme="minorHAnsi" w:hAnsiTheme="minorHAnsi"/>
          <w:sz w:val="22"/>
          <w:szCs w:val="22"/>
        </w:rPr>
      </w:pPr>
    </w:p>
    <w:p w14:paraId="1FF22E25" w14:textId="77777777" w:rsidR="002003F7" w:rsidRDefault="002003F7" w:rsidP="00F86E56">
      <w:pPr>
        <w:tabs>
          <w:tab w:val="left" w:pos="1695"/>
        </w:tabs>
        <w:spacing w:line="14" w:lineRule="exact"/>
        <w:ind w:left="-720"/>
        <w:rPr>
          <w:rFonts w:asciiTheme="minorHAnsi" w:hAnsiTheme="minorHAnsi"/>
          <w:sz w:val="22"/>
          <w:szCs w:val="22"/>
        </w:rPr>
      </w:pPr>
    </w:p>
    <w:p w14:paraId="68DEFC8B" w14:textId="10787D26" w:rsidR="003648D7" w:rsidRDefault="003648D7" w:rsidP="002003F7">
      <w:pPr>
        <w:tabs>
          <w:tab w:val="left" w:pos="1695"/>
        </w:tabs>
        <w:ind w:left="-720"/>
        <w:rPr>
          <w:rFonts w:asciiTheme="minorHAnsi" w:hAnsiTheme="minorHAnsi"/>
          <w:sz w:val="22"/>
          <w:szCs w:val="22"/>
        </w:rPr>
      </w:pPr>
    </w:p>
    <w:p w14:paraId="7965CDD4" w14:textId="58C903D7" w:rsidR="003648D7" w:rsidRDefault="003648D7" w:rsidP="002003F7">
      <w:pPr>
        <w:tabs>
          <w:tab w:val="left" w:pos="1695"/>
        </w:tabs>
        <w:ind w:left="-720"/>
        <w:rPr>
          <w:rFonts w:asciiTheme="minorHAnsi" w:hAnsiTheme="minorHAnsi"/>
          <w:sz w:val="22"/>
          <w:szCs w:val="22"/>
        </w:rPr>
      </w:pPr>
    </w:p>
    <w:p w14:paraId="32A52CEB" w14:textId="30E1990D" w:rsidR="003648D7" w:rsidRDefault="003648D7" w:rsidP="002003F7">
      <w:pPr>
        <w:tabs>
          <w:tab w:val="left" w:pos="1695"/>
        </w:tabs>
        <w:ind w:left="-720"/>
        <w:rPr>
          <w:rFonts w:asciiTheme="minorHAnsi" w:hAnsiTheme="minorHAnsi"/>
          <w:sz w:val="22"/>
          <w:szCs w:val="22"/>
        </w:rPr>
      </w:pPr>
    </w:p>
    <w:p w14:paraId="59B95D11" w14:textId="77033CEA" w:rsidR="003648D7" w:rsidRDefault="003648D7" w:rsidP="002003F7">
      <w:pPr>
        <w:tabs>
          <w:tab w:val="left" w:pos="1695"/>
        </w:tabs>
        <w:ind w:left="-720"/>
        <w:rPr>
          <w:rFonts w:asciiTheme="minorHAnsi" w:hAnsiTheme="minorHAnsi"/>
          <w:sz w:val="22"/>
          <w:szCs w:val="22"/>
        </w:rPr>
      </w:pPr>
    </w:p>
    <w:p w14:paraId="5244E1EE" w14:textId="330483D6" w:rsidR="003648D7" w:rsidRDefault="003648D7" w:rsidP="002003F7">
      <w:pPr>
        <w:tabs>
          <w:tab w:val="left" w:pos="1695"/>
        </w:tabs>
        <w:ind w:left="-720"/>
        <w:rPr>
          <w:rFonts w:asciiTheme="minorHAnsi" w:hAnsiTheme="minorHAnsi"/>
          <w:sz w:val="22"/>
          <w:szCs w:val="22"/>
        </w:rPr>
      </w:pPr>
    </w:p>
    <w:p w14:paraId="4F42808F" w14:textId="17D7D1F0" w:rsidR="003648D7" w:rsidRDefault="003648D7" w:rsidP="002003F7">
      <w:pPr>
        <w:tabs>
          <w:tab w:val="left" w:pos="1695"/>
        </w:tabs>
        <w:ind w:left="-720"/>
        <w:rPr>
          <w:rFonts w:asciiTheme="minorHAnsi" w:hAnsiTheme="minorHAnsi"/>
          <w:sz w:val="22"/>
          <w:szCs w:val="22"/>
        </w:rPr>
      </w:pPr>
    </w:p>
    <w:p w14:paraId="4D9D93B1" w14:textId="0FDE9254" w:rsidR="003648D7" w:rsidRDefault="003648D7" w:rsidP="002003F7">
      <w:pPr>
        <w:tabs>
          <w:tab w:val="left" w:pos="1695"/>
        </w:tabs>
        <w:ind w:left="-720"/>
        <w:rPr>
          <w:rFonts w:asciiTheme="minorHAnsi" w:hAnsiTheme="minorHAnsi"/>
          <w:sz w:val="22"/>
          <w:szCs w:val="22"/>
        </w:rPr>
      </w:pPr>
    </w:p>
    <w:p w14:paraId="68A04860" w14:textId="351CBE58" w:rsidR="003648D7" w:rsidRDefault="003648D7" w:rsidP="002003F7">
      <w:pPr>
        <w:tabs>
          <w:tab w:val="left" w:pos="1695"/>
        </w:tabs>
        <w:ind w:left="-720"/>
        <w:rPr>
          <w:rFonts w:asciiTheme="minorHAnsi" w:hAnsiTheme="minorHAnsi"/>
          <w:sz w:val="22"/>
          <w:szCs w:val="22"/>
        </w:rPr>
      </w:pPr>
    </w:p>
    <w:p w14:paraId="2ABF14E8" w14:textId="7B627E60" w:rsidR="003648D7" w:rsidRDefault="003648D7" w:rsidP="002003F7">
      <w:pPr>
        <w:tabs>
          <w:tab w:val="left" w:pos="1695"/>
        </w:tabs>
        <w:ind w:left="-720"/>
        <w:rPr>
          <w:rFonts w:asciiTheme="minorHAnsi" w:hAnsiTheme="minorHAnsi"/>
          <w:sz w:val="22"/>
          <w:szCs w:val="22"/>
        </w:rPr>
      </w:pPr>
    </w:p>
    <w:p w14:paraId="0C973452" w14:textId="4CEC59D6" w:rsidR="003648D7" w:rsidRDefault="003648D7" w:rsidP="002003F7">
      <w:pPr>
        <w:tabs>
          <w:tab w:val="left" w:pos="1695"/>
        </w:tabs>
        <w:ind w:left="-720"/>
        <w:rPr>
          <w:rFonts w:asciiTheme="minorHAnsi" w:hAnsiTheme="minorHAnsi"/>
          <w:sz w:val="22"/>
          <w:szCs w:val="22"/>
        </w:rPr>
      </w:pPr>
    </w:p>
    <w:p w14:paraId="223F5377" w14:textId="654BBABE" w:rsidR="003648D7" w:rsidRDefault="003648D7" w:rsidP="002003F7">
      <w:pPr>
        <w:tabs>
          <w:tab w:val="left" w:pos="1695"/>
        </w:tabs>
        <w:ind w:left="-720"/>
        <w:rPr>
          <w:rFonts w:asciiTheme="minorHAnsi" w:hAnsiTheme="minorHAnsi"/>
          <w:sz w:val="22"/>
          <w:szCs w:val="22"/>
        </w:rPr>
      </w:pPr>
    </w:p>
    <w:p w14:paraId="25480981" w14:textId="7A1CB9D4" w:rsidR="003648D7" w:rsidRDefault="003648D7" w:rsidP="002003F7">
      <w:pPr>
        <w:tabs>
          <w:tab w:val="left" w:pos="1695"/>
        </w:tabs>
        <w:ind w:left="-720"/>
        <w:rPr>
          <w:rFonts w:asciiTheme="minorHAnsi" w:hAnsiTheme="minorHAnsi"/>
          <w:sz w:val="22"/>
          <w:szCs w:val="22"/>
        </w:rPr>
      </w:pPr>
    </w:p>
    <w:p w14:paraId="3B11EA8F" w14:textId="77777777" w:rsidR="003648D7" w:rsidRDefault="003648D7" w:rsidP="002003F7">
      <w:pPr>
        <w:tabs>
          <w:tab w:val="left" w:pos="1695"/>
        </w:tabs>
        <w:ind w:left="-720"/>
        <w:rPr>
          <w:rFonts w:asciiTheme="minorHAnsi" w:hAnsiTheme="minorHAnsi"/>
          <w:sz w:val="22"/>
          <w:szCs w:val="22"/>
        </w:rPr>
      </w:pPr>
    </w:p>
    <w:p w14:paraId="2D7D7DD1" w14:textId="77777777" w:rsidR="002448E7" w:rsidRDefault="002448E7" w:rsidP="002003F7">
      <w:pPr>
        <w:tabs>
          <w:tab w:val="left" w:pos="1695"/>
        </w:tabs>
        <w:ind w:left="-720"/>
        <w:rPr>
          <w:rFonts w:asciiTheme="minorHAnsi" w:hAnsiTheme="minorHAnsi"/>
          <w:sz w:val="22"/>
          <w:szCs w:val="22"/>
        </w:rPr>
      </w:pPr>
    </w:p>
    <w:p w14:paraId="2E0CFB50" w14:textId="77777777" w:rsidR="002448E7" w:rsidRDefault="002448E7" w:rsidP="002003F7">
      <w:pPr>
        <w:tabs>
          <w:tab w:val="left" w:pos="1695"/>
        </w:tabs>
        <w:ind w:left="-720"/>
        <w:rPr>
          <w:rFonts w:asciiTheme="minorHAnsi" w:hAnsiTheme="minorHAnsi"/>
          <w:sz w:val="22"/>
          <w:szCs w:val="22"/>
        </w:rPr>
      </w:pPr>
    </w:p>
    <w:p w14:paraId="31CC0FEC" w14:textId="77777777" w:rsidR="002448E7" w:rsidRDefault="002448E7" w:rsidP="002003F7">
      <w:pPr>
        <w:tabs>
          <w:tab w:val="left" w:pos="1695"/>
        </w:tabs>
        <w:ind w:left="-720"/>
        <w:rPr>
          <w:rFonts w:asciiTheme="minorHAnsi" w:hAnsiTheme="minorHAnsi"/>
          <w:sz w:val="22"/>
          <w:szCs w:val="22"/>
        </w:rPr>
        <w:sectPr w:rsidR="002448E7" w:rsidSect="002448E7">
          <w:type w:val="continuous"/>
          <w:pgSz w:w="15840" w:h="12240" w:orient="landscape"/>
          <w:pgMar w:top="1440" w:right="1440" w:bottom="1354" w:left="1440" w:header="720" w:footer="720" w:gutter="0"/>
          <w:pgBorders w:offsetFrom="page">
            <w:bottom w:val="single" w:sz="8" w:space="24" w:color="F7F7F7"/>
          </w:pgBorders>
          <w:cols w:space="720"/>
          <w:docGrid w:linePitch="360"/>
        </w:sectPr>
      </w:pPr>
    </w:p>
    <w:tbl>
      <w:tblPr>
        <w:tblStyle w:val="TableGrid"/>
        <w:tblW w:w="10829"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C"/>
        <w:tblLayout w:type="fixed"/>
        <w:tblLook w:val="04A0" w:firstRow="1" w:lastRow="0" w:firstColumn="1" w:lastColumn="0" w:noHBand="0" w:noVBand="1"/>
      </w:tblPr>
      <w:tblGrid>
        <w:gridCol w:w="10829"/>
      </w:tblGrid>
      <w:tr w:rsidR="004F0F3F" w14:paraId="2E39D9D5" w14:textId="77777777" w:rsidTr="00A26C8C">
        <w:trPr>
          <w:trHeight w:val="432"/>
        </w:trPr>
        <w:tc>
          <w:tcPr>
            <w:tcW w:w="10829" w:type="dxa"/>
            <w:shd w:val="clear" w:color="auto" w:fill="F2F7FC"/>
            <w:vAlign w:val="center"/>
          </w:tcPr>
          <w:p w14:paraId="49391726" w14:textId="1E2DDDE7" w:rsidR="00453091" w:rsidRPr="00B77CBF" w:rsidRDefault="00880CEC" w:rsidP="00874B6F">
            <w:pPr>
              <w:pStyle w:val="NoSpacing"/>
              <w:ind w:right="1541"/>
              <w:jc w:val="center"/>
              <w:outlineLvl w:val="0"/>
              <w:rPr>
                <w:rFonts w:asciiTheme="minorHAnsi" w:hAnsiTheme="minorHAnsi"/>
                <w:b/>
              </w:rPr>
            </w:pPr>
            <w:bookmarkStart w:id="67" w:name="_Toc256000015"/>
            <w:bookmarkStart w:id="68" w:name="_Toc517269170"/>
            <w:bookmarkStart w:id="69" w:name="_Toc520325365"/>
            <w:bookmarkStart w:id="70" w:name="_Toc104869141"/>
            <w:r>
              <w:rPr>
                <w:rFonts w:asciiTheme="minorHAnsi" w:hAnsiTheme="minorHAnsi"/>
                <w:b/>
                <w:color w:val="000000" w:themeColor="text1"/>
              </w:rPr>
              <w:lastRenderedPageBreak/>
              <w:t xml:space="preserve">ANNEX </w:t>
            </w:r>
            <w:r w:rsidR="005E582D">
              <w:rPr>
                <w:rFonts w:asciiTheme="minorHAnsi" w:hAnsiTheme="minorHAnsi"/>
                <w:b/>
                <w:color w:val="000000" w:themeColor="text1"/>
              </w:rPr>
              <w:t>3</w:t>
            </w:r>
            <w:r>
              <w:rPr>
                <w:rFonts w:asciiTheme="minorHAnsi" w:hAnsiTheme="minorHAnsi"/>
                <w:b/>
                <w:color w:val="000000" w:themeColor="text1"/>
              </w:rPr>
              <w:t xml:space="preserve">: </w:t>
            </w:r>
            <w:r w:rsidR="002934AF">
              <w:rPr>
                <w:rFonts w:asciiTheme="minorHAnsi" w:hAnsiTheme="minorHAnsi"/>
                <w:b/>
                <w:color w:val="000000" w:themeColor="text1"/>
              </w:rPr>
              <w:t>DETAILED IMPLEMENTAION PROGRESS</w:t>
            </w:r>
            <w:bookmarkEnd w:id="67"/>
            <w:bookmarkEnd w:id="68"/>
            <w:bookmarkEnd w:id="69"/>
            <w:bookmarkEnd w:id="70"/>
          </w:p>
        </w:tc>
      </w:tr>
    </w:tbl>
    <w:p w14:paraId="7C668FB9" w14:textId="77777777" w:rsidR="00453091" w:rsidRDefault="00453091" w:rsidP="00CD47E1">
      <w:pPr>
        <w:tabs>
          <w:tab w:val="left" w:pos="1695"/>
        </w:tabs>
        <w:rPr>
          <w:rFonts w:asciiTheme="minorHAnsi" w:hAnsiTheme="minorHAnsi"/>
          <w:sz w:val="22"/>
          <w:szCs w:val="22"/>
        </w:rPr>
      </w:pPr>
    </w:p>
    <w:p w14:paraId="5552EB94" w14:textId="651D8133" w:rsidR="002934AF" w:rsidRPr="002934AF" w:rsidRDefault="002934AF" w:rsidP="00875DBA">
      <w:pPr>
        <w:pStyle w:val="ListParagraph"/>
        <w:widowControl/>
        <w:numPr>
          <w:ilvl w:val="0"/>
          <w:numId w:val="3"/>
        </w:numPr>
        <w:shd w:val="clear" w:color="auto" w:fill="FFFFFF"/>
        <w:tabs>
          <w:tab w:val="left" w:pos="0"/>
        </w:tabs>
        <w:autoSpaceDE/>
        <w:autoSpaceDN/>
        <w:adjustRightInd/>
        <w:spacing w:after="120"/>
        <w:ind w:left="-360" w:firstLine="0"/>
        <w:contextualSpacing w:val="0"/>
        <w:jc w:val="both"/>
        <w:rPr>
          <w:rFonts w:asciiTheme="minorHAnsi" w:eastAsia="Times New Roman" w:hAnsiTheme="minorHAnsi" w:cstheme="minorHAnsi"/>
          <w:sz w:val="22"/>
          <w:szCs w:val="22"/>
        </w:rPr>
      </w:pPr>
      <w:r w:rsidRPr="002934AF">
        <w:rPr>
          <w:rFonts w:asciiTheme="minorHAnsi" w:eastAsia="Times New Roman" w:hAnsiTheme="minorHAnsi" w:cstheme="minorHAnsi"/>
          <w:sz w:val="22"/>
          <w:szCs w:val="22"/>
        </w:rPr>
        <w:t xml:space="preserve">The following summarizes the overall progress and key issues of the project implementation as of December 31, 2021. BT achieved the following DLRs as of December 31, 2021. DLR 2.1: </w:t>
      </w:r>
      <w:r w:rsidRPr="002934AF">
        <w:rPr>
          <w:rFonts w:asciiTheme="minorHAnsi" w:hAnsiTheme="minorHAnsi" w:cstheme="minorHAnsi"/>
          <w:sz w:val="22"/>
          <w:szCs w:val="22"/>
        </w:rPr>
        <w:t>By June 30, 2020, the Recipient converts into equity ownership of BT the outstanding principal amounts and interest payable by BT for 10 loans under Group 1 Subsidiary Agreements.</w:t>
      </w:r>
    </w:p>
    <w:p w14:paraId="76BA5CA9" w14:textId="3D7B8AD8" w:rsidR="005D50AC" w:rsidRDefault="005D50AC" w:rsidP="00CB0465">
      <w:pPr>
        <w:pStyle w:val="ListParagraph"/>
        <w:widowControl/>
        <w:numPr>
          <w:ilvl w:val="0"/>
          <w:numId w:val="6"/>
        </w:numPr>
        <w:shd w:val="clear" w:color="auto" w:fill="FFFFFF"/>
        <w:tabs>
          <w:tab w:val="left" w:pos="360"/>
        </w:tabs>
        <w:autoSpaceDE/>
        <w:autoSpaceDN/>
        <w:adjustRightInd/>
        <w:spacing w:after="120"/>
        <w:ind w:left="360"/>
        <w:contextualSpacing w:val="0"/>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DLR 2.1: </w:t>
      </w:r>
      <w:r w:rsidRPr="005D50AC">
        <w:rPr>
          <w:rFonts w:asciiTheme="minorHAnsi" w:eastAsia="Times New Roman" w:hAnsiTheme="minorHAnsi" w:cstheme="minorHAnsi"/>
          <w:sz w:val="22"/>
          <w:szCs w:val="22"/>
        </w:rPr>
        <w:t>By October 30, 2020, the Recipient converts into equity ownership of BT the outstanding principal amounts and interest payable by BT for ten (10) loans under Group 1 Subsidiary Agreements</w:t>
      </w:r>
      <w:r>
        <w:rPr>
          <w:rFonts w:asciiTheme="minorHAnsi" w:eastAsia="Times New Roman" w:hAnsiTheme="minorHAnsi" w:cstheme="minorHAnsi"/>
          <w:sz w:val="22"/>
          <w:szCs w:val="22"/>
        </w:rPr>
        <w:t>.</w:t>
      </w:r>
    </w:p>
    <w:p w14:paraId="69247B6F" w14:textId="751D0E4B" w:rsidR="002934AF" w:rsidRPr="004A27D0" w:rsidRDefault="002934AF" w:rsidP="00CB0465">
      <w:pPr>
        <w:pStyle w:val="ListParagraph"/>
        <w:widowControl/>
        <w:numPr>
          <w:ilvl w:val="0"/>
          <w:numId w:val="6"/>
        </w:numPr>
        <w:shd w:val="clear" w:color="auto" w:fill="FFFFFF"/>
        <w:tabs>
          <w:tab w:val="left" w:pos="360"/>
        </w:tabs>
        <w:autoSpaceDE/>
        <w:autoSpaceDN/>
        <w:adjustRightInd/>
        <w:spacing w:after="120"/>
        <w:ind w:left="360"/>
        <w:contextualSpacing w:val="0"/>
        <w:jc w:val="both"/>
        <w:rPr>
          <w:rFonts w:asciiTheme="minorHAnsi" w:eastAsia="Times New Roman" w:hAnsiTheme="minorHAnsi" w:cstheme="minorHAnsi"/>
          <w:sz w:val="22"/>
          <w:szCs w:val="22"/>
        </w:rPr>
      </w:pPr>
      <w:r w:rsidRPr="004A27D0">
        <w:rPr>
          <w:rFonts w:asciiTheme="minorHAnsi" w:eastAsia="Times New Roman" w:hAnsiTheme="minorHAnsi" w:cstheme="minorHAnsi"/>
          <w:sz w:val="22"/>
          <w:szCs w:val="22"/>
        </w:rPr>
        <w:t xml:space="preserve">DLR 2.2: </w:t>
      </w:r>
      <w:r w:rsidRPr="004A27D0">
        <w:rPr>
          <w:rFonts w:asciiTheme="minorHAnsi" w:hAnsiTheme="minorHAnsi" w:cstheme="minorHAnsi"/>
          <w:sz w:val="22"/>
          <w:szCs w:val="22"/>
        </w:rPr>
        <w:t>By June 30, 2020, the terms of any new financing received by BT from the MOF are aligned with the terms in the respective legal agreements between the Recipient and the financiers</w:t>
      </w:r>
      <w:r>
        <w:rPr>
          <w:rFonts w:asciiTheme="minorHAnsi" w:hAnsiTheme="minorHAnsi" w:cstheme="minorHAnsi"/>
          <w:sz w:val="22"/>
          <w:szCs w:val="22"/>
        </w:rPr>
        <w:t>.</w:t>
      </w:r>
    </w:p>
    <w:p w14:paraId="37A03607" w14:textId="77777777" w:rsidR="002934AF" w:rsidRPr="004A27D0" w:rsidRDefault="002934AF" w:rsidP="00CB0465">
      <w:pPr>
        <w:pStyle w:val="ListParagraph"/>
        <w:widowControl/>
        <w:numPr>
          <w:ilvl w:val="0"/>
          <w:numId w:val="6"/>
        </w:numPr>
        <w:shd w:val="clear" w:color="auto" w:fill="FFFFFF"/>
        <w:tabs>
          <w:tab w:val="left" w:pos="360"/>
        </w:tabs>
        <w:autoSpaceDE/>
        <w:autoSpaceDN/>
        <w:adjustRightInd/>
        <w:spacing w:after="120"/>
        <w:ind w:left="360"/>
        <w:contextualSpacing w:val="0"/>
        <w:jc w:val="both"/>
        <w:rPr>
          <w:rFonts w:asciiTheme="minorHAnsi" w:eastAsia="Times New Roman" w:hAnsiTheme="minorHAnsi" w:cstheme="minorHAnsi"/>
          <w:sz w:val="22"/>
          <w:szCs w:val="22"/>
        </w:rPr>
      </w:pPr>
      <w:r w:rsidRPr="004A27D0">
        <w:rPr>
          <w:rFonts w:asciiTheme="minorHAnsi" w:eastAsia="Times New Roman" w:hAnsiTheme="minorHAnsi" w:cstheme="minorHAnsi"/>
          <w:sz w:val="22"/>
          <w:szCs w:val="22"/>
        </w:rPr>
        <w:t xml:space="preserve">DLR 2.3: </w:t>
      </w:r>
      <w:r w:rsidRPr="004A27D0">
        <w:rPr>
          <w:rFonts w:asciiTheme="minorHAnsi" w:hAnsiTheme="minorHAnsi" w:cstheme="minorHAnsi"/>
          <w:sz w:val="22"/>
          <w:szCs w:val="22"/>
        </w:rPr>
        <w:t>By December 31, 2020, the Recipient converts into equity ownership of BT the outstanding principal amounts and interest payable under additional four Group 1 Subsidiary Agreements.</w:t>
      </w:r>
      <w:r w:rsidRPr="004A27D0">
        <w:rPr>
          <w:rFonts w:asciiTheme="minorHAnsi" w:eastAsia="Times New Roman" w:hAnsiTheme="minorHAnsi" w:cstheme="minorHAnsi"/>
          <w:sz w:val="22"/>
          <w:szCs w:val="22"/>
        </w:rPr>
        <w:t xml:space="preserve"> </w:t>
      </w:r>
    </w:p>
    <w:p w14:paraId="1845892E" w14:textId="77777777" w:rsidR="002934AF" w:rsidRPr="004A27D0" w:rsidRDefault="002934AF" w:rsidP="00CB0465">
      <w:pPr>
        <w:pStyle w:val="ListParagraph"/>
        <w:widowControl/>
        <w:numPr>
          <w:ilvl w:val="0"/>
          <w:numId w:val="6"/>
        </w:numPr>
        <w:shd w:val="clear" w:color="auto" w:fill="FFFFFF"/>
        <w:tabs>
          <w:tab w:val="left" w:pos="360"/>
        </w:tabs>
        <w:autoSpaceDE/>
        <w:autoSpaceDN/>
        <w:adjustRightInd/>
        <w:spacing w:after="120"/>
        <w:ind w:left="360"/>
        <w:contextualSpacing w:val="0"/>
        <w:jc w:val="both"/>
        <w:rPr>
          <w:rFonts w:asciiTheme="minorHAnsi" w:eastAsia="Times New Roman" w:hAnsiTheme="minorHAnsi" w:cstheme="minorHAnsi"/>
          <w:sz w:val="22"/>
          <w:szCs w:val="22"/>
        </w:rPr>
      </w:pPr>
      <w:r w:rsidRPr="004A27D0">
        <w:rPr>
          <w:rFonts w:asciiTheme="minorHAnsi" w:eastAsia="Times New Roman" w:hAnsiTheme="minorHAnsi" w:cstheme="minorHAnsi"/>
          <w:sz w:val="22"/>
          <w:szCs w:val="22"/>
        </w:rPr>
        <w:t xml:space="preserve">DLR 2.4: </w:t>
      </w:r>
      <w:r w:rsidRPr="004A27D0">
        <w:rPr>
          <w:rFonts w:asciiTheme="minorHAnsi" w:hAnsiTheme="minorHAnsi" w:cstheme="minorHAnsi"/>
          <w:sz w:val="22"/>
          <w:szCs w:val="22"/>
        </w:rPr>
        <w:t>By December 31, 2020, the BT Supervisory Board adopts a formal decision to prohibit BT from receiving new financing from the MOF, unless the terms of such financing are aligned with the terms reflected in the legal documents between the Recipient and the financiers.</w:t>
      </w:r>
    </w:p>
    <w:p w14:paraId="3EAC6CFF" w14:textId="77777777" w:rsidR="002934AF" w:rsidRPr="004A27D0" w:rsidRDefault="002934AF" w:rsidP="00CB0465">
      <w:pPr>
        <w:pStyle w:val="ListParagraph"/>
        <w:widowControl/>
        <w:numPr>
          <w:ilvl w:val="0"/>
          <w:numId w:val="6"/>
        </w:numPr>
        <w:shd w:val="clear" w:color="auto" w:fill="FFFFFF"/>
        <w:tabs>
          <w:tab w:val="left" w:pos="360"/>
        </w:tabs>
        <w:autoSpaceDE/>
        <w:autoSpaceDN/>
        <w:adjustRightInd/>
        <w:spacing w:after="120"/>
        <w:ind w:left="360"/>
        <w:contextualSpacing w:val="0"/>
        <w:jc w:val="both"/>
        <w:rPr>
          <w:rFonts w:asciiTheme="minorHAnsi" w:eastAsia="Times New Roman" w:hAnsiTheme="minorHAnsi" w:cstheme="minorHAnsi"/>
          <w:sz w:val="22"/>
          <w:szCs w:val="22"/>
        </w:rPr>
      </w:pPr>
      <w:r w:rsidRPr="004A27D0">
        <w:rPr>
          <w:rFonts w:asciiTheme="minorHAnsi" w:eastAsia="Times New Roman" w:hAnsiTheme="minorHAnsi" w:cstheme="minorHAnsi"/>
          <w:sz w:val="22"/>
          <w:szCs w:val="22"/>
        </w:rPr>
        <w:t xml:space="preserve">DLR 2.5: </w:t>
      </w:r>
      <w:r w:rsidRPr="004A27D0">
        <w:rPr>
          <w:rFonts w:asciiTheme="minorHAnsi" w:hAnsiTheme="minorHAnsi" w:cstheme="minorHAnsi"/>
          <w:sz w:val="22"/>
          <w:szCs w:val="22"/>
        </w:rPr>
        <w:t>DLR 2.5: By December 31, 2020, the terms of any new financing received by BT from the MOF are aligned with the terms in the respective legal documents between the Recipient and the financiers.</w:t>
      </w:r>
    </w:p>
    <w:p w14:paraId="77DE50D2" w14:textId="77777777" w:rsidR="002934AF" w:rsidRPr="00790C0C" w:rsidRDefault="002934AF" w:rsidP="00CB0465">
      <w:pPr>
        <w:pStyle w:val="BodyText"/>
        <w:widowControl/>
        <w:numPr>
          <w:ilvl w:val="0"/>
          <w:numId w:val="6"/>
        </w:numPr>
        <w:tabs>
          <w:tab w:val="left" w:pos="-720"/>
          <w:tab w:val="left" w:pos="360"/>
        </w:tabs>
        <w:suppressAutoHyphens/>
        <w:spacing w:after="120"/>
        <w:ind w:left="360"/>
        <w:jc w:val="both"/>
        <w:rPr>
          <w:rFonts w:asciiTheme="minorHAnsi" w:hAnsiTheme="minorHAnsi" w:cstheme="minorHAnsi"/>
          <w:b w:val="0"/>
          <w:bCs w:val="0"/>
          <w:sz w:val="22"/>
          <w:szCs w:val="22"/>
        </w:rPr>
      </w:pPr>
      <w:r w:rsidRPr="00790C0C">
        <w:rPr>
          <w:rFonts w:asciiTheme="minorHAnsi" w:hAnsiTheme="minorHAnsi" w:cstheme="minorHAnsi"/>
          <w:b w:val="0"/>
          <w:bCs w:val="0"/>
          <w:sz w:val="22"/>
          <w:szCs w:val="22"/>
        </w:rPr>
        <w:t>DRL 5.1: By June 30, 2020, at least 1,000 GWh is received by BT</w:t>
      </w:r>
      <w:r>
        <w:rPr>
          <w:rFonts w:asciiTheme="minorHAnsi" w:hAnsiTheme="minorHAnsi" w:cstheme="minorHAnsi"/>
          <w:b w:val="0"/>
          <w:bCs w:val="0"/>
          <w:sz w:val="22"/>
          <w:szCs w:val="22"/>
        </w:rPr>
        <w:t>.</w:t>
      </w:r>
    </w:p>
    <w:p w14:paraId="26CF6E7E" w14:textId="77777777" w:rsidR="002934AF" w:rsidRPr="00790C0C" w:rsidRDefault="002934AF" w:rsidP="00CB0465">
      <w:pPr>
        <w:pStyle w:val="BodyText"/>
        <w:widowControl/>
        <w:numPr>
          <w:ilvl w:val="0"/>
          <w:numId w:val="6"/>
        </w:numPr>
        <w:tabs>
          <w:tab w:val="left" w:pos="-720"/>
          <w:tab w:val="left" w:pos="360"/>
        </w:tabs>
        <w:suppressAutoHyphens/>
        <w:spacing w:after="120"/>
        <w:ind w:left="360"/>
        <w:jc w:val="both"/>
        <w:rPr>
          <w:rFonts w:asciiTheme="minorHAnsi" w:hAnsiTheme="minorHAnsi" w:cstheme="minorHAnsi"/>
          <w:b w:val="0"/>
          <w:bCs w:val="0"/>
          <w:sz w:val="22"/>
          <w:szCs w:val="22"/>
        </w:rPr>
      </w:pPr>
      <w:r w:rsidRPr="00790C0C">
        <w:rPr>
          <w:rFonts w:asciiTheme="minorHAnsi" w:hAnsiTheme="minorHAnsi" w:cstheme="minorHAnsi"/>
          <w:b w:val="0"/>
          <w:bCs w:val="0"/>
          <w:sz w:val="22"/>
          <w:szCs w:val="22"/>
        </w:rPr>
        <w:t>DRL 5.2: By December 31, 2020, at least 800 GWh is received by BT</w:t>
      </w:r>
      <w:r>
        <w:rPr>
          <w:rFonts w:asciiTheme="minorHAnsi" w:hAnsiTheme="minorHAnsi" w:cstheme="minorHAnsi"/>
          <w:b w:val="0"/>
          <w:bCs w:val="0"/>
          <w:sz w:val="22"/>
          <w:szCs w:val="22"/>
        </w:rPr>
        <w:t>.</w:t>
      </w:r>
    </w:p>
    <w:p w14:paraId="7ECEA851" w14:textId="77777777" w:rsidR="002934AF" w:rsidRPr="00790C0C" w:rsidRDefault="002934AF" w:rsidP="00CB0465">
      <w:pPr>
        <w:pStyle w:val="BodyText"/>
        <w:widowControl/>
        <w:numPr>
          <w:ilvl w:val="0"/>
          <w:numId w:val="6"/>
        </w:numPr>
        <w:tabs>
          <w:tab w:val="left" w:pos="-720"/>
          <w:tab w:val="left" w:pos="360"/>
        </w:tabs>
        <w:suppressAutoHyphens/>
        <w:spacing w:after="120"/>
        <w:ind w:left="360"/>
        <w:jc w:val="both"/>
        <w:rPr>
          <w:rFonts w:asciiTheme="minorHAnsi" w:hAnsiTheme="minorHAnsi" w:cstheme="minorHAnsi"/>
          <w:b w:val="0"/>
          <w:bCs w:val="0"/>
          <w:sz w:val="22"/>
          <w:szCs w:val="22"/>
        </w:rPr>
      </w:pPr>
      <w:r w:rsidRPr="00790C0C">
        <w:rPr>
          <w:rFonts w:asciiTheme="minorHAnsi" w:hAnsiTheme="minorHAnsi" w:cstheme="minorHAnsi"/>
          <w:b w:val="0"/>
          <w:bCs w:val="0"/>
          <w:sz w:val="22"/>
          <w:szCs w:val="22"/>
        </w:rPr>
        <w:t>DRL 5.3: By June 30, 2021, at least 1,000 GWh is received by BT</w:t>
      </w:r>
      <w:r>
        <w:rPr>
          <w:rFonts w:asciiTheme="minorHAnsi" w:hAnsiTheme="minorHAnsi" w:cstheme="minorHAnsi"/>
          <w:b w:val="0"/>
          <w:bCs w:val="0"/>
          <w:sz w:val="22"/>
          <w:szCs w:val="22"/>
        </w:rPr>
        <w:t>.</w:t>
      </w:r>
    </w:p>
    <w:p w14:paraId="591C35BE" w14:textId="77777777" w:rsidR="002934AF" w:rsidRPr="00790C0C" w:rsidRDefault="002934AF" w:rsidP="00CB0465">
      <w:pPr>
        <w:pStyle w:val="BodyText"/>
        <w:widowControl/>
        <w:numPr>
          <w:ilvl w:val="0"/>
          <w:numId w:val="6"/>
        </w:numPr>
        <w:tabs>
          <w:tab w:val="left" w:pos="-720"/>
          <w:tab w:val="left" w:pos="360"/>
        </w:tabs>
        <w:suppressAutoHyphens/>
        <w:spacing w:after="120"/>
        <w:ind w:left="360"/>
        <w:jc w:val="both"/>
        <w:rPr>
          <w:rFonts w:asciiTheme="minorHAnsi" w:hAnsiTheme="minorHAnsi" w:cstheme="minorHAnsi"/>
          <w:b w:val="0"/>
          <w:bCs w:val="0"/>
          <w:sz w:val="22"/>
          <w:szCs w:val="22"/>
        </w:rPr>
      </w:pPr>
      <w:r w:rsidRPr="00790C0C">
        <w:rPr>
          <w:rFonts w:asciiTheme="minorHAnsi" w:hAnsiTheme="minorHAnsi" w:cstheme="minorHAnsi"/>
          <w:b w:val="0"/>
          <w:bCs w:val="0"/>
          <w:sz w:val="22"/>
          <w:szCs w:val="22"/>
        </w:rPr>
        <w:t>DRL 5.4: By December 31, 2021, at least 800 GWh is received by BT</w:t>
      </w:r>
      <w:r>
        <w:rPr>
          <w:rFonts w:asciiTheme="minorHAnsi" w:hAnsiTheme="minorHAnsi" w:cstheme="minorHAnsi"/>
          <w:b w:val="0"/>
          <w:bCs w:val="0"/>
          <w:sz w:val="22"/>
          <w:szCs w:val="22"/>
        </w:rPr>
        <w:t>.</w:t>
      </w:r>
    </w:p>
    <w:p w14:paraId="2A469FDA" w14:textId="77777777" w:rsidR="002934AF" w:rsidRPr="004A27D0" w:rsidRDefault="002934AF" w:rsidP="00CB0465">
      <w:pPr>
        <w:pStyle w:val="ListParagraph"/>
        <w:widowControl/>
        <w:numPr>
          <w:ilvl w:val="0"/>
          <w:numId w:val="6"/>
        </w:numPr>
        <w:shd w:val="clear" w:color="auto" w:fill="FFFFFF"/>
        <w:tabs>
          <w:tab w:val="left" w:pos="360"/>
        </w:tabs>
        <w:autoSpaceDE/>
        <w:autoSpaceDN/>
        <w:adjustRightInd/>
        <w:spacing w:after="120"/>
        <w:ind w:left="360"/>
        <w:contextualSpacing w:val="0"/>
        <w:jc w:val="both"/>
        <w:rPr>
          <w:rFonts w:asciiTheme="minorHAnsi" w:eastAsia="Times New Roman" w:hAnsiTheme="minorHAnsi" w:cstheme="minorHAnsi"/>
          <w:sz w:val="22"/>
          <w:szCs w:val="22"/>
        </w:rPr>
      </w:pPr>
      <w:r w:rsidRPr="004A27D0">
        <w:rPr>
          <w:rFonts w:asciiTheme="minorHAnsi" w:eastAsia="Times New Roman" w:hAnsiTheme="minorHAnsi" w:cstheme="minorHAnsi"/>
          <w:sz w:val="22"/>
          <w:szCs w:val="22"/>
        </w:rPr>
        <w:t>DRL 5.3:  By June 30, 2021, at least 1,000 GWh is received by BT from Sangtuda-1 power plant</w:t>
      </w:r>
      <w:r>
        <w:rPr>
          <w:rFonts w:asciiTheme="minorHAnsi" w:eastAsia="Times New Roman" w:hAnsiTheme="minorHAnsi" w:cstheme="minorHAnsi"/>
          <w:sz w:val="22"/>
          <w:szCs w:val="22"/>
        </w:rPr>
        <w:t>.</w:t>
      </w:r>
    </w:p>
    <w:p w14:paraId="726F4243" w14:textId="77777777" w:rsidR="002934AF" w:rsidRPr="004A27D0" w:rsidRDefault="002934AF" w:rsidP="00CB0465">
      <w:pPr>
        <w:widowControl/>
        <w:numPr>
          <w:ilvl w:val="0"/>
          <w:numId w:val="6"/>
        </w:numPr>
        <w:shd w:val="clear" w:color="auto" w:fill="FFFFFF"/>
        <w:tabs>
          <w:tab w:val="left" w:pos="360"/>
        </w:tabs>
        <w:autoSpaceDE/>
        <w:autoSpaceDN/>
        <w:adjustRightInd/>
        <w:spacing w:after="120"/>
        <w:ind w:left="360"/>
        <w:jc w:val="both"/>
        <w:rPr>
          <w:rFonts w:asciiTheme="minorHAnsi" w:eastAsia="Times New Roman" w:hAnsiTheme="minorHAnsi" w:cstheme="minorHAnsi"/>
          <w:sz w:val="22"/>
          <w:szCs w:val="22"/>
        </w:rPr>
      </w:pPr>
      <w:r w:rsidRPr="004A27D0">
        <w:rPr>
          <w:rFonts w:asciiTheme="minorHAnsi" w:hAnsiTheme="minorHAnsi" w:cstheme="minorHAnsi"/>
          <w:sz w:val="22"/>
          <w:szCs w:val="22"/>
        </w:rPr>
        <w:t>DLR 9.1: By December 31, 2020, BT publishes on its website key quarterly operational data and unaudited financial statement for 2019</w:t>
      </w:r>
      <w:r>
        <w:rPr>
          <w:rFonts w:asciiTheme="minorHAnsi" w:hAnsiTheme="minorHAnsi" w:cstheme="minorHAnsi"/>
          <w:sz w:val="22"/>
          <w:szCs w:val="22"/>
        </w:rPr>
        <w:t>.</w:t>
      </w:r>
    </w:p>
    <w:p w14:paraId="314DFCE7" w14:textId="77777777" w:rsidR="002934AF" w:rsidRPr="004A27D0" w:rsidRDefault="002934AF" w:rsidP="00CB0465">
      <w:pPr>
        <w:widowControl/>
        <w:numPr>
          <w:ilvl w:val="0"/>
          <w:numId w:val="6"/>
        </w:numPr>
        <w:shd w:val="clear" w:color="auto" w:fill="FFFFFF"/>
        <w:tabs>
          <w:tab w:val="left" w:pos="360"/>
        </w:tabs>
        <w:autoSpaceDE/>
        <w:autoSpaceDN/>
        <w:adjustRightInd/>
        <w:spacing w:after="120"/>
        <w:ind w:left="360"/>
        <w:jc w:val="both"/>
        <w:rPr>
          <w:rFonts w:asciiTheme="minorHAnsi" w:eastAsia="Times New Roman" w:hAnsiTheme="minorHAnsi" w:cstheme="minorHAnsi"/>
          <w:sz w:val="22"/>
          <w:szCs w:val="22"/>
        </w:rPr>
      </w:pPr>
      <w:r w:rsidRPr="004A27D0">
        <w:rPr>
          <w:rFonts w:asciiTheme="minorHAnsi" w:eastAsia="Times New Roman" w:hAnsiTheme="minorHAnsi" w:cstheme="minorHAnsi"/>
          <w:sz w:val="22"/>
          <w:szCs w:val="22"/>
        </w:rPr>
        <w:t>DLR 9.2: By December 31, 2021, BT publishes on its website key quarterly operational data and unaudited financial statement for 2020.</w:t>
      </w:r>
    </w:p>
    <w:p w14:paraId="17EBE770" w14:textId="1A5AA2C6" w:rsidR="002934AF" w:rsidRPr="00540124" w:rsidRDefault="002934AF" w:rsidP="00875DBA">
      <w:pPr>
        <w:pStyle w:val="ListParagraph"/>
        <w:widowControl/>
        <w:numPr>
          <w:ilvl w:val="0"/>
          <w:numId w:val="3"/>
        </w:numPr>
        <w:shd w:val="clear" w:color="auto" w:fill="FFFFFF"/>
        <w:tabs>
          <w:tab w:val="left" w:pos="0"/>
        </w:tabs>
        <w:autoSpaceDE/>
        <w:autoSpaceDN/>
        <w:adjustRightInd/>
        <w:spacing w:after="120"/>
        <w:ind w:left="-360" w:firstLine="0"/>
        <w:contextualSpacing w:val="0"/>
        <w:jc w:val="both"/>
        <w:rPr>
          <w:rFonts w:asciiTheme="minorHAnsi" w:eastAsia="Times New Roman" w:hAnsiTheme="minorHAnsi" w:cstheme="minorHAnsi"/>
          <w:sz w:val="22"/>
          <w:szCs w:val="22"/>
        </w:rPr>
      </w:pPr>
      <w:r w:rsidRPr="004A27D0">
        <w:rPr>
          <w:rFonts w:asciiTheme="minorHAnsi" w:eastAsia="Times New Roman" w:hAnsiTheme="minorHAnsi" w:cstheme="minorHAnsi"/>
          <w:sz w:val="22"/>
          <w:szCs w:val="22"/>
        </w:rPr>
        <w:t xml:space="preserve">Implementation of other DLRs by the targeted deadlines was not possible </w:t>
      </w:r>
      <w:r>
        <w:rPr>
          <w:rFonts w:asciiTheme="minorHAnsi" w:eastAsia="Times New Roman" w:hAnsiTheme="minorHAnsi" w:cstheme="minorHAnsi"/>
          <w:sz w:val="22"/>
          <w:szCs w:val="22"/>
        </w:rPr>
        <w:t>due to economic and healthcare impacts of COVID-19 (non-availability of key staff at implementing entities), therefore, the</w:t>
      </w:r>
      <w:r w:rsidRPr="004A27D0">
        <w:rPr>
          <w:rFonts w:asciiTheme="minorHAnsi" w:eastAsia="Times New Roman" w:hAnsiTheme="minorHAnsi" w:cstheme="minorHAnsi"/>
          <w:sz w:val="22"/>
          <w:szCs w:val="22"/>
        </w:rPr>
        <w:t xml:space="preserve"> Ministry of Finance (MOF) requested (letter No. 5/5-19/05 dated January 5, 2022) more time for </w:t>
      </w:r>
      <w:r>
        <w:rPr>
          <w:rFonts w:asciiTheme="minorHAnsi" w:eastAsia="Times New Roman" w:hAnsiTheme="minorHAnsi" w:cstheme="minorHAnsi"/>
          <w:sz w:val="22"/>
          <w:szCs w:val="22"/>
        </w:rPr>
        <w:t xml:space="preserve">achievement of specified </w:t>
      </w:r>
      <w:proofErr w:type="spellStart"/>
      <w:r>
        <w:rPr>
          <w:rFonts w:asciiTheme="minorHAnsi" w:eastAsia="Times New Roman" w:hAnsiTheme="minorHAnsi" w:cstheme="minorHAnsi"/>
          <w:sz w:val="22"/>
          <w:szCs w:val="22"/>
        </w:rPr>
        <w:t>DLRs</w:t>
      </w:r>
      <w:r w:rsidRPr="004A27D0">
        <w:rPr>
          <w:rFonts w:asciiTheme="minorHAnsi" w:eastAsia="Times New Roman" w:hAnsiTheme="minorHAnsi" w:cstheme="minorHAnsi"/>
          <w:sz w:val="22"/>
          <w:szCs w:val="22"/>
        </w:rPr>
        <w:t>.</w:t>
      </w:r>
      <w:proofErr w:type="spellEnd"/>
      <w:r>
        <w:rPr>
          <w:rFonts w:asciiTheme="minorHAnsi" w:eastAsia="Times New Roman" w:hAnsiTheme="minorHAnsi" w:cstheme="minorHAnsi"/>
          <w:sz w:val="22"/>
          <w:szCs w:val="22"/>
        </w:rPr>
        <w:t xml:space="preserve"> </w:t>
      </w:r>
    </w:p>
    <w:p w14:paraId="501A6C08" w14:textId="77777777" w:rsidR="002934AF" w:rsidRPr="00115C15" w:rsidRDefault="002934AF" w:rsidP="002934AF">
      <w:pPr>
        <w:shd w:val="clear" w:color="auto" w:fill="FFFFFF"/>
        <w:tabs>
          <w:tab w:val="left" w:pos="0"/>
        </w:tabs>
        <w:spacing w:after="120"/>
        <w:ind w:left="-360"/>
        <w:jc w:val="both"/>
        <w:rPr>
          <w:rFonts w:asciiTheme="minorHAnsi" w:eastAsia="Times New Roman" w:hAnsiTheme="minorHAnsi" w:cstheme="minorHAnsi"/>
          <w:b/>
          <w:bCs/>
          <w:color w:val="auto"/>
          <w:sz w:val="22"/>
          <w:szCs w:val="22"/>
        </w:rPr>
      </w:pPr>
      <w:r w:rsidRPr="00115C15">
        <w:rPr>
          <w:rFonts w:asciiTheme="minorHAnsi" w:eastAsia="Times New Roman" w:hAnsiTheme="minorHAnsi" w:cstheme="minorHAnsi"/>
          <w:b/>
          <w:bCs/>
          <w:color w:val="auto"/>
          <w:sz w:val="22"/>
          <w:szCs w:val="22"/>
        </w:rPr>
        <w:t>Previous Project Restructurings</w:t>
      </w:r>
    </w:p>
    <w:p w14:paraId="20AF5F87" w14:textId="77777777" w:rsidR="002934AF" w:rsidRPr="00115C15" w:rsidRDefault="002934AF" w:rsidP="00875DBA">
      <w:pPr>
        <w:pStyle w:val="ListParagraph"/>
        <w:widowControl/>
        <w:numPr>
          <w:ilvl w:val="0"/>
          <w:numId w:val="3"/>
        </w:numPr>
        <w:shd w:val="clear" w:color="auto" w:fill="FFFFFF"/>
        <w:tabs>
          <w:tab w:val="left" w:pos="0"/>
        </w:tabs>
        <w:autoSpaceDE/>
        <w:autoSpaceDN/>
        <w:adjustRightInd/>
        <w:spacing w:after="120"/>
        <w:ind w:left="-360" w:firstLine="0"/>
        <w:contextualSpacing w:val="0"/>
        <w:jc w:val="both"/>
        <w:rPr>
          <w:rFonts w:asciiTheme="minorHAnsi" w:eastAsia="Times New Roman" w:hAnsiTheme="minorHAnsi" w:cstheme="minorHAnsi"/>
          <w:color w:val="auto"/>
          <w:sz w:val="22"/>
          <w:szCs w:val="22"/>
        </w:rPr>
      </w:pPr>
      <w:r w:rsidRPr="00115C15">
        <w:rPr>
          <w:rFonts w:asciiTheme="minorHAnsi" w:eastAsia="Times New Roman" w:hAnsiTheme="minorHAnsi" w:cstheme="minorHAnsi"/>
          <w:b/>
          <w:bCs/>
          <w:color w:val="auto"/>
          <w:sz w:val="22"/>
          <w:szCs w:val="22"/>
        </w:rPr>
        <w:t xml:space="preserve">The Project underwent two restructurings since effectiveness. </w:t>
      </w:r>
      <w:r w:rsidRPr="00115C15">
        <w:rPr>
          <w:rFonts w:asciiTheme="minorHAnsi" w:eastAsia="Times New Roman" w:hAnsiTheme="minorHAnsi" w:cstheme="minorHAnsi"/>
          <w:color w:val="auto"/>
          <w:sz w:val="22"/>
          <w:szCs w:val="22"/>
        </w:rPr>
        <w:t xml:space="preserve">The restructurings were limited to allowing more time for achievement of some DLRs </w:t>
      </w:r>
      <w:proofErr w:type="gramStart"/>
      <w:r w:rsidRPr="00115C15">
        <w:rPr>
          <w:rFonts w:asciiTheme="minorHAnsi" w:eastAsia="Times New Roman" w:hAnsiTheme="minorHAnsi" w:cstheme="minorHAnsi"/>
          <w:color w:val="auto"/>
          <w:sz w:val="22"/>
          <w:szCs w:val="22"/>
        </w:rPr>
        <w:t>and also</w:t>
      </w:r>
      <w:proofErr w:type="gramEnd"/>
      <w:r w:rsidRPr="00115C15">
        <w:rPr>
          <w:rFonts w:asciiTheme="minorHAnsi" w:eastAsia="Times New Roman" w:hAnsiTheme="minorHAnsi" w:cstheme="minorHAnsi"/>
          <w:color w:val="auto"/>
          <w:sz w:val="22"/>
          <w:szCs w:val="22"/>
        </w:rPr>
        <w:t xml:space="preserve"> disaggregation of one of the </w:t>
      </w:r>
      <w:proofErr w:type="spellStart"/>
      <w:r w:rsidRPr="00115C15">
        <w:rPr>
          <w:rFonts w:asciiTheme="minorHAnsi" w:eastAsia="Times New Roman" w:hAnsiTheme="minorHAnsi" w:cstheme="minorHAnsi"/>
          <w:color w:val="auto"/>
          <w:sz w:val="22"/>
          <w:szCs w:val="22"/>
        </w:rPr>
        <w:t>DLRs.</w:t>
      </w:r>
      <w:proofErr w:type="spellEnd"/>
    </w:p>
    <w:p w14:paraId="02F071BF" w14:textId="77777777" w:rsidR="002934AF" w:rsidRPr="00115C15" w:rsidRDefault="002934AF" w:rsidP="00875DBA">
      <w:pPr>
        <w:pStyle w:val="ListParagraph"/>
        <w:widowControl/>
        <w:numPr>
          <w:ilvl w:val="0"/>
          <w:numId w:val="3"/>
        </w:numPr>
        <w:shd w:val="clear" w:color="auto" w:fill="FFFFFF"/>
        <w:tabs>
          <w:tab w:val="left" w:pos="0"/>
        </w:tabs>
        <w:autoSpaceDE/>
        <w:autoSpaceDN/>
        <w:adjustRightInd/>
        <w:spacing w:after="120"/>
        <w:ind w:left="-360" w:firstLine="0"/>
        <w:contextualSpacing w:val="0"/>
        <w:jc w:val="both"/>
        <w:rPr>
          <w:rFonts w:asciiTheme="minorHAnsi" w:eastAsia="Times New Roman" w:hAnsiTheme="minorHAnsi" w:cstheme="minorHAnsi"/>
          <w:color w:val="auto"/>
          <w:sz w:val="22"/>
          <w:szCs w:val="22"/>
        </w:rPr>
      </w:pPr>
      <w:r w:rsidRPr="00115C15">
        <w:rPr>
          <w:rFonts w:asciiTheme="minorHAnsi" w:eastAsia="Times New Roman" w:hAnsiTheme="minorHAnsi" w:cstheme="minorHAnsi"/>
          <w:b/>
          <w:bCs/>
          <w:color w:val="auto"/>
          <w:sz w:val="22"/>
          <w:szCs w:val="22"/>
        </w:rPr>
        <w:t>First restructuring dated August 28, 2020</w:t>
      </w:r>
      <w:r w:rsidRPr="00115C15">
        <w:rPr>
          <w:rFonts w:asciiTheme="minorHAnsi" w:eastAsia="Times New Roman" w:hAnsiTheme="minorHAnsi" w:cstheme="minorHAnsi"/>
          <w:color w:val="auto"/>
          <w:sz w:val="22"/>
          <w:szCs w:val="22"/>
        </w:rPr>
        <w:t xml:space="preserve">. The restructuring was carried out to allow additional time to the Government for achievement of targets under the following </w:t>
      </w:r>
      <w:proofErr w:type="spellStart"/>
      <w:r w:rsidRPr="00115C15">
        <w:rPr>
          <w:rFonts w:asciiTheme="minorHAnsi" w:eastAsia="Times New Roman" w:hAnsiTheme="minorHAnsi" w:cstheme="minorHAnsi"/>
          <w:color w:val="auto"/>
          <w:sz w:val="22"/>
          <w:szCs w:val="22"/>
        </w:rPr>
        <w:t>DLRs.</w:t>
      </w:r>
      <w:proofErr w:type="spellEnd"/>
      <w:r w:rsidRPr="00115C15">
        <w:rPr>
          <w:rFonts w:asciiTheme="minorHAnsi" w:eastAsia="Times New Roman" w:hAnsiTheme="minorHAnsi" w:cstheme="minorHAnsi"/>
          <w:color w:val="auto"/>
          <w:sz w:val="22"/>
          <w:szCs w:val="22"/>
        </w:rPr>
        <w:t xml:space="preserve"> </w:t>
      </w:r>
    </w:p>
    <w:p w14:paraId="5D486C99" w14:textId="77777777" w:rsidR="002934AF" w:rsidRPr="00115C15" w:rsidRDefault="002934AF" w:rsidP="00CB0465">
      <w:pPr>
        <w:pStyle w:val="ListParagraph"/>
        <w:widowControl/>
        <w:numPr>
          <w:ilvl w:val="0"/>
          <w:numId w:val="4"/>
        </w:numPr>
        <w:tabs>
          <w:tab w:val="left" w:pos="270"/>
        </w:tabs>
        <w:autoSpaceDE/>
        <w:autoSpaceDN/>
        <w:adjustRightInd/>
        <w:spacing w:after="120"/>
        <w:ind w:left="270" w:hanging="270"/>
        <w:contextualSpacing w:val="0"/>
        <w:jc w:val="both"/>
        <w:rPr>
          <w:rFonts w:asciiTheme="minorHAnsi" w:hAnsiTheme="minorHAnsi" w:cstheme="minorHAnsi"/>
          <w:bCs/>
          <w:color w:val="auto"/>
          <w:sz w:val="22"/>
          <w:szCs w:val="22"/>
        </w:rPr>
      </w:pPr>
      <w:r w:rsidRPr="00115C15">
        <w:rPr>
          <w:rFonts w:asciiTheme="minorHAnsi" w:hAnsiTheme="minorHAnsi" w:cstheme="minorHAnsi"/>
          <w:bCs/>
          <w:color w:val="auto"/>
          <w:sz w:val="22"/>
          <w:szCs w:val="22"/>
        </w:rPr>
        <w:t>DLR 2.1: “By June 30, 2020, the Recipient converts into equity ownership of BT the outstanding principal amounts and interest payable by BT for 10 loans under Group 1 Subsidiary Agreements.” The deadline was revised from June 30, 2020, to October 30, 2020.</w:t>
      </w:r>
    </w:p>
    <w:p w14:paraId="3E7B1CF9" w14:textId="77777777" w:rsidR="002934AF" w:rsidRPr="00115C15" w:rsidRDefault="002934AF" w:rsidP="00CB0465">
      <w:pPr>
        <w:pStyle w:val="ListParagraph"/>
        <w:widowControl/>
        <w:numPr>
          <w:ilvl w:val="0"/>
          <w:numId w:val="4"/>
        </w:numPr>
        <w:tabs>
          <w:tab w:val="left" w:pos="270"/>
        </w:tabs>
        <w:autoSpaceDE/>
        <w:autoSpaceDN/>
        <w:adjustRightInd/>
        <w:spacing w:after="120"/>
        <w:ind w:left="270" w:hanging="270"/>
        <w:contextualSpacing w:val="0"/>
        <w:jc w:val="both"/>
        <w:rPr>
          <w:rFonts w:asciiTheme="minorHAnsi" w:hAnsiTheme="minorHAnsi" w:cstheme="minorHAnsi"/>
          <w:bCs/>
          <w:color w:val="auto"/>
          <w:sz w:val="22"/>
          <w:szCs w:val="22"/>
        </w:rPr>
      </w:pPr>
      <w:r w:rsidRPr="00115C15">
        <w:rPr>
          <w:rFonts w:asciiTheme="minorHAnsi" w:hAnsiTheme="minorHAnsi" w:cstheme="minorHAnsi"/>
          <w:bCs/>
          <w:color w:val="auto"/>
          <w:sz w:val="22"/>
          <w:szCs w:val="22"/>
        </w:rPr>
        <w:lastRenderedPageBreak/>
        <w:t>DLR 2.2: “By June 30, 2020, the terms of any new financing received by BT from MOF are aligned with the terms in the respective legal agreements between the Recipient and the financiers.” The deadline was revised from June 30, 2020, to October 30, 2020.</w:t>
      </w:r>
    </w:p>
    <w:p w14:paraId="141362D0" w14:textId="77777777" w:rsidR="002934AF" w:rsidRPr="00115C15" w:rsidRDefault="002934AF" w:rsidP="00CB0465">
      <w:pPr>
        <w:pStyle w:val="ListParagraph"/>
        <w:widowControl/>
        <w:numPr>
          <w:ilvl w:val="0"/>
          <w:numId w:val="4"/>
        </w:numPr>
        <w:tabs>
          <w:tab w:val="left" w:pos="270"/>
        </w:tabs>
        <w:autoSpaceDE/>
        <w:autoSpaceDN/>
        <w:adjustRightInd/>
        <w:spacing w:after="120"/>
        <w:ind w:left="270" w:hanging="270"/>
        <w:contextualSpacing w:val="0"/>
        <w:jc w:val="both"/>
        <w:rPr>
          <w:rFonts w:asciiTheme="minorHAnsi" w:hAnsiTheme="minorHAnsi" w:cstheme="minorHAnsi"/>
          <w:bCs/>
          <w:color w:val="auto"/>
          <w:sz w:val="22"/>
          <w:szCs w:val="22"/>
        </w:rPr>
      </w:pPr>
      <w:r w:rsidRPr="00115C15">
        <w:rPr>
          <w:rFonts w:asciiTheme="minorHAnsi" w:hAnsiTheme="minorHAnsi" w:cstheme="minorHAnsi"/>
          <w:bCs/>
          <w:color w:val="auto"/>
          <w:sz w:val="22"/>
          <w:szCs w:val="22"/>
        </w:rPr>
        <w:t>DLR 8.1: “</w:t>
      </w:r>
      <w:r w:rsidRPr="00115C15">
        <w:rPr>
          <w:rFonts w:asciiTheme="minorHAnsi" w:hAnsiTheme="minorHAnsi" w:cstheme="minorHAnsi"/>
          <w:color w:val="auto"/>
          <w:sz w:val="22"/>
          <w:szCs w:val="22"/>
        </w:rPr>
        <w:t>By December 31, 2020, supervisory boards are functional and specialized committees (audit and compensation) are formed at BT generation, transmission and distribution companies, comprising of members of supervisory boards and chaired by independent supervisory board members.”</w:t>
      </w:r>
      <w:r w:rsidRPr="00115C15">
        <w:rPr>
          <w:rFonts w:asciiTheme="minorHAnsi" w:hAnsiTheme="minorHAnsi" w:cstheme="minorHAnsi"/>
          <w:bCs/>
          <w:color w:val="auto"/>
          <w:sz w:val="22"/>
          <w:szCs w:val="22"/>
        </w:rPr>
        <w:t xml:space="preserve"> The deadline was revised from December 31, 2020, to March 31, 2021.</w:t>
      </w:r>
    </w:p>
    <w:p w14:paraId="46C27DAF" w14:textId="28C68336" w:rsidR="002934AF" w:rsidRPr="00115C15" w:rsidRDefault="002934AF" w:rsidP="00875DBA">
      <w:pPr>
        <w:pStyle w:val="ListParagraph"/>
        <w:widowControl/>
        <w:numPr>
          <w:ilvl w:val="0"/>
          <w:numId w:val="3"/>
        </w:numPr>
        <w:tabs>
          <w:tab w:val="left" w:pos="0"/>
        </w:tabs>
        <w:autoSpaceDE/>
        <w:autoSpaceDN/>
        <w:adjustRightInd/>
        <w:spacing w:after="120"/>
        <w:ind w:left="-360" w:firstLine="0"/>
        <w:contextualSpacing w:val="0"/>
        <w:jc w:val="both"/>
        <w:rPr>
          <w:rFonts w:asciiTheme="minorHAnsi" w:hAnsiTheme="minorHAnsi" w:cstheme="minorHAnsi"/>
          <w:bCs/>
          <w:color w:val="auto"/>
          <w:sz w:val="22"/>
          <w:szCs w:val="22"/>
        </w:rPr>
      </w:pPr>
      <w:r w:rsidRPr="00115C15">
        <w:rPr>
          <w:rFonts w:asciiTheme="minorHAnsi" w:hAnsiTheme="minorHAnsi" w:cstheme="minorHAnsi"/>
          <w:b/>
          <w:color w:val="auto"/>
          <w:sz w:val="22"/>
          <w:szCs w:val="22"/>
        </w:rPr>
        <w:t xml:space="preserve">Rationale for </w:t>
      </w:r>
      <w:r>
        <w:rPr>
          <w:rFonts w:asciiTheme="minorHAnsi" w:hAnsiTheme="minorHAnsi" w:cstheme="minorHAnsi"/>
          <w:b/>
          <w:color w:val="auto"/>
          <w:sz w:val="22"/>
          <w:szCs w:val="22"/>
        </w:rPr>
        <w:t xml:space="preserve">the first </w:t>
      </w:r>
      <w:r w:rsidRPr="00115C15">
        <w:rPr>
          <w:rFonts w:asciiTheme="minorHAnsi" w:hAnsiTheme="minorHAnsi" w:cstheme="minorHAnsi"/>
          <w:b/>
          <w:color w:val="auto"/>
          <w:sz w:val="22"/>
          <w:szCs w:val="22"/>
        </w:rPr>
        <w:t>restructuring</w:t>
      </w:r>
      <w:r w:rsidRPr="00115C15">
        <w:rPr>
          <w:rFonts w:asciiTheme="minorHAnsi" w:hAnsiTheme="minorHAnsi" w:cstheme="minorHAnsi"/>
          <w:bCs/>
          <w:color w:val="auto"/>
          <w:sz w:val="22"/>
          <w:szCs w:val="22"/>
        </w:rPr>
        <w:t xml:space="preserve">. The </w:t>
      </w:r>
      <w:r w:rsidR="00D94EED">
        <w:rPr>
          <w:rFonts w:asciiTheme="minorHAnsi" w:hAnsiTheme="minorHAnsi" w:cstheme="minorHAnsi"/>
          <w:bCs/>
          <w:color w:val="auto"/>
          <w:sz w:val="22"/>
          <w:szCs w:val="22"/>
        </w:rPr>
        <w:t>restructuring was required to allow more time (</w:t>
      </w:r>
      <w:r w:rsidR="00D94EED" w:rsidRPr="00115C15">
        <w:rPr>
          <w:rFonts w:asciiTheme="minorHAnsi" w:hAnsiTheme="minorHAnsi" w:cstheme="minorHAnsi"/>
          <w:bCs/>
          <w:color w:val="auto"/>
          <w:sz w:val="22"/>
          <w:szCs w:val="22"/>
        </w:rPr>
        <w:t>due to COVID-19 impacts</w:t>
      </w:r>
      <w:r w:rsidR="00D94EED">
        <w:rPr>
          <w:rFonts w:asciiTheme="minorHAnsi" w:hAnsiTheme="minorHAnsi" w:cstheme="minorHAnsi"/>
          <w:bCs/>
          <w:color w:val="auto"/>
          <w:sz w:val="22"/>
          <w:szCs w:val="22"/>
        </w:rPr>
        <w:t>) for</w:t>
      </w:r>
      <w:r w:rsidRPr="00115C15">
        <w:rPr>
          <w:rFonts w:asciiTheme="minorHAnsi" w:hAnsiTheme="minorHAnsi" w:cstheme="minorHAnsi"/>
          <w:bCs/>
          <w:color w:val="auto"/>
          <w:sz w:val="22"/>
          <w:szCs w:val="22"/>
        </w:rPr>
        <w:t xml:space="preserve"> achievement of DLRs 2.1 and 2.2 </w:t>
      </w:r>
      <w:r w:rsidR="00D94EED">
        <w:rPr>
          <w:rFonts w:asciiTheme="minorHAnsi" w:hAnsiTheme="minorHAnsi" w:cstheme="minorHAnsi"/>
          <w:bCs/>
          <w:color w:val="auto"/>
          <w:sz w:val="22"/>
          <w:szCs w:val="22"/>
        </w:rPr>
        <w:t xml:space="preserve">and </w:t>
      </w:r>
      <w:r w:rsidRPr="00115C15">
        <w:rPr>
          <w:rFonts w:asciiTheme="minorHAnsi" w:hAnsiTheme="minorHAnsi" w:cstheme="minorHAnsi"/>
          <w:bCs/>
          <w:color w:val="auto"/>
          <w:sz w:val="22"/>
          <w:szCs w:val="22"/>
        </w:rPr>
        <w:t>reflect</w:t>
      </w:r>
      <w:r w:rsidR="00D94EED">
        <w:rPr>
          <w:rFonts w:asciiTheme="minorHAnsi" w:hAnsiTheme="minorHAnsi" w:cstheme="minorHAnsi"/>
          <w:bCs/>
          <w:color w:val="auto"/>
          <w:sz w:val="22"/>
          <w:szCs w:val="22"/>
        </w:rPr>
        <w:t>ing</w:t>
      </w:r>
      <w:r w:rsidRPr="00115C15">
        <w:rPr>
          <w:rFonts w:asciiTheme="minorHAnsi" w:hAnsiTheme="minorHAnsi" w:cstheme="minorHAnsi"/>
          <w:bCs/>
          <w:color w:val="auto"/>
          <w:sz w:val="22"/>
          <w:szCs w:val="22"/>
        </w:rPr>
        <w:t xml:space="preserve"> properly in BT’s financial statements of the revised terms of financing under Group 1 Subsidiary Agreements. The revision of the deadline for achievement of DLR 8.1 was also justified given slow-down in process for introduction of elements of corporate governance due to unavailability of key people caused by COVID-19.</w:t>
      </w:r>
    </w:p>
    <w:p w14:paraId="2E5C7E4A" w14:textId="6C5799CB" w:rsidR="002934AF" w:rsidRPr="00115C15" w:rsidRDefault="002934AF" w:rsidP="00875DBA">
      <w:pPr>
        <w:pStyle w:val="ListParagraph"/>
        <w:widowControl/>
        <w:numPr>
          <w:ilvl w:val="0"/>
          <w:numId w:val="3"/>
        </w:numPr>
        <w:shd w:val="clear" w:color="auto" w:fill="FFFFFF"/>
        <w:tabs>
          <w:tab w:val="left" w:pos="0"/>
        </w:tabs>
        <w:autoSpaceDE/>
        <w:autoSpaceDN/>
        <w:adjustRightInd/>
        <w:spacing w:after="120"/>
        <w:ind w:left="-360" w:firstLine="0"/>
        <w:contextualSpacing w:val="0"/>
        <w:jc w:val="both"/>
        <w:rPr>
          <w:rFonts w:asciiTheme="minorHAnsi" w:eastAsia="Times New Roman" w:hAnsiTheme="minorHAnsi" w:cstheme="minorHAnsi"/>
          <w:b/>
          <w:bCs/>
          <w:color w:val="auto"/>
          <w:sz w:val="22"/>
          <w:szCs w:val="22"/>
        </w:rPr>
      </w:pPr>
      <w:r w:rsidRPr="00115C15">
        <w:rPr>
          <w:rFonts w:asciiTheme="minorHAnsi" w:eastAsia="Times New Roman" w:hAnsiTheme="minorHAnsi" w:cstheme="minorHAnsi"/>
          <w:b/>
          <w:bCs/>
          <w:color w:val="auto"/>
          <w:sz w:val="22"/>
          <w:szCs w:val="22"/>
        </w:rPr>
        <w:t>Second restructuring dated March 5, 2021</w:t>
      </w:r>
      <w:r w:rsidRPr="00115C15">
        <w:rPr>
          <w:rFonts w:asciiTheme="minorHAnsi" w:eastAsia="Times New Roman" w:hAnsiTheme="minorHAnsi" w:cstheme="minorHAnsi"/>
          <w:color w:val="auto"/>
          <w:sz w:val="22"/>
          <w:szCs w:val="22"/>
        </w:rPr>
        <w:t xml:space="preserve">. </w:t>
      </w:r>
      <w:r w:rsidRPr="00115C15">
        <w:rPr>
          <w:rFonts w:asciiTheme="minorHAnsi" w:hAnsiTheme="minorHAnsi" w:cstheme="minorHAnsi"/>
          <w:color w:val="auto"/>
          <w:sz w:val="22"/>
          <w:szCs w:val="22"/>
          <w:shd w:val="clear" w:color="auto" w:fill="FFFFFF"/>
        </w:rPr>
        <w:t>The restructuring was related to DLR 1.1: “</w:t>
      </w:r>
      <w:r w:rsidRPr="00115C15">
        <w:rPr>
          <w:rFonts w:asciiTheme="minorHAnsi" w:hAnsiTheme="minorHAnsi" w:cstheme="minorHAnsi"/>
          <w:color w:val="auto"/>
          <w:sz w:val="22"/>
          <w:szCs w:val="22"/>
        </w:rPr>
        <w:t xml:space="preserve">By December 31, 2020: (a) at least twelve (12) percent increase of average end-user tariff for BT has been adopted by the Recipient; (b) approval by the Recipient’s government of the Electricity Tariff Paper satisfactory to the Association, with estimated full cost-recovery tariff and tariff adjustment plan to reach full cost-recovery by the end of 2025; and (c) establishment of an adequately staffed Tariff Unit at </w:t>
      </w:r>
      <w:r w:rsidR="00842CA3">
        <w:rPr>
          <w:rFonts w:asciiTheme="minorHAnsi" w:hAnsiTheme="minorHAnsi" w:cstheme="minorHAnsi"/>
          <w:color w:val="auto"/>
          <w:sz w:val="22"/>
          <w:szCs w:val="22"/>
        </w:rPr>
        <w:t>AMS</w:t>
      </w:r>
      <w:r w:rsidRPr="00115C15">
        <w:rPr>
          <w:rFonts w:asciiTheme="minorHAnsi" w:hAnsiTheme="minorHAnsi" w:cstheme="minorHAnsi"/>
          <w:color w:val="auto"/>
          <w:sz w:val="22"/>
          <w:szCs w:val="22"/>
        </w:rPr>
        <w:t xml:space="preserve">.” </w:t>
      </w:r>
      <w:r w:rsidRPr="00115C15">
        <w:rPr>
          <w:rFonts w:asciiTheme="minorHAnsi" w:hAnsiTheme="minorHAnsi" w:cstheme="minorHAnsi"/>
          <w:color w:val="auto"/>
          <w:sz w:val="22"/>
          <w:szCs w:val="22"/>
          <w:shd w:val="clear" w:color="auto" w:fill="FFFFFF"/>
        </w:rPr>
        <w:t xml:space="preserve">The restructuring was requested to: (i) </w:t>
      </w:r>
      <w:r w:rsidRPr="00115C15">
        <w:rPr>
          <w:rFonts w:asciiTheme="minorHAnsi" w:hAnsiTheme="minorHAnsi" w:cstheme="minorHAnsi"/>
          <w:color w:val="auto"/>
          <w:sz w:val="22"/>
          <w:szCs w:val="22"/>
        </w:rPr>
        <w:t xml:space="preserve">to replace the DLR 1.1 with the following two new DLRs comprised of components of the original DLR 1.1; and (ii) extend the deadline for achievement of revised </w:t>
      </w:r>
      <w:proofErr w:type="spellStart"/>
      <w:r w:rsidRPr="00115C15">
        <w:rPr>
          <w:rFonts w:asciiTheme="minorHAnsi" w:hAnsiTheme="minorHAnsi" w:cstheme="minorHAnsi"/>
          <w:color w:val="auto"/>
          <w:sz w:val="22"/>
          <w:szCs w:val="22"/>
        </w:rPr>
        <w:t>DLRs.</w:t>
      </w:r>
      <w:proofErr w:type="spellEnd"/>
    </w:p>
    <w:p w14:paraId="2D659CF3" w14:textId="77777777" w:rsidR="002934AF" w:rsidRPr="00115C15" w:rsidRDefault="002934AF" w:rsidP="00CB0465">
      <w:pPr>
        <w:pStyle w:val="ListParagraph"/>
        <w:widowControl/>
        <w:numPr>
          <w:ilvl w:val="0"/>
          <w:numId w:val="5"/>
        </w:numPr>
        <w:tabs>
          <w:tab w:val="left" w:pos="270"/>
        </w:tabs>
        <w:autoSpaceDE/>
        <w:autoSpaceDN/>
        <w:adjustRightInd/>
        <w:spacing w:after="120"/>
        <w:ind w:left="270" w:hanging="270"/>
        <w:contextualSpacing w:val="0"/>
        <w:jc w:val="both"/>
        <w:rPr>
          <w:rFonts w:asciiTheme="minorHAnsi" w:hAnsiTheme="minorHAnsi" w:cstheme="minorHAnsi"/>
          <w:b/>
          <w:color w:val="auto"/>
          <w:sz w:val="22"/>
          <w:szCs w:val="22"/>
        </w:rPr>
      </w:pPr>
      <w:r w:rsidRPr="00115C15">
        <w:rPr>
          <w:rFonts w:asciiTheme="minorHAnsi" w:hAnsiTheme="minorHAnsi" w:cstheme="minorHAnsi"/>
          <w:b/>
          <w:bCs/>
          <w:color w:val="auto"/>
          <w:sz w:val="22"/>
          <w:szCs w:val="22"/>
        </w:rPr>
        <w:t>Revised DLR 1</w:t>
      </w:r>
      <w:r w:rsidRPr="00115C15">
        <w:rPr>
          <w:rFonts w:asciiTheme="minorHAnsi" w:hAnsiTheme="minorHAnsi" w:cstheme="minorHAnsi"/>
          <w:b/>
          <w:color w:val="auto"/>
          <w:sz w:val="22"/>
          <w:szCs w:val="22"/>
        </w:rPr>
        <w:t xml:space="preserve">.1: </w:t>
      </w:r>
      <w:r w:rsidRPr="00115C15">
        <w:rPr>
          <w:rFonts w:asciiTheme="minorHAnsi" w:hAnsiTheme="minorHAnsi" w:cstheme="minorHAnsi"/>
          <w:bCs/>
          <w:color w:val="auto"/>
          <w:sz w:val="22"/>
          <w:szCs w:val="22"/>
        </w:rPr>
        <w:t>By September 30, 2021,</w:t>
      </w:r>
      <w:r w:rsidRPr="00115C15">
        <w:rPr>
          <w:rFonts w:asciiTheme="minorHAnsi" w:hAnsiTheme="minorHAnsi" w:cstheme="minorHAnsi"/>
          <w:b/>
          <w:color w:val="auto"/>
          <w:sz w:val="22"/>
          <w:szCs w:val="22"/>
        </w:rPr>
        <w:t xml:space="preserve"> </w:t>
      </w:r>
      <w:r w:rsidRPr="00115C15">
        <w:rPr>
          <w:rFonts w:asciiTheme="minorHAnsi" w:hAnsiTheme="minorHAnsi" w:cstheme="minorHAnsi"/>
          <w:color w:val="auto"/>
          <w:sz w:val="22"/>
          <w:szCs w:val="22"/>
        </w:rPr>
        <w:t>at least twelve (12) percent increase of average end-user tariff for BT has been adopted by the Recipient.</w:t>
      </w:r>
    </w:p>
    <w:p w14:paraId="2E42D55E" w14:textId="02593BDA" w:rsidR="002934AF" w:rsidRPr="00115C15" w:rsidRDefault="002934AF" w:rsidP="00CB0465">
      <w:pPr>
        <w:pStyle w:val="ListParagraph"/>
        <w:widowControl/>
        <w:numPr>
          <w:ilvl w:val="0"/>
          <w:numId w:val="5"/>
        </w:numPr>
        <w:tabs>
          <w:tab w:val="left" w:pos="270"/>
        </w:tabs>
        <w:autoSpaceDE/>
        <w:autoSpaceDN/>
        <w:adjustRightInd/>
        <w:spacing w:after="120"/>
        <w:ind w:left="270" w:hanging="270"/>
        <w:contextualSpacing w:val="0"/>
        <w:jc w:val="both"/>
        <w:rPr>
          <w:rFonts w:asciiTheme="minorHAnsi" w:hAnsiTheme="minorHAnsi" w:cstheme="minorHAnsi"/>
          <w:color w:val="auto"/>
          <w:sz w:val="22"/>
          <w:szCs w:val="22"/>
        </w:rPr>
      </w:pPr>
      <w:r w:rsidRPr="00115C15">
        <w:rPr>
          <w:rFonts w:asciiTheme="minorHAnsi" w:hAnsiTheme="minorHAnsi" w:cstheme="minorHAnsi"/>
          <w:b/>
          <w:bCs/>
          <w:color w:val="auto"/>
          <w:sz w:val="22"/>
          <w:szCs w:val="22"/>
        </w:rPr>
        <w:t>New DLR. 1.7:</w:t>
      </w:r>
      <w:r w:rsidRPr="00115C15">
        <w:rPr>
          <w:rFonts w:asciiTheme="minorHAnsi" w:hAnsiTheme="minorHAnsi" w:cstheme="minorHAnsi"/>
          <w:color w:val="auto"/>
          <w:sz w:val="22"/>
          <w:szCs w:val="22"/>
        </w:rPr>
        <w:t xml:space="preserve"> By June 30, 2021, approval by the Recipient’s government of the Electricity Tariff Paper satisfactory to the Association, with estimated full cost-recovery tariff and tariff adjustment plan to reach full cost-recovery by the end of 2025; and (b) establishment of an adequately staffed Tariff Unit at AM</w:t>
      </w:r>
      <w:r w:rsidR="00842CA3">
        <w:rPr>
          <w:rFonts w:asciiTheme="minorHAnsi" w:hAnsiTheme="minorHAnsi" w:cstheme="minorHAnsi"/>
          <w:color w:val="auto"/>
          <w:sz w:val="22"/>
          <w:szCs w:val="22"/>
        </w:rPr>
        <w:t>S</w:t>
      </w:r>
      <w:r w:rsidRPr="00115C15">
        <w:rPr>
          <w:rFonts w:asciiTheme="minorHAnsi" w:hAnsiTheme="minorHAnsi" w:cstheme="minorHAnsi"/>
          <w:color w:val="auto"/>
          <w:sz w:val="22"/>
          <w:szCs w:val="22"/>
        </w:rPr>
        <w:t xml:space="preserve">. The Recipient’s request was to specify a deadline of March 31, 2021. </w:t>
      </w:r>
    </w:p>
    <w:p w14:paraId="55004EBD" w14:textId="244B0E08" w:rsidR="002934AF" w:rsidRPr="00115C15" w:rsidRDefault="002934AF" w:rsidP="00875DBA">
      <w:pPr>
        <w:pStyle w:val="ListParagraph"/>
        <w:numPr>
          <w:ilvl w:val="0"/>
          <w:numId w:val="3"/>
        </w:numPr>
        <w:tabs>
          <w:tab w:val="left" w:pos="0"/>
        </w:tabs>
        <w:spacing w:after="120"/>
        <w:ind w:left="-360" w:firstLine="0"/>
        <w:contextualSpacing w:val="0"/>
        <w:jc w:val="both"/>
        <w:rPr>
          <w:rFonts w:asciiTheme="minorHAnsi" w:hAnsiTheme="minorHAnsi" w:cstheme="minorHAnsi"/>
          <w:color w:val="auto"/>
          <w:sz w:val="22"/>
          <w:szCs w:val="22"/>
          <w:shd w:val="clear" w:color="auto" w:fill="FFFFFF"/>
        </w:rPr>
      </w:pPr>
      <w:r w:rsidRPr="00115C15">
        <w:rPr>
          <w:rFonts w:asciiTheme="minorHAnsi" w:hAnsiTheme="minorHAnsi" w:cstheme="minorHAnsi"/>
          <w:b/>
          <w:bCs/>
          <w:color w:val="auto"/>
          <w:sz w:val="22"/>
          <w:szCs w:val="22"/>
          <w:shd w:val="clear" w:color="auto" w:fill="FFFFFF"/>
        </w:rPr>
        <w:t xml:space="preserve">Rationale for </w:t>
      </w:r>
      <w:r>
        <w:rPr>
          <w:rFonts w:asciiTheme="minorHAnsi" w:hAnsiTheme="minorHAnsi" w:cstheme="minorHAnsi"/>
          <w:b/>
          <w:bCs/>
          <w:color w:val="auto"/>
          <w:sz w:val="22"/>
          <w:szCs w:val="22"/>
          <w:shd w:val="clear" w:color="auto" w:fill="FFFFFF"/>
        </w:rPr>
        <w:t xml:space="preserve">the second </w:t>
      </w:r>
      <w:r w:rsidRPr="00115C15">
        <w:rPr>
          <w:rFonts w:asciiTheme="minorHAnsi" w:hAnsiTheme="minorHAnsi" w:cstheme="minorHAnsi"/>
          <w:b/>
          <w:bCs/>
          <w:color w:val="auto"/>
          <w:sz w:val="22"/>
          <w:szCs w:val="22"/>
          <w:shd w:val="clear" w:color="auto" w:fill="FFFFFF"/>
        </w:rPr>
        <w:t>restructuring</w:t>
      </w:r>
      <w:r w:rsidRPr="00115C15">
        <w:rPr>
          <w:rFonts w:asciiTheme="minorHAnsi" w:hAnsiTheme="minorHAnsi" w:cstheme="minorHAnsi"/>
          <w:color w:val="auto"/>
          <w:sz w:val="22"/>
          <w:szCs w:val="22"/>
          <w:shd w:val="clear" w:color="auto" w:fill="FFFFFF"/>
        </w:rPr>
        <w:t>. The restructuring was required to revise the DLR 1.1 and extend the deadline for achievement of the targets considering that: (i) the main building block of this DLR  - increase of electricity tariffs in 2020 – was not feasible due to deterioration of economic situation in the country caused by COVID-19; and (ii) development of Electricity Tariff Paper and appointment of key staff in the Tariff Unit of AM</w:t>
      </w:r>
      <w:r w:rsidR="00842CA3">
        <w:rPr>
          <w:rFonts w:asciiTheme="minorHAnsi" w:hAnsiTheme="minorHAnsi" w:cstheme="minorHAnsi"/>
          <w:color w:val="auto"/>
          <w:sz w:val="22"/>
          <w:szCs w:val="22"/>
          <w:shd w:val="clear" w:color="auto" w:fill="FFFFFF"/>
        </w:rPr>
        <w:t>S</w:t>
      </w:r>
      <w:r w:rsidRPr="00115C15">
        <w:rPr>
          <w:rFonts w:asciiTheme="minorHAnsi" w:hAnsiTheme="minorHAnsi" w:cstheme="minorHAnsi"/>
          <w:color w:val="auto"/>
          <w:sz w:val="22"/>
          <w:szCs w:val="22"/>
          <w:shd w:val="clear" w:color="auto" w:fill="FFFFFF"/>
        </w:rPr>
        <w:t xml:space="preserve"> were delayed due to COVID-19 impacts.</w:t>
      </w:r>
    </w:p>
    <w:p w14:paraId="5B1BE20C" w14:textId="77777777" w:rsidR="00453091" w:rsidRPr="00CD47E1" w:rsidRDefault="00453091" w:rsidP="00CD47E1">
      <w:pPr>
        <w:tabs>
          <w:tab w:val="left" w:pos="1695"/>
        </w:tabs>
        <w:rPr>
          <w:rFonts w:asciiTheme="minorHAnsi" w:hAnsiTheme="minorHAnsi"/>
          <w:sz w:val="22"/>
          <w:szCs w:val="22"/>
        </w:rPr>
      </w:pPr>
    </w:p>
    <w:sectPr w:rsidR="00453091" w:rsidRPr="00CD47E1" w:rsidSect="002448E7">
      <w:pgSz w:w="12240" w:h="15840"/>
      <w:pgMar w:top="1440" w:right="1354" w:bottom="1440" w:left="1440" w:header="720" w:footer="720" w:gutter="0"/>
      <w:pgBorders w:offsetFrom="page">
        <w:bottom w:val="single" w:sz="8" w:space="24" w:color="F7F7F7"/>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EC772" w14:textId="77777777" w:rsidR="00DE1FD5" w:rsidRDefault="00DE1FD5">
      <w:r>
        <w:separator/>
      </w:r>
    </w:p>
  </w:endnote>
  <w:endnote w:type="continuationSeparator" w:id="0">
    <w:p w14:paraId="4DB06853" w14:textId="77777777" w:rsidR="00DE1FD5" w:rsidRDefault="00DE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yriadPro-Light">
    <w:altName w:val="MS Gothic"/>
    <w:panose1 w:val="00000000000000000000"/>
    <w:charset w:val="CC"/>
    <w:family w:val="swiss"/>
    <w:notTrueType/>
    <w:pitch w:val="default"/>
    <w:sig w:usb0="00000000" w:usb1="08070000" w:usb2="00000010" w:usb3="00000000" w:csb0="00020004" w:csb1="00000000"/>
  </w:font>
  <w:font w:name="Segoe UI Symbol">
    <w:panose1 w:val="020B0502040204020203"/>
    <w:charset w:val="00"/>
    <w:family w:val="swiss"/>
    <w:pitch w:val="variable"/>
    <w:sig w:usb0="800001E3" w:usb1="1200FFEF" w:usb2="000400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3C9B" w14:textId="77777777" w:rsidR="00943242" w:rsidRDefault="00943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2C472" w14:textId="77777777" w:rsidR="003F1DD8" w:rsidRDefault="003F1DD8" w:rsidP="003D03F1">
    <w:pPr>
      <w:pStyle w:val="Footer"/>
      <w:jc w:val="right"/>
    </w:pPr>
  </w:p>
  <w:sdt>
    <w:sdtPr>
      <w:id w:val="558798290"/>
      <w:docPartObj>
        <w:docPartGallery w:val="Page Numbers (Top of Page)"/>
        <w:docPartUnique/>
      </w:docPartObj>
    </w:sdtPr>
    <w:sdtEndPr>
      <w:rPr>
        <w:sz w:val="16"/>
        <w:szCs w:val="16"/>
      </w:rPr>
    </w:sdtEndPr>
    <w:sdtContent>
      <w:p w14:paraId="2F46F9BF" w14:textId="77777777" w:rsidR="003F1DD8" w:rsidRPr="00DF015E" w:rsidRDefault="00880CEC" w:rsidP="003D03F1">
        <w:pPr>
          <w:pStyle w:val="Footer"/>
          <w:jc w:val="right"/>
        </w:pPr>
        <w:r>
          <w:tab/>
        </w:r>
      </w:p>
      <w:p w14:paraId="50E7CDEE" w14:textId="77777777" w:rsidR="003F1DD8" w:rsidRDefault="00000000" w:rsidP="003D03F1">
        <w:pPr>
          <w:pStyle w:val="Footer"/>
          <w:spacing w:line="160" w:lineRule="exac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BA47" w14:textId="77777777" w:rsidR="00943242" w:rsidRDefault="009432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2499" w14:textId="77777777" w:rsidR="003F1DD8" w:rsidRDefault="003F1DD8" w:rsidP="003D03F1">
    <w:pPr>
      <w:pStyle w:val="Footer"/>
      <w:jc w:val="right"/>
    </w:pPr>
  </w:p>
  <w:sdt>
    <w:sdtPr>
      <w:id w:val="1129325967"/>
      <w:docPartObj>
        <w:docPartGallery w:val="Page Numbers (Top of Page)"/>
        <w:docPartUnique/>
      </w:docPartObj>
    </w:sdtPr>
    <w:sdtEndPr>
      <w:rPr>
        <w:sz w:val="16"/>
        <w:szCs w:val="16"/>
      </w:rPr>
    </w:sdtEndPr>
    <w:sdtContent>
      <w:p w14:paraId="2063EC6F" w14:textId="77777777" w:rsidR="003F1DD8" w:rsidRPr="00DF015E" w:rsidRDefault="00880CEC" w:rsidP="003D03F1">
        <w:pPr>
          <w:pStyle w:val="Footer"/>
          <w:jc w:val="right"/>
        </w:pPr>
        <w:r>
          <w:rPr>
            <w:noProof/>
            <w:sz w:val="16"/>
            <w:szCs w:val="16"/>
          </w:rPr>
          <mc:AlternateContent>
            <mc:Choice Requires="wps">
              <w:drawing>
                <wp:anchor distT="0" distB="0" distL="114300" distR="114300" simplePos="0" relativeHeight="251658240" behindDoc="0" locked="0" layoutInCell="1" allowOverlap="1" wp14:anchorId="6084417C" wp14:editId="4CD10FC8">
                  <wp:simplePos x="0" y="0"/>
                  <wp:positionH relativeFrom="margin">
                    <wp:align>center</wp:align>
                  </wp:positionH>
                  <wp:positionV relativeFrom="paragraph">
                    <wp:posOffset>130810</wp:posOffset>
                  </wp:positionV>
                  <wp:extent cx="7248525" cy="0"/>
                  <wp:effectExtent l="0" t="0" r="2857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8525" cy="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2052" style="mso-height-percent:0;mso-height-relative:page;mso-position-horizontal:center;mso-position-horizontal-relative:margin;mso-width-percent:0;mso-width-relative:page;mso-wrap-distance-bottom:0;mso-wrap-distance-left:9pt;mso-wrap-distance-right:9pt;mso-wrap-distance-top:0;mso-wrap-style:square;position:absolute;visibility:visible;z-index:251685888" from="0,10.3pt" to="570.75pt,10.3pt" strokecolor="#4e92d1">
                  <w10:wrap anchorx="margin"/>
                </v:line>
              </w:pict>
            </mc:Fallback>
          </mc:AlternateContent>
        </w:r>
        <w:r>
          <w:tab/>
        </w:r>
      </w:p>
      <w:tbl>
        <w:tblPr>
          <w:tblStyle w:val="TableGrid"/>
          <w:tblW w:w="10710" w:type="dxa"/>
          <w:jc w:val="center"/>
          <w:tblCellMar>
            <w:left w:w="0" w:type="dxa"/>
            <w:right w:w="0" w:type="dxa"/>
          </w:tblCellMar>
          <w:tblLook w:val="04A0" w:firstRow="1" w:lastRow="0" w:firstColumn="1" w:lastColumn="0" w:noHBand="0" w:noVBand="1"/>
        </w:tblPr>
        <w:tblGrid>
          <w:gridCol w:w="5580"/>
          <w:gridCol w:w="5130"/>
        </w:tblGrid>
        <w:tr w:rsidR="004F0F3F" w14:paraId="2EC8D685" w14:textId="77777777" w:rsidTr="003F78A9">
          <w:trPr>
            <w:trHeight w:val="270"/>
            <w:jc w:val="center"/>
          </w:trPr>
          <w:tc>
            <w:tcPr>
              <w:tcW w:w="5580" w:type="dxa"/>
              <w:tcBorders>
                <w:top w:val="nil"/>
                <w:left w:val="nil"/>
                <w:bottom w:val="nil"/>
                <w:right w:val="nil"/>
              </w:tcBorders>
              <w:vAlign w:val="center"/>
            </w:tcPr>
            <w:p w14:paraId="347212B3" w14:textId="6466FE3A" w:rsidR="003F1DD8" w:rsidRPr="008C3869" w:rsidRDefault="007C4C70" w:rsidP="003D03F1">
              <w:pPr>
                <w:pStyle w:val="Footer"/>
                <w:rPr>
                  <w:color w:val="7F7F7F" w:themeColor="text1" w:themeTint="80"/>
                  <w:sz w:val="16"/>
                  <w:szCs w:val="16"/>
                </w:rPr>
              </w:pPr>
              <w:r>
                <w:rPr>
                  <w:noProof/>
                  <w:sz w:val="16"/>
                  <w:szCs w:val="16"/>
                </w:rPr>
                <w:t>June 3</w:t>
              </w:r>
              <w:r w:rsidR="00880CEC">
                <w:rPr>
                  <w:noProof/>
                  <w:sz w:val="16"/>
                  <w:szCs w:val="16"/>
                </w:rPr>
                <w:t>,</w:t>
              </w:r>
              <w:r w:rsidR="00880CEC" w:rsidRPr="003E6D25">
                <w:rPr>
                  <w:noProof/>
                  <w:sz w:val="16"/>
                  <w:szCs w:val="16"/>
                </w:rPr>
                <w:t xml:space="preserve"> 2022</w:t>
              </w:r>
            </w:p>
          </w:tc>
          <w:tc>
            <w:tcPr>
              <w:tcW w:w="5130" w:type="dxa"/>
              <w:tcBorders>
                <w:top w:val="nil"/>
                <w:left w:val="nil"/>
                <w:bottom w:val="nil"/>
                <w:right w:val="nil"/>
              </w:tcBorders>
              <w:vAlign w:val="center"/>
            </w:tcPr>
            <w:p w14:paraId="17443598" w14:textId="5BEB298F" w:rsidR="003F1DD8" w:rsidRDefault="00880CEC" w:rsidP="003F78A9">
              <w:pPr>
                <w:pStyle w:val="Footer"/>
                <w:tabs>
                  <w:tab w:val="clear" w:pos="4680"/>
                  <w:tab w:val="center" w:pos="3870"/>
                </w:tabs>
                <w:ind w:right="89"/>
                <w:jc w:val="right"/>
                <w:rPr>
                  <w:color w:val="7F7F7F" w:themeColor="text1" w:themeTint="80"/>
                  <w:sz w:val="16"/>
                  <w:szCs w:val="16"/>
                </w:rPr>
              </w:pPr>
              <w:r w:rsidRPr="000C12E3">
                <w:rPr>
                  <w:sz w:val="16"/>
                  <w:szCs w:val="16"/>
                </w:rPr>
                <w:t xml:space="preserve">Page </w:t>
              </w:r>
              <w:r>
                <w:rPr>
                  <w:bCs/>
                  <w:sz w:val="16"/>
                  <w:szCs w:val="16"/>
                </w:rPr>
                <w:fldChar w:fldCharType="begin"/>
              </w:r>
              <w:r>
                <w:rPr>
                  <w:bCs/>
                  <w:sz w:val="16"/>
                  <w:szCs w:val="16"/>
                </w:rPr>
                <w:instrText xml:space="preserve"> PAGE  \* Arabic </w:instrText>
              </w:r>
              <w:r>
                <w:rPr>
                  <w:bCs/>
                  <w:sz w:val="16"/>
                  <w:szCs w:val="16"/>
                </w:rPr>
                <w:fldChar w:fldCharType="separate"/>
              </w:r>
              <w:r>
                <w:rPr>
                  <w:bCs/>
                  <w:sz w:val="16"/>
                  <w:szCs w:val="16"/>
                </w:rPr>
                <w:t>5</w:t>
              </w:r>
              <w:r>
                <w:rPr>
                  <w:bCs/>
                  <w:sz w:val="16"/>
                  <w:szCs w:val="16"/>
                </w:rPr>
                <w:fldChar w:fldCharType="end"/>
              </w:r>
              <w:r w:rsidRPr="000C12E3">
                <w:rPr>
                  <w:sz w:val="16"/>
                  <w:szCs w:val="16"/>
                </w:rPr>
                <w:t xml:space="preserve"> of </w:t>
              </w:r>
              <w:r>
                <w:rPr>
                  <w:bCs/>
                  <w:sz w:val="16"/>
                  <w:szCs w:val="16"/>
                </w:rPr>
                <w:fldChar w:fldCharType="begin"/>
              </w:r>
              <w:r>
                <w:rPr>
                  <w:bCs/>
                  <w:sz w:val="16"/>
                  <w:szCs w:val="16"/>
                </w:rPr>
                <w:instrText xml:space="preserve">= </w:instrText>
              </w:r>
              <w:r>
                <w:rPr>
                  <w:bCs/>
                  <w:sz w:val="16"/>
                  <w:szCs w:val="16"/>
                </w:rPr>
                <w:fldChar w:fldCharType="begin"/>
              </w:r>
              <w:r>
                <w:rPr>
                  <w:bCs/>
                  <w:sz w:val="16"/>
                  <w:szCs w:val="16"/>
                </w:rPr>
                <w:instrText xml:space="preserve"> NUMPAGES  \* Arabic </w:instrText>
              </w:r>
              <w:r>
                <w:rPr>
                  <w:bCs/>
                  <w:sz w:val="16"/>
                  <w:szCs w:val="16"/>
                </w:rPr>
                <w:fldChar w:fldCharType="separate"/>
              </w:r>
              <w:r w:rsidR="0013119C">
                <w:rPr>
                  <w:bCs/>
                  <w:noProof/>
                  <w:sz w:val="16"/>
                  <w:szCs w:val="16"/>
                </w:rPr>
                <w:instrText>121</w:instrText>
              </w:r>
              <w:r>
                <w:rPr>
                  <w:bCs/>
                  <w:sz w:val="16"/>
                  <w:szCs w:val="16"/>
                </w:rPr>
                <w:fldChar w:fldCharType="end"/>
              </w:r>
              <w:r>
                <w:rPr>
                  <w:bCs/>
                  <w:sz w:val="16"/>
                  <w:szCs w:val="16"/>
                </w:rPr>
                <w:instrText xml:space="preserve"> - </w:instrText>
              </w:r>
              <w:r>
                <w:rPr>
                  <w:bCs/>
                  <w:sz w:val="16"/>
                  <w:szCs w:val="16"/>
                </w:rPr>
                <w:fldChar w:fldCharType="begin"/>
              </w:r>
              <w:r>
                <w:rPr>
                  <w:bCs/>
                  <w:sz w:val="16"/>
                  <w:szCs w:val="16"/>
                </w:rPr>
                <w:instrText xml:space="preserve"> PAGEREF  SECTION3 \* Arabic  \* MERGEFORMAT </w:instrText>
              </w:r>
              <w:r>
                <w:rPr>
                  <w:bCs/>
                  <w:sz w:val="16"/>
                  <w:szCs w:val="16"/>
                </w:rPr>
                <w:fldChar w:fldCharType="separate"/>
              </w:r>
              <w:r w:rsidR="0013119C" w:rsidRPr="0013119C">
                <w:rPr>
                  <w:b/>
                  <w:noProof/>
                  <w:sz w:val="16"/>
                  <w:szCs w:val="16"/>
                </w:rPr>
                <w:instrText>4</w:instrText>
              </w:r>
              <w:r>
                <w:rPr>
                  <w:bCs/>
                  <w:sz w:val="16"/>
                  <w:szCs w:val="16"/>
                </w:rPr>
                <w:fldChar w:fldCharType="end"/>
              </w:r>
              <w:r>
                <w:rPr>
                  <w:bCs/>
                  <w:sz w:val="16"/>
                  <w:szCs w:val="16"/>
                </w:rPr>
                <w:fldChar w:fldCharType="separate"/>
              </w:r>
              <w:r w:rsidR="0013119C">
                <w:rPr>
                  <w:bCs/>
                  <w:noProof/>
                  <w:sz w:val="16"/>
                  <w:szCs w:val="16"/>
                </w:rPr>
                <w:t>117</w:t>
              </w:r>
              <w:r>
                <w:rPr>
                  <w:bCs/>
                  <w:sz w:val="16"/>
                  <w:szCs w:val="16"/>
                </w:rPr>
                <w:fldChar w:fldCharType="end"/>
              </w:r>
            </w:p>
          </w:tc>
        </w:tr>
      </w:tbl>
      <w:p w14:paraId="69DA7F09" w14:textId="77777777" w:rsidR="003F1DD8" w:rsidRDefault="00000000" w:rsidP="003D03F1">
        <w:pPr>
          <w:pStyle w:val="Footer"/>
          <w:spacing w:line="160" w:lineRule="exact"/>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16EE" w14:textId="77777777" w:rsidR="003F1DD8" w:rsidRDefault="003F1DD8" w:rsidP="003615CB">
    <w:pPr>
      <w:pStyle w:val="Footer"/>
      <w:jc w:val="right"/>
    </w:pPr>
  </w:p>
  <w:sdt>
    <w:sdtPr>
      <w:id w:val="1725912312"/>
      <w:docPartObj>
        <w:docPartGallery w:val="Page Numbers (Top of Page)"/>
        <w:docPartUnique/>
      </w:docPartObj>
    </w:sdtPr>
    <w:sdtEndPr>
      <w:rPr>
        <w:sz w:val="16"/>
        <w:szCs w:val="16"/>
      </w:rPr>
    </w:sdtEndPr>
    <w:sdtContent>
      <w:p w14:paraId="57C67B41" w14:textId="77777777" w:rsidR="003F1DD8" w:rsidRPr="00DF015E" w:rsidRDefault="00880CEC" w:rsidP="008C3FB2">
        <w:pPr>
          <w:pStyle w:val="Footer"/>
          <w:jc w:val="right"/>
        </w:pPr>
        <w:r>
          <w:rPr>
            <w:noProof/>
            <w:sz w:val="16"/>
            <w:szCs w:val="16"/>
          </w:rPr>
          <mc:AlternateContent>
            <mc:Choice Requires="wps">
              <w:drawing>
                <wp:anchor distT="0" distB="0" distL="114300" distR="114300" simplePos="0" relativeHeight="251651072" behindDoc="0" locked="0" layoutInCell="1" allowOverlap="1" wp14:anchorId="6BAE414A" wp14:editId="170BA973">
                  <wp:simplePos x="0" y="0"/>
                  <wp:positionH relativeFrom="margin">
                    <wp:align>center</wp:align>
                  </wp:positionH>
                  <wp:positionV relativeFrom="paragraph">
                    <wp:posOffset>130810</wp:posOffset>
                  </wp:positionV>
                  <wp:extent cx="7248525" cy="0"/>
                  <wp:effectExtent l="0" t="0" r="2857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8525" cy="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2054" style="mso-height-percent:0;mso-height-relative:page;mso-position-horizontal:center;mso-position-horizontal-relative:margin;mso-width-percent:0;mso-width-relative:page;mso-wrap-distance-bottom:0;mso-wrap-distance-left:9pt;mso-wrap-distance-right:9pt;mso-wrap-distance-top:0;mso-wrap-style:square;position:absolute;visibility:visible;z-index:251675648" from="0,10.3pt" to="570.75pt,10.3pt" strokecolor="#4e92d1">
                  <w10:wrap anchorx="margin"/>
                </v:line>
              </w:pict>
            </mc:Fallback>
          </mc:AlternateContent>
        </w:r>
        <w:r>
          <w:tab/>
        </w:r>
      </w:p>
      <w:tbl>
        <w:tblPr>
          <w:tblStyle w:val="TableGrid"/>
          <w:tblW w:w="10799" w:type="dxa"/>
          <w:jc w:val="center"/>
          <w:tblCellMar>
            <w:left w:w="0" w:type="dxa"/>
            <w:right w:w="0" w:type="dxa"/>
          </w:tblCellMar>
          <w:tblLook w:val="04A0" w:firstRow="1" w:lastRow="0" w:firstColumn="1" w:lastColumn="0" w:noHBand="0" w:noVBand="1"/>
        </w:tblPr>
        <w:tblGrid>
          <w:gridCol w:w="5580"/>
          <w:gridCol w:w="5219"/>
        </w:tblGrid>
        <w:tr w:rsidR="004F0F3F" w14:paraId="6E4B7C1E" w14:textId="77777777" w:rsidTr="00FF3357">
          <w:trPr>
            <w:trHeight w:val="270"/>
            <w:jc w:val="center"/>
          </w:trPr>
          <w:tc>
            <w:tcPr>
              <w:tcW w:w="5580" w:type="dxa"/>
              <w:tcBorders>
                <w:top w:val="nil"/>
                <w:left w:val="nil"/>
                <w:bottom w:val="nil"/>
                <w:right w:val="nil"/>
              </w:tcBorders>
              <w:vAlign w:val="center"/>
            </w:tcPr>
            <w:p w14:paraId="747361CC" w14:textId="77777777" w:rsidR="003F1DD8" w:rsidRPr="008C3869" w:rsidRDefault="00880CEC" w:rsidP="008C3FB2">
              <w:pPr>
                <w:pStyle w:val="Footer"/>
                <w:rPr>
                  <w:color w:val="7F7F7F" w:themeColor="text1" w:themeTint="80"/>
                  <w:sz w:val="16"/>
                  <w:szCs w:val="16"/>
                </w:rPr>
              </w:pPr>
              <w:r>
                <w:rPr>
                  <w:noProof/>
                  <w:sz w:val="16"/>
                  <w:szCs w:val="16"/>
                </w:rPr>
                <w:t>May 19,</w:t>
              </w:r>
              <w:r w:rsidRPr="003E6D25">
                <w:rPr>
                  <w:noProof/>
                  <w:sz w:val="16"/>
                  <w:szCs w:val="16"/>
                </w:rPr>
                <w:t xml:space="preserve"> 2022</w:t>
              </w:r>
            </w:p>
          </w:tc>
          <w:tc>
            <w:tcPr>
              <w:tcW w:w="5219" w:type="dxa"/>
              <w:tcBorders>
                <w:top w:val="nil"/>
                <w:left w:val="nil"/>
                <w:bottom w:val="nil"/>
                <w:right w:val="nil"/>
              </w:tcBorders>
              <w:vAlign w:val="center"/>
            </w:tcPr>
            <w:p w14:paraId="097BD29D" w14:textId="6711FA36" w:rsidR="003F1DD8" w:rsidRDefault="00880CEC" w:rsidP="001A749A">
              <w:pPr>
                <w:pStyle w:val="Footer"/>
                <w:ind w:right="89"/>
                <w:jc w:val="right"/>
                <w:rPr>
                  <w:color w:val="7F7F7F" w:themeColor="text1" w:themeTint="80"/>
                  <w:sz w:val="16"/>
                  <w:szCs w:val="16"/>
                </w:rPr>
              </w:pPr>
              <w:r w:rsidRPr="000C12E3">
                <w:rPr>
                  <w:sz w:val="16"/>
                  <w:szCs w:val="16"/>
                </w:rPr>
                <w:t xml:space="preserve">Page </w:t>
              </w:r>
              <w:r>
                <w:rPr>
                  <w:bCs/>
                  <w:sz w:val="16"/>
                  <w:szCs w:val="16"/>
                </w:rPr>
                <w:fldChar w:fldCharType="begin"/>
              </w:r>
              <w:r>
                <w:rPr>
                  <w:bCs/>
                  <w:sz w:val="16"/>
                  <w:szCs w:val="16"/>
                </w:rPr>
                <w:instrText xml:space="preserve"> PAGE  \* Arabic </w:instrText>
              </w:r>
              <w:r>
                <w:rPr>
                  <w:bCs/>
                  <w:sz w:val="16"/>
                  <w:szCs w:val="16"/>
                </w:rPr>
                <w:fldChar w:fldCharType="separate"/>
              </w:r>
              <w:r>
                <w:rPr>
                  <w:bCs/>
                  <w:noProof/>
                  <w:sz w:val="16"/>
                  <w:szCs w:val="16"/>
                </w:rPr>
                <w:t>6</w:t>
              </w:r>
              <w:r>
                <w:rPr>
                  <w:bCs/>
                  <w:sz w:val="16"/>
                  <w:szCs w:val="16"/>
                </w:rPr>
                <w:fldChar w:fldCharType="end"/>
              </w:r>
              <w:r w:rsidRPr="000C12E3">
                <w:rPr>
                  <w:sz w:val="16"/>
                  <w:szCs w:val="16"/>
                </w:rPr>
                <w:t xml:space="preserve"> of </w:t>
              </w:r>
              <w:r>
                <w:rPr>
                  <w:bCs/>
                  <w:sz w:val="16"/>
                  <w:szCs w:val="16"/>
                </w:rPr>
                <w:fldChar w:fldCharType="begin"/>
              </w:r>
              <w:r>
                <w:rPr>
                  <w:bCs/>
                  <w:sz w:val="16"/>
                  <w:szCs w:val="16"/>
                </w:rPr>
                <w:instrText xml:space="preserve">= </w:instrText>
              </w:r>
              <w:r>
                <w:rPr>
                  <w:bCs/>
                  <w:sz w:val="16"/>
                  <w:szCs w:val="16"/>
                </w:rPr>
                <w:fldChar w:fldCharType="begin"/>
              </w:r>
              <w:r>
                <w:rPr>
                  <w:bCs/>
                  <w:sz w:val="16"/>
                  <w:szCs w:val="16"/>
                </w:rPr>
                <w:instrText xml:space="preserve"> NUMPAGES  \* Arabic </w:instrText>
              </w:r>
              <w:r>
                <w:rPr>
                  <w:bCs/>
                  <w:sz w:val="16"/>
                  <w:szCs w:val="16"/>
                </w:rPr>
                <w:fldChar w:fldCharType="separate"/>
              </w:r>
              <w:r w:rsidR="00E83710">
                <w:rPr>
                  <w:bCs/>
                  <w:noProof/>
                  <w:sz w:val="16"/>
                  <w:szCs w:val="16"/>
                </w:rPr>
                <w:instrText>11</w:instrText>
              </w:r>
              <w:r>
                <w:rPr>
                  <w:bCs/>
                  <w:sz w:val="16"/>
                  <w:szCs w:val="16"/>
                </w:rPr>
                <w:fldChar w:fldCharType="end"/>
              </w:r>
              <w:r>
                <w:rPr>
                  <w:bCs/>
                  <w:sz w:val="16"/>
                  <w:szCs w:val="16"/>
                </w:rPr>
                <w:instrText xml:space="preserve"> - </w:instrText>
              </w:r>
              <w:r>
                <w:rPr>
                  <w:bCs/>
                  <w:sz w:val="16"/>
                  <w:szCs w:val="16"/>
                </w:rPr>
                <w:fldChar w:fldCharType="begin"/>
              </w:r>
              <w:r>
                <w:rPr>
                  <w:bCs/>
                  <w:sz w:val="16"/>
                  <w:szCs w:val="16"/>
                </w:rPr>
                <w:instrText xml:space="preserve"> PAGEREF  SECTION3 \* Arabic  \* MERGEFORMAT </w:instrText>
              </w:r>
              <w:r>
                <w:rPr>
                  <w:bCs/>
                  <w:sz w:val="16"/>
                  <w:szCs w:val="16"/>
                </w:rPr>
                <w:fldChar w:fldCharType="separate"/>
              </w:r>
              <w:r w:rsidR="00E83710" w:rsidRPr="00E83710">
                <w:rPr>
                  <w:b/>
                  <w:noProof/>
                  <w:sz w:val="16"/>
                  <w:szCs w:val="16"/>
                </w:rPr>
                <w:instrText>4</w:instrText>
              </w:r>
              <w:r>
                <w:rPr>
                  <w:bCs/>
                  <w:sz w:val="16"/>
                  <w:szCs w:val="16"/>
                </w:rPr>
                <w:fldChar w:fldCharType="end"/>
              </w:r>
              <w:r>
                <w:rPr>
                  <w:bCs/>
                  <w:sz w:val="16"/>
                  <w:szCs w:val="16"/>
                </w:rPr>
                <w:fldChar w:fldCharType="separate"/>
              </w:r>
              <w:r w:rsidR="00E83710">
                <w:rPr>
                  <w:bCs/>
                  <w:noProof/>
                  <w:sz w:val="16"/>
                  <w:szCs w:val="16"/>
                </w:rPr>
                <w:t>7</w:t>
              </w:r>
              <w:r>
                <w:rPr>
                  <w:bCs/>
                  <w:sz w:val="16"/>
                  <w:szCs w:val="16"/>
                </w:rPr>
                <w:fldChar w:fldCharType="end"/>
              </w:r>
            </w:p>
          </w:tc>
        </w:tr>
      </w:tbl>
      <w:p w14:paraId="60E575BF" w14:textId="77777777" w:rsidR="003F1DD8" w:rsidRDefault="00000000" w:rsidP="008C3FB2">
        <w:pPr>
          <w:pStyle w:val="Footer"/>
          <w:spacing w:line="160" w:lineRule="exact"/>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4728" w14:textId="77777777" w:rsidR="003F1DD8" w:rsidRDefault="003F1DD8" w:rsidP="00D50E74">
    <w:pPr>
      <w:pStyle w:val="Footer"/>
      <w:jc w:val="right"/>
    </w:pPr>
  </w:p>
  <w:sdt>
    <w:sdtPr>
      <w:id w:val="210274645"/>
      <w:docPartObj>
        <w:docPartGallery w:val="Page Numbers (Top of Page)"/>
        <w:docPartUnique/>
      </w:docPartObj>
    </w:sdtPr>
    <w:sdtEndPr>
      <w:rPr>
        <w:sz w:val="16"/>
        <w:szCs w:val="16"/>
      </w:rPr>
    </w:sdtEndPr>
    <w:sdtContent>
      <w:p w14:paraId="0FE4A433" w14:textId="77777777" w:rsidR="003F1DD8" w:rsidRPr="00DF015E" w:rsidRDefault="00880CEC" w:rsidP="00D50E74">
        <w:pPr>
          <w:pStyle w:val="Footer"/>
          <w:jc w:val="right"/>
        </w:pPr>
        <w:r>
          <w:rPr>
            <w:noProof/>
            <w:sz w:val="16"/>
            <w:szCs w:val="16"/>
          </w:rPr>
          <mc:AlternateContent>
            <mc:Choice Requires="wps">
              <w:drawing>
                <wp:anchor distT="0" distB="0" distL="114300" distR="114300" simplePos="0" relativeHeight="251657216" behindDoc="0" locked="0" layoutInCell="1" allowOverlap="1" wp14:anchorId="230F1EDB" wp14:editId="161F6AF6">
                  <wp:simplePos x="0" y="0"/>
                  <wp:positionH relativeFrom="margin">
                    <wp:posOffset>474980</wp:posOffset>
                  </wp:positionH>
                  <wp:positionV relativeFrom="paragraph">
                    <wp:posOffset>7011035</wp:posOffset>
                  </wp:positionV>
                  <wp:extent cx="9144000" cy="0"/>
                  <wp:effectExtent l="8255" t="10795" r="10795" b="825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w="9525">
                            <a:solidFill>
                              <a:srgbClr val="4F94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2056" style="mso-height-percent:0;mso-height-relative:page;mso-position-horizontal-relative:margin;mso-width-percent:0;mso-width-relative:page;mso-wrap-distance-bottom:0;mso-wrap-distance-left:9pt;mso-wrap-distance-right:9pt;mso-wrap-distance-top:0;mso-wrap-style:square;position:absolute;visibility:visible;z-index:251682816" from="37.4pt,552.05pt" to="757.4pt,552.05pt" strokecolor="#4f94d2">
                  <w10:wrap anchorx="margin"/>
                </v:line>
              </w:pict>
            </mc:Fallback>
          </mc:AlternateContent>
        </w:r>
        <w:r>
          <w:rPr>
            <w:noProof/>
            <w:sz w:val="16"/>
            <w:szCs w:val="16"/>
          </w:rPr>
          <mc:AlternateContent>
            <mc:Choice Requires="wps">
              <w:drawing>
                <wp:anchor distT="0" distB="0" distL="114300" distR="114300" simplePos="0" relativeHeight="251656192" behindDoc="0" locked="0" layoutInCell="1" allowOverlap="1" wp14:anchorId="4E572A12" wp14:editId="00F5D20E">
                  <wp:simplePos x="0" y="0"/>
                  <wp:positionH relativeFrom="margin">
                    <wp:align>center</wp:align>
                  </wp:positionH>
                  <wp:positionV relativeFrom="paragraph">
                    <wp:posOffset>130810</wp:posOffset>
                  </wp:positionV>
                  <wp:extent cx="724852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8525" cy="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2057" style="mso-height-percent:0;mso-height-relative:page;mso-position-horizontal:center;mso-position-horizontal-relative:margin;mso-width-percent:0;mso-width-relative:page;mso-wrap-distance-bottom:0;mso-wrap-distance-left:9pt;mso-wrap-distance-right:9pt;mso-wrap-distance-top:0;mso-wrap-style:square;position:absolute;visibility:visible;z-index:251681792" from="0,10.3pt" to="570.75pt,10.3pt" strokecolor="#4e92d1">
                  <w10:wrap anchorx="margin"/>
                </v:line>
              </w:pict>
            </mc:Fallback>
          </mc:AlternateContent>
        </w:r>
        <w:r>
          <w:tab/>
        </w:r>
      </w:p>
      <w:tbl>
        <w:tblPr>
          <w:tblStyle w:val="TableGrid"/>
          <w:tblW w:w="10799" w:type="dxa"/>
          <w:jc w:val="center"/>
          <w:tblCellMar>
            <w:left w:w="0" w:type="dxa"/>
            <w:right w:w="0" w:type="dxa"/>
          </w:tblCellMar>
          <w:tblLook w:val="04A0" w:firstRow="1" w:lastRow="0" w:firstColumn="1" w:lastColumn="0" w:noHBand="0" w:noVBand="1"/>
        </w:tblPr>
        <w:tblGrid>
          <w:gridCol w:w="5580"/>
          <w:gridCol w:w="5219"/>
        </w:tblGrid>
        <w:tr w:rsidR="004F0F3F" w14:paraId="04DB16B1" w14:textId="77777777" w:rsidTr="00CB3A8D">
          <w:trPr>
            <w:trHeight w:val="270"/>
            <w:jc w:val="center"/>
          </w:trPr>
          <w:tc>
            <w:tcPr>
              <w:tcW w:w="5580" w:type="dxa"/>
              <w:tcBorders>
                <w:top w:val="nil"/>
                <w:left w:val="nil"/>
                <w:bottom w:val="nil"/>
                <w:right w:val="nil"/>
              </w:tcBorders>
              <w:vAlign w:val="center"/>
            </w:tcPr>
            <w:p w14:paraId="517BE3C3" w14:textId="1FE09B50" w:rsidR="003F1DD8" w:rsidRPr="008C3869" w:rsidRDefault="007C4C70" w:rsidP="00D50E74">
              <w:pPr>
                <w:pStyle w:val="Footer"/>
                <w:rPr>
                  <w:color w:val="7F7F7F" w:themeColor="text1" w:themeTint="80"/>
                  <w:sz w:val="16"/>
                  <w:szCs w:val="16"/>
                </w:rPr>
              </w:pPr>
              <w:r>
                <w:rPr>
                  <w:noProof/>
                  <w:sz w:val="16"/>
                  <w:szCs w:val="16"/>
                </w:rPr>
                <w:t>June</w:t>
              </w:r>
              <w:r w:rsidR="00880CEC">
                <w:rPr>
                  <w:noProof/>
                  <w:sz w:val="16"/>
                  <w:szCs w:val="16"/>
                </w:rPr>
                <w:t xml:space="preserve"> </w:t>
              </w:r>
              <w:r>
                <w:rPr>
                  <w:noProof/>
                  <w:sz w:val="16"/>
                  <w:szCs w:val="16"/>
                </w:rPr>
                <w:t>3</w:t>
              </w:r>
              <w:r w:rsidR="00880CEC">
                <w:rPr>
                  <w:noProof/>
                  <w:sz w:val="16"/>
                  <w:szCs w:val="16"/>
                </w:rPr>
                <w:t>,</w:t>
              </w:r>
              <w:r w:rsidR="00880CEC" w:rsidRPr="003E6D25">
                <w:rPr>
                  <w:noProof/>
                  <w:sz w:val="16"/>
                  <w:szCs w:val="16"/>
                </w:rPr>
                <w:t xml:space="preserve"> 2022</w:t>
              </w:r>
            </w:p>
          </w:tc>
          <w:tc>
            <w:tcPr>
              <w:tcW w:w="5219" w:type="dxa"/>
              <w:tcBorders>
                <w:top w:val="nil"/>
                <w:left w:val="nil"/>
                <w:bottom w:val="nil"/>
                <w:right w:val="nil"/>
              </w:tcBorders>
              <w:vAlign w:val="center"/>
            </w:tcPr>
            <w:p w14:paraId="18DD8244" w14:textId="56C05712" w:rsidR="003F1DD8" w:rsidRDefault="00880CEC" w:rsidP="00D50E74">
              <w:pPr>
                <w:pStyle w:val="Footer"/>
                <w:ind w:right="89"/>
                <w:jc w:val="right"/>
                <w:rPr>
                  <w:color w:val="7F7F7F" w:themeColor="text1" w:themeTint="80"/>
                  <w:sz w:val="16"/>
                  <w:szCs w:val="16"/>
                </w:rPr>
              </w:pPr>
              <w:r w:rsidRPr="000C12E3">
                <w:rPr>
                  <w:sz w:val="16"/>
                  <w:szCs w:val="16"/>
                </w:rPr>
                <w:t xml:space="preserve">Page </w:t>
              </w:r>
              <w:r>
                <w:rPr>
                  <w:bCs/>
                  <w:sz w:val="16"/>
                  <w:szCs w:val="16"/>
                </w:rPr>
                <w:fldChar w:fldCharType="begin"/>
              </w:r>
              <w:r>
                <w:rPr>
                  <w:bCs/>
                  <w:sz w:val="16"/>
                  <w:szCs w:val="16"/>
                </w:rPr>
                <w:instrText xml:space="preserve"> PAGE  \* Arabic </w:instrText>
              </w:r>
              <w:r>
                <w:rPr>
                  <w:bCs/>
                  <w:sz w:val="16"/>
                  <w:szCs w:val="16"/>
                </w:rPr>
                <w:fldChar w:fldCharType="separate"/>
              </w:r>
              <w:r>
                <w:rPr>
                  <w:bCs/>
                  <w:sz w:val="16"/>
                  <w:szCs w:val="16"/>
                </w:rPr>
                <w:t>12</w:t>
              </w:r>
              <w:r>
                <w:rPr>
                  <w:bCs/>
                  <w:sz w:val="16"/>
                  <w:szCs w:val="16"/>
                </w:rPr>
                <w:fldChar w:fldCharType="end"/>
              </w:r>
              <w:r w:rsidRPr="000C12E3">
                <w:rPr>
                  <w:sz w:val="16"/>
                  <w:szCs w:val="16"/>
                </w:rPr>
                <w:t xml:space="preserve"> of </w:t>
              </w:r>
              <w:r>
                <w:rPr>
                  <w:bCs/>
                  <w:sz w:val="16"/>
                  <w:szCs w:val="16"/>
                </w:rPr>
                <w:fldChar w:fldCharType="begin"/>
              </w:r>
              <w:r>
                <w:rPr>
                  <w:bCs/>
                  <w:sz w:val="16"/>
                  <w:szCs w:val="16"/>
                </w:rPr>
                <w:instrText xml:space="preserve">= </w:instrText>
              </w:r>
              <w:r>
                <w:rPr>
                  <w:bCs/>
                  <w:sz w:val="16"/>
                  <w:szCs w:val="16"/>
                </w:rPr>
                <w:fldChar w:fldCharType="begin"/>
              </w:r>
              <w:r>
                <w:rPr>
                  <w:bCs/>
                  <w:sz w:val="16"/>
                  <w:szCs w:val="16"/>
                </w:rPr>
                <w:instrText xml:space="preserve"> NUMPAGES  \* Arabic </w:instrText>
              </w:r>
              <w:r>
                <w:rPr>
                  <w:bCs/>
                  <w:sz w:val="16"/>
                  <w:szCs w:val="16"/>
                </w:rPr>
                <w:fldChar w:fldCharType="separate"/>
              </w:r>
              <w:r w:rsidR="0013119C">
                <w:rPr>
                  <w:bCs/>
                  <w:noProof/>
                  <w:sz w:val="16"/>
                  <w:szCs w:val="16"/>
                </w:rPr>
                <w:instrText>121</w:instrText>
              </w:r>
              <w:r>
                <w:rPr>
                  <w:bCs/>
                  <w:sz w:val="16"/>
                  <w:szCs w:val="16"/>
                </w:rPr>
                <w:fldChar w:fldCharType="end"/>
              </w:r>
              <w:r>
                <w:rPr>
                  <w:bCs/>
                  <w:sz w:val="16"/>
                  <w:szCs w:val="16"/>
                </w:rPr>
                <w:instrText xml:space="preserve"> - </w:instrText>
              </w:r>
              <w:r>
                <w:rPr>
                  <w:bCs/>
                  <w:sz w:val="16"/>
                  <w:szCs w:val="16"/>
                </w:rPr>
                <w:fldChar w:fldCharType="begin"/>
              </w:r>
              <w:r>
                <w:rPr>
                  <w:bCs/>
                  <w:sz w:val="16"/>
                  <w:szCs w:val="16"/>
                </w:rPr>
                <w:instrText xml:space="preserve"> PAGEREF  SECTION3 \* Arabic  \* MERGEFORMAT </w:instrText>
              </w:r>
              <w:r>
                <w:rPr>
                  <w:bCs/>
                  <w:sz w:val="16"/>
                  <w:szCs w:val="16"/>
                </w:rPr>
                <w:fldChar w:fldCharType="separate"/>
              </w:r>
              <w:r w:rsidR="0013119C" w:rsidRPr="0013119C">
                <w:rPr>
                  <w:b/>
                  <w:noProof/>
                  <w:sz w:val="16"/>
                  <w:szCs w:val="16"/>
                </w:rPr>
                <w:instrText>4</w:instrText>
              </w:r>
              <w:r>
                <w:rPr>
                  <w:bCs/>
                  <w:sz w:val="16"/>
                  <w:szCs w:val="16"/>
                </w:rPr>
                <w:fldChar w:fldCharType="end"/>
              </w:r>
              <w:r>
                <w:rPr>
                  <w:bCs/>
                  <w:sz w:val="16"/>
                  <w:szCs w:val="16"/>
                </w:rPr>
                <w:fldChar w:fldCharType="separate"/>
              </w:r>
              <w:r w:rsidR="0013119C">
                <w:rPr>
                  <w:bCs/>
                  <w:noProof/>
                  <w:sz w:val="16"/>
                  <w:szCs w:val="16"/>
                </w:rPr>
                <w:t>117</w:t>
              </w:r>
              <w:r>
                <w:rPr>
                  <w:bCs/>
                  <w:sz w:val="16"/>
                  <w:szCs w:val="16"/>
                </w:rPr>
                <w:fldChar w:fldCharType="end"/>
              </w:r>
            </w:p>
          </w:tc>
        </w:tr>
      </w:tbl>
      <w:p w14:paraId="64022950" w14:textId="77777777" w:rsidR="003F1DD8" w:rsidRDefault="00000000" w:rsidP="00D50E74">
        <w:pPr>
          <w:pStyle w:val="Footer"/>
          <w:spacing w:line="160" w:lineRule="exact"/>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BFCD" w14:textId="77777777" w:rsidR="003F1DD8" w:rsidRDefault="00880CEC" w:rsidP="00D50E74">
    <w:pPr>
      <w:pStyle w:val="Footer"/>
      <w:jc w:val="right"/>
    </w:pPr>
    <w:r>
      <w:rPr>
        <w:noProof/>
      </w:rPr>
      <mc:AlternateContent>
        <mc:Choice Requires="wps">
          <w:drawing>
            <wp:anchor distT="0" distB="0" distL="114300" distR="114300" simplePos="0" relativeHeight="251662336" behindDoc="0" locked="0" layoutInCell="1" allowOverlap="1" wp14:anchorId="57FED94C" wp14:editId="66E3307E">
              <wp:simplePos x="0" y="0"/>
              <wp:positionH relativeFrom="margin">
                <wp:posOffset>-687070</wp:posOffset>
              </wp:positionH>
              <wp:positionV relativeFrom="paragraph">
                <wp:posOffset>5029835</wp:posOffset>
              </wp:positionV>
              <wp:extent cx="9144000" cy="0"/>
              <wp:effectExtent l="8255" t="10795" r="10795" b="825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w="9525">
                        <a:solidFill>
                          <a:srgbClr val="4F94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 o:spid="_x0000_s2063" style="mso-height-percent:0;mso-height-relative:page;mso-position-horizontal-relative:margin;mso-width-percent:0;mso-width-relative:page;mso-wrap-distance-bottom:0;mso-wrap-distance-left:9pt;mso-wrap-distance-right:9pt;mso-wrap-distance-top:0;mso-wrap-style:square;position:absolute;visibility:visible;z-index:251689984" from="-54.1pt,396.05pt" to="665.9pt,396.05pt" strokecolor="#4f94d2">
              <w10:wrap anchorx="margin"/>
            </v:line>
          </w:pict>
        </mc:Fallback>
      </mc:AlternateContent>
    </w:r>
  </w:p>
  <w:sdt>
    <w:sdtPr>
      <w:id w:val="486525490"/>
      <w:docPartObj>
        <w:docPartGallery w:val="Page Numbers (Top of Page)"/>
        <w:docPartUnique/>
      </w:docPartObj>
    </w:sdtPr>
    <w:sdtEndPr>
      <w:rPr>
        <w:sz w:val="16"/>
        <w:szCs w:val="16"/>
      </w:rPr>
    </w:sdtEndPr>
    <w:sdtContent>
      <w:tbl>
        <w:tblPr>
          <w:tblStyle w:val="TableGrid"/>
          <w:tblW w:w="10980" w:type="dxa"/>
          <w:jc w:val="center"/>
          <w:tblCellMar>
            <w:left w:w="0" w:type="dxa"/>
            <w:right w:w="0" w:type="dxa"/>
          </w:tblCellMar>
          <w:tblLook w:val="04A0" w:firstRow="1" w:lastRow="0" w:firstColumn="1" w:lastColumn="0" w:noHBand="0" w:noVBand="1"/>
        </w:tblPr>
        <w:tblGrid>
          <w:gridCol w:w="5187"/>
          <w:gridCol w:w="5793"/>
        </w:tblGrid>
        <w:tr w:rsidR="004F0F3F" w14:paraId="7E30A86D" w14:textId="77777777" w:rsidTr="00B66406">
          <w:trPr>
            <w:trHeight w:val="556"/>
            <w:jc w:val="center"/>
          </w:trPr>
          <w:tc>
            <w:tcPr>
              <w:tcW w:w="5187" w:type="dxa"/>
              <w:tcBorders>
                <w:top w:val="nil"/>
                <w:left w:val="nil"/>
                <w:bottom w:val="nil"/>
                <w:right w:val="nil"/>
              </w:tcBorders>
              <w:vAlign w:val="center"/>
            </w:tcPr>
            <w:p w14:paraId="2193EA86" w14:textId="77777777" w:rsidR="003F1DD8" w:rsidRPr="008C3869" w:rsidRDefault="00880CEC" w:rsidP="00D50E74">
              <w:pPr>
                <w:pStyle w:val="Footer"/>
                <w:rPr>
                  <w:color w:val="7F7F7F" w:themeColor="text1" w:themeTint="80"/>
                  <w:sz w:val="16"/>
                  <w:szCs w:val="16"/>
                </w:rPr>
              </w:pPr>
              <w:r>
                <w:rPr>
                  <w:noProof/>
                  <w:sz w:val="16"/>
                  <w:szCs w:val="16"/>
                </w:rPr>
                <mc:AlternateContent>
                  <mc:Choice Requires="wps">
                    <w:drawing>
                      <wp:anchor distT="0" distB="0" distL="114300" distR="114300" simplePos="0" relativeHeight="251663360" behindDoc="0" locked="0" layoutInCell="1" allowOverlap="1" wp14:anchorId="34C84397" wp14:editId="01D5CE54">
                        <wp:simplePos x="0" y="0"/>
                        <wp:positionH relativeFrom="column">
                          <wp:posOffset>-57150</wp:posOffset>
                        </wp:positionH>
                        <wp:positionV relativeFrom="paragraph">
                          <wp:posOffset>-10160</wp:posOffset>
                        </wp:positionV>
                        <wp:extent cx="7067550" cy="0"/>
                        <wp:effectExtent l="0" t="0" r="0" b="0"/>
                        <wp:wrapNone/>
                        <wp:docPr id="48" name="Straight Connector 48"/>
                        <wp:cNvGraphicFramePr/>
                        <a:graphic xmlns:a="http://schemas.openxmlformats.org/drawingml/2006/main">
                          <a:graphicData uri="http://schemas.microsoft.com/office/word/2010/wordprocessingShape">
                            <wps:wsp>
                              <wps:cNvCnPr/>
                              <wps:spPr>
                                <a:xfrm>
                                  <a:off x="0" y="0"/>
                                  <a:ext cx="7067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 o:spid="_x0000_s2064" style="mso-height-percent:0;mso-height-relative:margin;mso-width-percent:0;mso-width-relative:margin;mso-wrap-distance-bottom:0;mso-wrap-distance-left:9pt;mso-wrap-distance-right:9pt;mso-wrap-distance-top:0;mso-wrap-style:square;position:absolute;visibility:visible;z-index:251691008" from="-4.5pt,-0.8pt" to="552pt,-0.8pt" strokecolor="#5b9bd5" strokeweight="0.5pt">
                        <v:stroke joinstyle="miter"/>
                      </v:line>
                    </w:pict>
                  </mc:Fallback>
                </mc:AlternateContent>
              </w:r>
              <w:r>
                <w:rPr>
                  <w:noProof/>
                  <w:sz w:val="16"/>
                  <w:szCs w:val="16"/>
                </w:rPr>
                <mc:AlternateContent>
                  <mc:Choice Requires="wps">
                    <w:drawing>
                      <wp:anchor distT="0" distB="0" distL="114300" distR="114300" simplePos="0" relativeHeight="251661312" behindDoc="0" locked="0" layoutInCell="1" allowOverlap="1" wp14:anchorId="02591129" wp14:editId="2DF3FE8E">
                        <wp:simplePos x="0" y="0"/>
                        <wp:positionH relativeFrom="margin">
                          <wp:posOffset>474980</wp:posOffset>
                        </wp:positionH>
                        <wp:positionV relativeFrom="paragraph">
                          <wp:posOffset>7011035</wp:posOffset>
                        </wp:positionV>
                        <wp:extent cx="9144000" cy="0"/>
                        <wp:effectExtent l="8255" t="10795" r="10795" b="825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w="9525">
                                  <a:solidFill>
                                    <a:srgbClr val="4F94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2065" style="mso-height-percent:0;mso-height-relative:page;mso-position-horizontal-relative:margin;mso-width-percent:0;mso-width-relative:page;mso-wrap-distance-bottom:0;mso-wrap-distance-left:9pt;mso-wrap-distance-right:9pt;mso-wrap-distance-top:0;mso-wrap-style:square;position:absolute;visibility:visible;z-index:251688960" from="37.4pt,552.05pt" to="757.4pt,552.05pt" strokecolor="#4f94d2">
                        <w10:wrap anchorx="margin"/>
                      </v:line>
                    </w:pict>
                  </mc:Fallback>
                </mc:AlternateContent>
              </w:r>
              <w:r>
                <w:rPr>
                  <w:noProof/>
                  <w:sz w:val="16"/>
                  <w:szCs w:val="16"/>
                </w:rPr>
                <w:t>May 19,</w:t>
              </w:r>
              <w:r w:rsidRPr="003E6D25">
                <w:rPr>
                  <w:noProof/>
                  <w:sz w:val="16"/>
                  <w:szCs w:val="16"/>
                </w:rPr>
                <w:t xml:space="preserve"> 2022</w:t>
              </w:r>
            </w:p>
          </w:tc>
          <w:tc>
            <w:tcPr>
              <w:tcW w:w="5793" w:type="dxa"/>
              <w:tcBorders>
                <w:top w:val="nil"/>
                <w:left w:val="nil"/>
                <w:bottom w:val="nil"/>
                <w:right w:val="nil"/>
              </w:tcBorders>
              <w:vAlign w:val="center"/>
            </w:tcPr>
            <w:p w14:paraId="4298E25C" w14:textId="12F5D51D" w:rsidR="003F1DD8" w:rsidRDefault="00880CEC" w:rsidP="00D50E74">
              <w:pPr>
                <w:pStyle w:val="Footer"/>
                <w:ind w:right="89"/>
                <w:jc w:val="right"/>
                <w:rPr>
                  <w:color w:val="7F7F7F" w:themeColor="text1" w:themeTint="80"/>
                  <w:sz w:val="16"/>
                  <w:szCs w:val="16"/>
                </w:rPr>
              </w:pPr>
              <w:r w:rsidRPr="000C12E3">
                <w:rPr>
                  <w:sz w:val="16"/>
                  <w:szCs w:val="16"/>
                </w:rPr>
                <w:t xml:space="preserve">Page </w:t>
              </w:r>
              <w:r>
                <w:rPr>
                  <w:bCs/>
                  <w:sz w:val="16"/>
                  <w:szCs w:val="16"/>
                </w:rPr>
                <w:fldChar w:fldCharType="begin"/>
              </w:r>
              <w:r>
                <w:rPr>
                  <w:bCs/>
                  <w:sz w:val="16"/>
                  <w:szCs w:val="16"/>
                </w:rPr>
                <w:instrText xml:space="preserve"> PAGE  \* Arabic </w:instrText>
              </w:r>
              <w:r>
                <w:rPr>
                  <w:bCs/>
                  <w:sz w:val="16"/>
                  <w:szCs w:val="16"/>
                </w:rPr>
                <w:fldChar w:fldCharType="separate"/>
              </w:r>
              <w:r>
                <w:rPr>
                  <w:bCs/>
                  <w:sz w:val="16"/>
                  <w:szCs w:val="16"/>
                </w:rPr>
                <w:t>100</w:t>
              </w:r>
              <w:r>
                <w:rPr>
                  <w:bCs/>
                  <w:sz w:val="16"/>
                  <w:szCs w:val="16"/>
                </w:rPr>
                <w:fldChar w:fldCharType="end"/>
              </w:r>
              <w:r w:rsidRPr="000C12E3">
                <w:rPr>
                  <w:sz w:val="16"/>
                  <w:szCs w:val="16"/>
                </w:rPr>
                <w:t xml:space="preserve"> of </w:t>
              </w:r>
              <w:r>
                <w:rPr>
                  <w:bCs/>
                  <w:sz w:val="16"/>
                  <w:szCs w:val="16"/>
                </w:rPr>
                <w:fldChar w:fldCharType="begin"/>
              </w:r>
              <w:r>
                <w:rPr>
                  <w:bCs/>
                  <w:sz w:val="16"/>
                  <w:szCs w:val="16"/>
                </w:rPr>
                <w:instrText xml:space="preserve">= </w:instrText>
              </w:r>
              <w:r>
                <w:rPr>
                  <w:bCs/>
                  <w:sz w:val="16"/>
                  <w:szCs w:val="16"/>
                </w:rPr>
                <w:fldChar w:fldCharType="begin"/>
              </w:r>
              <w:r>
                <w:rPr>
                  <w:bCs/>
                  <w:sz w:val="16"/>
                  <w:szCs w:val="16"/>
                </w:rPr>
                <w:instrText xml:space="preserve"> NUMPAGES  \* Arabic </w:instrText>
              </w:r>
              <w:r>
                <w:rPr>
                  <w:bCs/>
                  <w:sz w:val="16"/>
                  <w:szCs w:val="16"/>
                </w:rPr>
                <w:fldChar w:fldCharType="separate"/>
              </w:r>
              <w:r w:rsidR="0013119C">
                <w:rPr>
                  <w:bCs/>
                  <w:noProof/>
                  <w:sz w:val="16"/>
                  <w:szCs w:val="16"/>
                </w:rPr>
                <w:instrText>121</w:instrText>
              </w:r>
              <w:r>
                <w:rPr>
                  <w:bCs/>
                  <w:sz w:val="16"/>
                  <w:szCs w:val="16"/>
                </w:rPr>
                <w:fldChar w:fldCharType="end"/>
              </w:r>
              <w:r>
                <w:rPr>
                  <w:bCs/>
                  <w:sz w:val="16"/>
                  <w:szCs w:val="16"/>
                </w:rPr>
                <w:instrText xml:space="preserve"> - </w:instrText>
              </w:r>
              <w:r>
                <w:rPr>
                  <w:bCs/>
                  <w:sz w:val="16"/>
                  <w:szCs w:val="16"/>
                </w:rPr>
                <w:fldChar w:fldCharType="begin"/>
              </w:r>
              <w:r>
                <w:rPr>
                  <w:bCs/>
                  <w:sz w:val="16"/>
                  <w:szCs w:val="16"/>
                </w:rPr>
                <w:instrText xml:space="preserve"> PAGEREF  SECTION3 \* Arabic  \* MERGEFORMAT </w:instrText>
              </w:r>
              <w:r>
                <w:rPr>
                  <w:bCs/>
                  <w:sz w:val="16"/>
                  <w:szCs w:val="16"/>
                </w:rPr>
                <w:fldChar w:fldCharType="separate"/>
              </w:r>
              <w:r w:rsidR="0013119C" w:rsidRPr="0013119C">
                <w:rPr>
                  <w:b/>
                  <w:noProof/>
                  <w:sz w:val="16"/>
                  <w:szCs w:val="16"/>
                </w:rPr>
                <w:instrText>4</w:instrText>
              </w:r>
              <w:r>
                <w:rPr>
                  <w:bCs/>
                  <w:sz w:val="16"/>
                  <w:szCs w:val="16"/>
                </w:rPr>
                <w:fldChar w:fldCharType="end"/>
              </w:r>
              <w:r>
                <w:rPr>
                  <w:bCs/>
                  <w:sz w:val="16"/>
                  <w:szCs w:val="16"/>
                </w:rPr>
                <w:fldChar w:fldCharType="separate"/>
              </w:r>
              <w:r w:rsidR="0013119C">
                <w:rPr>
                  <w:bCs/>
                  <w:noProof/>
                  <w:sz w:val="16"/>
                  <w:szCs w:val="16"/>
                </w:rPr>
                <w:t>117</w:t>
              </w:r>
              <w:r>
                <w:rPr>
                  <w:bCs/>
                  <w:sz w:val="16"/>
                  <w:szCs w:val="16"/>
                </w:rPr>
                <w:fldChar w:fldCharType="end"/>
              </w:r>
            </w:p>
          </w:tc>
        </w:tr>
      </w:tbl>
      <w:p w14:paraId="2BBA68F7" w14:textId="77777777" w:rsidR="003F1DD8" w:rsidRDefault="00000000" w:rsidP="00D50E74">
        <w:pPr>
          <w:pStyle w:val="Footer"/>
          <w:spacing w:line="160" w:lineRule="exac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80D90" w14:textId="77777777" w:rsidR="00DE1FD5" w:rsidRDefault="00DE1FD5">
      <w:r>
        <w:separator/>
      </w:r>
    </w:p>
  </w:footnote>
  <w:footnote w:type="continuationSeparator" w:id="0">
    <w:p w14:paraId="2E3C93BC" w14:textId="77777777" w:rsidR="00DE1FD5" w:rsidRDefault="00DE1FD5">
      <w:r>
        <w:continuationSeparator/>
      </w:r>
    </w:p>
  </w:footnote>
  <w:footnote w:id="1">
    <w:p w14:paraId="602778E1" w14:textId="77777777" w:rsidR="00992F42" w:rsidRPr="007B23E1" w:rsidRDefault="00992F42" w:rsidP="00992F42">
      <w:pPr>
        <w:pStyle w:val="FootnoteText"/>
        <w:rPr>
          <w:sz w:val="18"/>
          <w:szCs w:val="18"/>
        </w:rPr>
      </w:pPr>
      <w:r w:rsidRPr="007B23E1">
        <w:rPr>
          <w:rStyle w:val="FootnoteReference"/>
          <w:sz w:val="18"/>
          <w:szCs w:val="18"/>
        </w:rPr>
        <w:footnoteRef/>
      </w:r>
      <w:r w:rsidRPr="007B23E1">
        <w:rPr>
          <w:sz w:val="18"/>
          <w:szCs w:val="18"/>
        </w:rPr>
        <w:t xml:space="preserve"> As part of the sector restructuring, all sovereign-guaranteed debts remained on the balance sheet of BT.</w:t>
      </w:r>
    </w:p>
  </w:footnote>
  <w:footnote w:id="2">
    <w:p w14:paraId="72DB8805" w14:textId="77777777" w:rsidR="00E2002A" w:rsidRPr="0002456A" w:rsidRDefault="00E2002A" w:rsidP="00E2002A">
      <w:pPr>
        <w:pStyle w:val="FootnoteText"/>
        <w:spacing w:after="0" w:line="240" w:lineRule="auto"/>
        <w:rPr>
          <w:sz w:val="18"/>
          <w:szCs w:val="18"/>
        </w:rPr>
      </w:pPr>
      <w:r w:rsidRPr="007B23E1">
        <w:rPr>
          <w:rStyle w:val="FootnoteReference"/>
          <w:sz w:val="18"/>
          <w:szCs w:val="18"/>
        </w:rPr>
        <w:footnoteRef/>
      </w:r>
      <w:r w:rsidRPr="007B23E1">
        <w:rPr>
          <w:sz w:val="18"/>
          <w:szCs w:val="18"/>
        </w:rPr>
        <w:t xml:space="preserve"> </w:t>
      </w:r>
      <w:r w:rsidRPr="0002456A">
        <w:rPr>
          <w:sz w:val="18"/>
          <w:szCs w:val="18"/>
        </w:rPr>
        <w:t>At year-end exchange rates for 2019 and 2020</w:t>
      </w:r>
      <w:r>
        <w:rPr>
          <w:sz w:val="18"/>
          <w:szCs w:val="18"/>
        </w:rPr>
        <w:t xml:space="preserve"> of </w:t>
      </w:r>
      <w:r w:rsidRPr="0002456A">
        <w:rPr>
          <w:sz w:val="18"/>
          <w:szCs w:val="18"/>
        </w:rPr>
        <w:t>US$1=TJS</w:t>
      </w:r>
      <w:r>
        <w:rPr>
          <w:sz w:val="18"/>
          <w:szCs w:val="18"/>
        </w:rPr>
        <w:t xml:space="preserve"> </w:t>
      </w:r>
      <w:r w:rsidRPr="0002456A">
        <w:rPr>
          <w:sz w:val="18"/>
          <w:szCs w:val="18"/>
        </w:rPr>
        <w:t>11.3</w:t>
      </w:r>
    </w:p>
  </w:footnote>
  <w:footnote w:id="3">
    <w:p w14:paraId="00900FE8" w14:textId="77777777" w:rsidR="008D14BD" w:rsidRPr="0002456A" w:rsidRDefault="008D14BD" w:rsidP="008D14BD">
      <w:pPr>
        <w:pStyle w:val="FootnoteText"/>
        <w:spacing w:after="0" w:line="240" w:lineRule="auto"/>
        <w:rPr>
          <w:sz w:val="18"/>
          <w:szCs w:val="18"/>
        </w:rPr>
      </w:pPr>
      <w:r w:rsidRPr="007B23E1">
        <w:rPr>
          <w:rStyle w:val="FootnoteReference"/>
          <w:sz w:val="18"/>
          <w:szCs w:val="18"/>
        </w:rPr>
        <w:footnoteRef/>
      </w:r>
      <w:r w:rsidRPr="007B23E1">
        <w:rPr>
          <w:sz w:val="18"/>
          <w:szCs w:val="18"/>
        </w:rPr>
        <w:t xml:space="preserve"> </w:t>
      </w:r>
      <w:r w:rsidRPr="0002456A">
        <w:rPr>
          <w:sz w:val="18"/>
          <w:szCs w:val="18"/>
        </w:rPr>
        <w:t>At the following year-end exchange rates for 2019 and 2020: US$1=TJS11.3</w:t>
      </w:r>
    </w:p>
  </w:footnote>
  <w:footnote w:id="4">
    <w:p w14:paraId="31BEEA3C" w14:textId="77777777" w:rsidR="008D14BD" w:rsidRPr="0002456A" w:rsidRDefault="008D14BD" w:rsidP="008D14BD">
      <w:pPr>
        <w:pStyle w:val="FootnoteText"/>
        <w:spacing w:after="0" w:line="240" w:lineRule="auto"/>
        <w:rPr>
          <w:sz w:val="18"/>
          <w:szCs w:val="18"/>
        </w:rPr>
      </w:pPr>
      <w:r w:rsidRPr="0002456A">
        <w:rPr>
          <w:rStyle w:val="FootnoteReference"/>
          <w:sz w:val="18"/>
          <w:szCs w:val="18"/>
        </w:rPr>
        <w:footnoteRef/>
      </w:r>
      <w:r w:rsidRPr="0002456A">
        <w:rPr>
          <w:sz w:val="18"/>
          <w:szCs w:val="18"/>
        </w:rPr>
        <w:t xml:space="preserve"> Long-term debt, commercial </w:t>
      </w:r>
      <w:proofErr w:type="gramStart"/>
      <w:r w:rsidRPr="0002456A">
        <w:rPr>
          <w:sz w:val="18"/>
          <w:szCs w:val="18"/>
        </w:rPr>
        <w:t>debt</w:t>
      </w:r>
      <w:proofErr w:type="gramEnd"/>
      <w:r w:rsidRPr="0002456A">
        <w:rPr>
          <w:sz w:val="18"/>
          <w:szCs w:val="18"/>
        </w:rPr>
        <w:t xml:space="preserve"> and accumulated payables for electricity.  </w:t>
      </w:r>
    </w:p>
  </w:footnote>
  <w:footnote w:id="5">
    <w:p w14:paraId="042CC70F" w14:textId="77777777" w:rsidR="008D14BD" w:rsidRPr="0002456A" w:rsidRDefault="008D14BD" w:rsidP="008D14BD">
      <w:pPr>
        <w:pStyle w:val="FootnoteText"/>
        <w:spacing w:after="0" w:line="240" w:lineRule="auto"/>
        <w:rPr>
          <w:sz w:val="18"/>
          <w:szCs w:val="18"/>
        </w:rPr>
      </w:pPr>
      <w:r w:rsidRPr="00BD56AE">
        <w:rPr>
          <w:rStyle w:val="FootnoteReference"/>
        </w:rPr>
        <w:footnoteRef/>
      </w:r>
      <w:r w:rsidRPr="00BD56AE">
        <w:t xml:space="preserve"> </w:t>
      </w:r>
      <w:r w:rsidRPr="0002456A">
        <w:rPr>
          <w:sz w:val="18"/>
          <w:szCs w:val="18"/>
        </w:rPr>
        <w:t>Cash deficit is calculated as the difference between cash sales and accrual-based costs related to core business activities: cost of electricity from IPPs; O&amp;M; liabilities related to repayment of outstanding principal amounts of debt; interest costs; overdue payables to IPPs, and taxes.</w:t>
      </w:r>
    </w:p>
  </w:footnote>
  <w:footnote w:id="6">
    <w:p w14:paraId="018F5D03" w14:textId="77777777" w:rsidR="00883931" w:rsidRPr="00883931" w:rsidRDefault="00883931" w:rsidP="00883931">
      <w:pPr>
        <w:pStyle w:val="FootnoteText"/>
        <w:spacing w:after="0" w:line="240" w:lineRule="auto"/>
        <w:rPr>
          <w:sz w:val="18"/>
          <w:szCs w:val="18"/>
        </w:rPr>
      </w:pPr>
      <w:r>
        <w:rPr>
          <w:rStyle w:val="FootnoteReference"/>
        </w:rPr>
        <w:footnoteRef/>
      </w:r>
      <w:r>
        <w:t xml:space="preserve"> </w:t>
      </w:r>
      <w:r w:rsidRPr="00883931">
        <w:rPr>
          <w:sz w:val="18"/>
          <w:szCs w:val="18"/>
        </w:rPr>
        <w:t>T</w:t>
      </w:r>
      <w:r w:rsidRPr="00883931">
        <w:rPr>
          <w:rFonts w:asciiTheme="minorHAnsi" w:hAnsiTheme="minorHAnsi" w:cstheme="minorHAnsi"/>
          <w:bCs/>
          <w:sz w:val="18"/>
          <w:szCs w:val="18"/>
        </w:rPr>
        <w:t>he revised dates have been set later than those requested in the official request from the Ministry of Finance based on further discussions with the Government and BT.</w:t>
      </w:r>
    </w:p>
  </w:footnote>
  <w:footnote w:id="7">
    <w:p w14:paraId="59BCF06A" w14:textId="77777777" w:rsidR="00106A51" w:rsidRPr="006C2290" w:rsidRDefault="00106A51" w:rsidP="00106A51">
      <w:pPr>
        <w:pStyle w:val="FootnoteText"/>
        <w:spacing w:after="0" w:line="240" w:lineRule="auto"/>
        <w:rPr>
          <w:sz w:val="18"/>
          <w:szCs w:val="18"/>
        </w:rPr>
      </w:pPr>
      <w:r w:rsidRPr="006C2290">
        <w:rPr>
          <w:rStyle w:val="FootnoteReference"/>
          <w:sz w:val="18"/>
          <w:szCs w:val="18"/>
        </w:rPr>
        <w:footnoteRef/>
      </w:r>
      <w:r w:rsidRPr="006C2290">
        <w:rPr>
          <w:sz w:val="18"/>
          <w:szCs w:val="18"/>
        </w:rPr>
        <w:t xml:space="preserve"> In accordance with applicable internal procedures.</w:t>
      </w:r>
    </w:p>
  </w:footnote>
  <w:footnote w:id="8">
    <w:p w14:paraId="405FF0C5" w14:textId="2ECEF02F" w:rsidR="00106A51" w:rsidRPr="006C2290" w:rsidRDefault="00106A51" w:rsidP="00106A51">
      <w:pPr>
        <w:pStyle w:val="FootnoteText"/>
        <w:spacing w:after="0" w:line="240" w:lineRule="auto"/>
        <w:rPr>
          <w:sz w:val="18"/>
          <w:szCs w:val="18"/>
        </w:rPr>
      </w:pPr>
      <w:r w:rsidRPr="006C2290">
        <w:rPr>
          <w:rStyle w:val="FootnoteReference"/>
          <w:sz w:val="18"/>
          <w:szCs w:val="18"/>
        </w:rPr>
        <w:footnoteRef/>
      </w:r>
      <w:r w:rsidRPr="006C2290">
        <w:rPr>
          <w:sz w:val="18"/>
          <w:szCs w:val="18"/>
        </w:rPr>
        <w:t xml:space="preserve"> </w:t>
      </w:r>
      <w:r>
        <w:rPr>
          <w:sz w:val="18"/>
          <w:szCs w:val="18"/>
        </w:rPr>
        <w:t>DLIs 4 and 6</w:t>
      </w:r>
      <w:r w:rsidRPr="006C2290">
        <w:rPr>
          <w:sz w:val="18"/>
          <w:szCs w:val="18"/>
        </w:rPr>
        <w:t xml:space="preserve"> </w:t>
      </w:r>
      <w:r>
        <w:rPr>
          <w:sz w:val="18"/>
          <w:szCs w:val="18"/>
        </w:rPr>
        <w:t xml:space="preserve">were </w:t>
      </w:r>
      <w:r w:rsidRPr="006C2290">
        <w:rPr>
          <w:sz w:val="18"/>
          <w:szCs w:val="18"/>
        </w:rPr>
        <w:t xml:space="preserve">to be </w:t>
      </w:r>
      <w:proofErr w:type="gramStart"/>
      <w:r w:rsidRPr="006C2290">
        <w:rPr>
          <w:sz w:val="18"/>
          <w:szCs w:val="18"/>
        </w:rPr>
        <w:t>parallel-financed</w:t>
      </w:r>
      <w:proofErr w:type="gramEnd"/>
      <w:r w:rsidRPr="006C2290">
        <w:rPr>
          <w:sz w:val="18"/>
          <w:szCs w:val="18"/>
        </w:rPr>
        <w:t xml:space="preserve"> by AIIB. The </w:t>
      </w:r>
      <w:r>
        <w:rPr>
          <w:sz w:val="18"/>
          <w:szCs w:val="18"/>
        </w:rPr>
        <w:t>Government did not take a loan from AIIB, but instead financed those investments under different IFI-financed pro</w:t>
      </w:r>
      <w:r w:rsidR="008F446A">
        <w:rPr>
          <w:sz w:val="18"/>
          <w:szCs w:val="18"/>
        </w:rPr>
        <w:t>gram</w:t>
      </w:r>
      <w:r>
        <w:rPr>
          <w:sz w:val="18"/>
          <w:szCs w:val="18"/>
        </w:rPr>
        <w:t>. Thus, those are removed from the Program</w:t>
      </w:r>
      <w:r w:rsidRPr="006C2290">
        <w:rPr>
          <w:sz w:val="18"/>
          <w:szCs w:val="18"/>
        </w:rPr>
        <w:t>.</w:t>
      </w:r>
    </w:p>
  </w:footnote>
  <w:footnote w:id="9">
    <w:p w14:paraId="68C7E05A" w14:textId="77777777" w:rsidR="002A6C3F" w:rsidRPr="001F48BE" w:rsidRDefault="002A6C3F" w:rsidP="002A6C3F">
      <w:pPr>
        <w:pStyle w:val="FootnoteText"/>
        <w:rPr>
          <w:sz w:val="18"/>
          <w:szCs w:val="18"/>
        </w:rPr>
      </w:pPr>
      <w:r w:rsidRPr="001F48BE">
        <w:rPr>
          <w:rStyle w:val="FootnoteReference"/>
          <w:sz w:val="18"/>
          <w:szCs w:val="18"/>
        </w:rPr>
        <w:footnoteRef/>
      </w:r>
      <w:r w:rsidRPr="001F48BE">
        <w:rPr>
          <w:sz w:val="18"/>
          <w:szCs w:val="18"/>
        </w:rPr>
        <w:t xml:space="preserve"> Effectiveness date of the parent project.</w:t>
      </w:r>
    </w:p>
  </w:footnote>
  <w:footnote w:id="10">
    <w:p w14:paraId="041CD5DD" w14:textId="42AA95F2" w:rsidR="00D871E4" w:rsidRPr="00D871E4" w:rsidRDefault="00D871E4">
      <w:pPr>
        <w:pStyle w:val="FootnoteText"/>
        <w:rPr>
          <w:sz w:val="18"/>
          <w:szCs w:val="18"/>
        </w:rPr>
      </w:pPr>
      <w:r>
        <w:rPr>
          <w:rStyle w:val="FootnoteReference"/>
        </w:rPr>
        <w:footnoteRef/>
      </w:r>
      <w:r>
        <w:t xml:space="preserve"> </w:t>
      </w:r>
      <w:r w:rsidRPr="00D871E4">
        <w:rPr>
          <w:sz w:val="18"/>
          <w:szCs w:val="18"/>
        </w:rPr>
        <w:t>The fuel costs will need to be separated and verified as part of the annual audit of BT’s financial statements to establish a reliable baseline.</w:t>
      </w:r>
    </w:p>
  </w:footnote>
  <w:footnote w:id="11">
    <w:p w14:paraId="3C5CE0E7" w14:textId="77777777" w:rsidR="0096250A" w:rsidRPr="002A53D0" w:rsidRDefault="0096250A" w:rsidP="00850AB2">
      <w:pPr>
        <w:pStyle w:val="FootnoteText"/>
        <w:spacing w:after="0" w:line="240" w:lineRule="auto"/>
        <w:jc w:val="both"/>
        <w:rPr>
          <w:sz w:val="18"/>
          <w:szCs w:val="18"/>
        </w:rPr>
      </w:pPr>
      <w:r w:rsidRPr="00EC2B9B">
        <w:rPr>
          <w:rStyle w:val="FootnoteReference"/>
        </w:rPr>
        <w:footnoteRef/>
      </w:r>
      <w:r w:rsidRPr="00EC2B9B">
        <w:t xml:space="preserve"> </w:t>
      </w:r>
      <w:r w:rsidRPr="002A53D0">
        <w:rPr>
          <w:sz w:val="18"/>
          <w:szCs w:val="18"/>
        </w:rPr>
        <w:t>Consolidated (until FY2021) or separate annual financial statements (from FY2022) of generation (BT), transmission (SIB) and distribution successor companies (STD).</w:t>
      </w:r>
    </w:p>
  </w:footnote>
  <w:footnote w:id="12">
    <w:p w14:paraId="5CBC179D" w14:textId="77777777" w:rsidR="006E5326" w:rsidRPr="006E5326" w:rsidRDefault="006E5326" w:rsidP="00AC7A4C">
      <w:pPr>
        <w:pStyle w:val="FootnoteText"/>
        <w:spacing w:after="0" w:line="240" w:lineRule="auto"/>
        <w:rPr>
          <w:sz w:val="18"/>
          <w:szCs w:val="18"/>
        </w:rPr>
      </w:pPr>
      <w:r>
        <w:rPr>
          <w:rStyle w:val="FootnoteReference"/>
        </w:rPr>
        <w:footnoteRef/>
      </w:r>
      <w:r>
        <w:t xml:space="preserve"> </w:t>
      </w:r>
      <w:r w:rsidRPr="006E5326">
        <w:rPr>
          <w:sz w:val="18"/>
          <w:szCs w:val="18"/>
        </w:rPr>
        <w:t>It is expected that tariff increase in 2023-2026 will not exceed 6 percent per year compared to 8 percent under the 2019 Program. The tariff increase is expected to be lower until the macroeconomic situation improves.</w:t>
      </w:r>
    </w:p>
  </w:footnote>
  <w:footnote w:id="13">
    <w:p w14:paraId="3D201AB0" w14:textId="77777777" w:rsidR="00453F54" w:rsidRDefault="00453F54" w:rsidP="00453F54">
      <w:pPr>
        <w:pStyle w:val="FootnoteText"/>
      </w:pPr>
      <w:r>
        <w:rPr>
          <w:rStyle w:val="FootnoteReference"/>
        </w:rPr>
        <w:footnoteRef/>
      </w:r>
      <w:r>
        <w:t xml:space="preserve"> As of end-2017.</w:t>
      </w:r>
    </w:p>
  </w:footnote>
  <w:footnote w:id="14">
    <w:p w14:paraId="13ACA70F" w14:textId="77777777" w:rsidR="00453F54" w:rsidRPr="00453F54" w:rsidRDefault="00453F54" w:rsidP="00453F54">
      <w:pPr>
        <w:pStyle w:val="FootnoteText"/>
        <w:spacing w:after="0" w:line="240" w:lineRule="auto"/>
        <w:rPr>
          <w:sz w:val="18"/>
          <w:szCs w:val="18"/>
        </w:rPr>
      </w:pPr>
      <w:r>
        <w:rPr>
          <w:rStyle w:val="FootnoteReference"/>
        </w:rPr>
        <w:footnoteRef/>
      </w:r>
      <w:r>
        <w:t xml:space="preserve"> </w:t>
      </w:r>
      <w:r w:rsidRPr="00453F54">
        <w:rPr>
          <w:sz w:val="18"/>
          <w:szCs w:val="18"/>
        </w:rPr>
        <w:t>Exclusive of Rogun HPP.</w:t>
      </w:r>
    </w:p>
  </w:footnote>
  <w:footnote w:id="15">
    <w:p w14:paraId="6191AB1C" w14:textId="77777777" w:rsidR="00453F54" w:rsidRPr="00453F54" w:rsidRDefault="00453F54" w:rsidP="00453F54">
      <w:pPr>
        <w:pStyle w:val="FootnoteText"/>
        <w:spacing w:after="0" w:line="240" w:lineRule="auto"/>
        <w:rPr>
          <w:sz w:val="18"/>
          <w:szCs w:val="18"/>
        </w:rPr>
      </w:pPr>
      <w:r w:rsidRPr="00453F54">
        <w:rPr>
          <w:rStyle w:val="FootnoteReference"/>
          <w:sz w:val="18"/>
          <w:szCs w:val="18"/>
        </w:rPr>
        <w:footnoteRef/>
      </w:r>
      <w:r w:rsidRPr="00453F54">
        <w:rPr>
          <w:sz w:val="18"/>
          <w:szCs w:val="18"/>
        </w:rPr>
        <w:t xml:space="preserve"> As of Dec. 31, 2018. Estimated based on audited financial statements of BT for 2017.</w:t>
      </w:r>
    </w:p>
  </w:footnote>
  <w:footnote w:id="16">
    <w:p w14:paraId="2C5E4802" w14:textId="77777777" w:rsidR="00453F54" w:rsidRPr="00453F54" w:rsidRDefault="00453F54" w:rsidP="00453F54">
      <w:pPr>
        <w:pStyle w:val="FootnoteText"/>
        <w:spacing w:after="0" w:line="240" w:lineRule="auto"/>
        <w:rPr>
          <w:sz w:val="18"/>
          <w:szCs w:val="18"/>
        </w:rPr>
      </w:pPr>
      <w:r w:rsidRPr="00453F54">
        <w:rPr>
          <w:rStyle w:val="FootnoteReference"/>
          <w:sz w:val="18"/>
          <w:szCs w:val="18"/>
        </w:rPr>
        <w:footnoteRef/>
      </w:r>
      <w:r w:rsidRPr="00453F54">
        <w:rPr>
          <w:sz w:val="18"/>
          <w:szCs w:val="18"/>
        </w:rPr>
        <w:t xml:space="preserve"> As of Dec. 31, 2017. Estimated based on audited financial statements of BT for 2017.</w:t>
      </w:r>
    </w:p>
  </w:footnote>
  <w:footnote w:id="17">
    <w:p w14:paraId="37FD51B7" w14:textId="77777777" w:rsidR="00453F54" w:rsidRPr="00453F54" w:rsidRDefault="00453F54" w:rsidP="00453F54">
      <w:pPr>
        <w:pStyle w:val="FootnoteText"/>
        <w:spacing w:after="0" w:line="240" w:lineRule="auto"/>
        <w:rPr>
          <w:sz w:val="18"/>
          <w:szCs w:val="18"/>
        </w:rPr>
      </w:pPr>
      <w:r w:rsidRPr="00453F54">
        <w:rPr>
          <w:rStyle w:val="FootnoteReference"/>
          <w:sz w:val="18"/>
          <w:szCs w:val="18"/>
        </w:rPr>
        <w:footnoteRef/>
      </w:r>
      <w:r w:rsidRPr="00453F54">
        <w:rPr>
          <w:sz w:val="18"/>
          <w:szCs w:val="18"/>
        </w:rPr>
        <w:t xml:space="preserve"> As of Dec. 31, 2017. Estimated based on audited financial statements of BT for 2017.</w:t>
      </w:r>
    </w:p>
  </w:footnote>
  <w:footnote w:id="18">
    <w:p w14:paraId="5974A921" w14:textId="77777777" w:rsidR="00453F54" w:rsidRPr="005A2521" w:rsidRDefault="00453F54" w:rsidP="00453F54">
      <w:pPr>
        <w:pStyle w:val="FootnoteText"/>
        <w:rPr>
          <w:sz w:val="16"/>
          <w:szCs w:val="22"/>
        </w:rPr>
      </w:pPr>
      <w:r w:rsidRPr="005519FE">
        <w:rPr>
          <w:rStyle w:val="FootnoteReference"/>
          <w:sz w:val="16"/>
        </w:rPr>
        <w:footnoteRef/>
      </w:r>
      <w:r w:rsidRPr="005519FE">
        <w:rPr>
          <w:sz w:val="16"/>
        </w:rPr>
        <w:t xml:space="preserve"> </w:t>
      </w:r>
      <w:r w:rsidRPr="005A2521">
        <w:rPr>
          <w:sz w:val="16"/>
          <w:szCs w:val="18"/>
        </w:rPr>
        <w:t>Emergencies = outages for equipment at 220 kV and above for duration of 25 days and more; equipment failures of first type = failures of equipment at 220 kV and above for duration of 3 days and more as well as outages on lines of 6 kV and above caused by natural disasters and weather conditions (those were excluded from the indicator); equipment failures of second type = failures at</w:t>
      </w:r>
      <w:r w:rsidRPr="005A2521">
        <w:rPr>
          <w:sz w:val="18"/>
          <w:szCs w:val="22"/>
        </w:rPr>
        <w:t xml:space="preserve"> </w:t>
      </w:r>
      <w:r w:rsidRPr="005A2521">
        <w:rPr>
          <w:sz w:val="16"/>
          <w:szCs w:val="22"/>
        </w:rPr>
        <w:t>facilities of  6 kV to 220 kV for duration of up to eight hours.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B1FB" w14:textId="77777777" w:rsidR="00943242" w:rsidRDefault="009432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216" w:type="dxa"/>
      <w:jc w:val="center"/>
      <w:tblBorders>
        <w:top w:val="nil"/>
        <w:left w:val="nil"/>
        <w:bottom w:val="nil"/>
        <w:right w:val="nil"/>
        <w:insideH w:val="nil"/>
        <w:insideV w:val="nil"/>
      </w:tblBorders>
      <w:tblLayout w:type="fixed"/>
      <w:tblLook w:val="04A0" w:firstRow="1" w:lastRow="0" w:firstColumn="1" w:lastColumn="0" w:noHBand="0" w:noVBand="1"/>
    </w:tblPr>
    <w:tblGrid>
      <w:gridCol w:w="777"/>
      <w:gridCol w:w="5218"/>
      <w:gridCol w:w="5221"/>
    </w:tblGrid>
    <w:tr w:rsidR="004F0F3F" w14:paraId="014D7B95" w14:textId="77777777" w:rsidTr="003615CB">
      <w:trPr>
        <w:trHeight w:val="162"/>
        <w:jc w:val="center"/>
      </w:trPr>
      <w:tc>
        <w:tcPr>
          <w:tcW w:w="777" w:type="dxa"/>
          <w:vMerge w:val="restart"/>
        </w:tcPr>
        <w:p w14:paraId="664EDB79" w14:textId="77777777" w:rsidR="003F1DD8" w:rsidRPr="00BF642B" w:rsidRDefault="00880CEC" w:rsidP="003615CB">
          <w:pPr>
            <w:pStyle w:val="Header"/>
            <w:rPr>
              <w:b/>
            </w:rPr>
          </w:pPr>
          <w:r w:rsidRPr="00BF642B">
            <w:rPr>
              <w:b/>
              <w:noProof/>
            </w:rPr>
            <w:drawing>
              <wp:inline distT="0" distB="0" distL="0" distR="0" wp14:anchorId="217AE6D2" wp14:editId="02F5B81F">
                <wp:extent cx="295275" cy="289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110277" name="WB_logo.png"/>
                        <pic:cNvPicPr/>
                      </pic:nvPicPr>
                      <pic:blipFill>
                        <a:blip r:embed="rId1">
                          <a:extLst>
                            <a:ext uri="{28A0092B-C50C-407E-A947-70E740481C1C}">
                              <a14:useLocalDpi xmlns:a14="http://schemas.microsoft.com/office/drawing/2010/main" val="0"/>
                            </a:ext>
                          </a:extLst>
                        </a:blip>
                        <a:stretch>
                          <a:fillRect/>
                        </a:stretch>
                      </pic:blipFill>
                      <pic:spPr>
                        <a:xfrm>
                          <a:off x="0" y="0"/>
                          <a:ext cx="293682" cy="287838"/>
                        </a:xfrm>
                        <a:prstGeom prst="rect">
                          <a:avLst/>
                        </a:prstGeom>
                      </pic:spPr>
                    </pic:pic>
                  </a:graphicData>
                </a:graphic>
              </wp:inline>
            </w:drawing>
          </w:r>
        </w:p>
      </w:tc>
      <w:tc>
        <w:tcPr>
          <w:tcW w:w="5218" w:type="dxa"/>
          <w:vAlign w:val="center"/>
        </w:tcPr>
        <w:p w14:paraId="7A469AFA" w14:textId="77777777" w:rsidR="003F1DD8" w:rsidRDefault="00880CEC" w:rsidP="003615CB">
          <w:pPr>
            <w:pStyle w:val="Header"/>
            <w:ind w:left="-108"/>
          </w:pPr>
          <w:r w:rsidRPr="005F6C54">
            <w:rPr>
              <w:b/>
            </w:rPr>
            <w:t>The World Bank</w:t>
          </w:r>
        </w:p>
      </w:tc>
      <w:tc>
        <w:tcPr>
          <w:tcW w:w="5221" w:type="dxa"/>
          <w:vAlign w:val="center"/>
        </w:tcPr>
        <w:p w14:paraId="01B469DA" w14:textId="77777777" w:rsidR="003F1DD8" w:rsidRDefault="003F1DD8" w:rsidP="003615CB">
          <w:pPr>
            <w:pStyle w:val="Header"/>
            <w:jc w:val="right"/>
          </w:pPr>
        </w:p>
      </w:tc>
    </w:tr>
    <w:tr w:rsidR="004F0F3F" w14:paraId="219396DF" w14:textId="77777777" w:rsidTr="003615CB">
      <w:trPr>
        <w:trHeight w:val="231"/>
        <w:jc w:val="center"/>
      </w:trPr>
      <w:tc>
        <w:tcPr>
          <w:tcW w:w="777" w:type="dxa"/>
          <w:vMerge/>
        </w:tcPr>
        <w:p w14:paraId="148ABD21" w14:textId="77777777" w:rsidR="003F1DD8" w:rsidRPr="00BF642B" w:rsidRDefault="003F1DD8" w:rsidP="003615CB">
          <w:pPr>
            <w:pStyle w:val="Header"/>
            <w:rPr>
              <w:b/>
              <w:noProof/>
            </w:rPr>
          </w:pPr>
        </w:p>
      </w:tc>
      <w:tc>
        <w:tcPr>
          <w:tcW w:w="10439" w:type="dxa"/>
          <w:gridSpan w:val="2"/>
        </w:tcPr>
        <w:p w14:paraId="298655BA" w14:textId="77777777" w:rsidR="003F1DD8" w:rsidRPr="006E6C00" w:rsidRDefault="00880CEC" w:rsidP="000B428F">
          <w:pPr>
            <w:pStyle w:val="Header"/>
            <w:ind w:left="-108"/>
            <w:rPr>
              <w:bCs/>
              <w:noProof/>
              <w:sz w:val="20"/>
              <w:szCs w:val="20"/>
            </w:rPr>
          </w:pPr>
          <w:r>
            <w:rPr>
              <w:bCs/>
              <w:noProof/>
              <w:sz w:val="20"/>
              <w:szCs w:val="20"/>
            </w:rPr>
            <w:t>Additional Financing to Power Utility Financial Recovery Project</w:t>
          </w:r>
          <w:r>
            <w:rPr>
              <w:bCs/>
              <w:sz w:val="20"/>
              <w:szCs w:val="20"/>
            </w:rPr>
            <w:t xml:space="preserve"> (</w:t>
          </w:r>
          <w:r>
            <w:rPr>
              <w:bCs/>
              <w:noProof/>
              <w:sz w:val="20"/>
              <w:szCs w:val="20"/>
            </w:rPr>
            <w:t>P177563</w:t>
          </w:r>
          <w:r w:rsidRPr="006435B1">
            <w:rPr>
              <w:bCs/>
              <w:sz w:val="20"/>
              <w:szCs w:val="20"/>
            </w:rPr>
            <w:t>)</w:t>
          </w:r>
        </w:p>
      </w:tc>
    </w:tr>
    <w:tr w:rsidR="004F0F3F" w14:paraId="1290FAF4" w14:textId="77777777" w:rsidTr="003615CB">
      <w:trPr>
        <w:trHeight w:val="313"/>
        <w:jc w:val="center"/>
      </w:trPr>
      <w:tc>
        <w:tcPr>
          <w:tcW w:w="11216" w:type="dxa"/>
          <w:gridSpan w:val="3"/>
        </w:tcPr>
        <w:p w14:paraId="360FADF2" w14:textId="77777777" w:rsidR="003F1DD8" w:rsidRDefault="00880CEC" w:rsidP="003615CB">
          <w:pPr>
            <w:pStyle w:val="Header"/>
          </w:pPr>
          <w:r>
            <w:rPr>
              <w:i/>
              <w:noProof/>
              <w:color w:val="44546A" w:themeColor="text2"/>
            </w:rPr>
            <mc:AlternateContent>
              <mc:Choice Requires="wps">
                <w:drawing>
                  <wp:anchor distT="0" distB="0" distL="114300" distR="114300" simplePos="0" relativeHeight="251653120" behindDoc="0" locked="0" layoutInCell="1" allowOverlap="1" wp14:anchorId="27A528B9" wp14:editId="0618022D">
                    <wp:simplePos x="0" y="0"/>
                    <wp:positionH relativeFrom="column">
                      <wp:posOffset>-174625</wp:posOffset>
                    </wp:positionH>
                    <wp:positionV relativeFrom="paragraph">
                      <wp:posOffset>87630</wp:posOffset>
                    </wp:positionV>
                    <wp:extent cx="7168896" cy="0"/>
                    <wp:effectExtent l="0" t="19050" r="51435" b="3810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8896" cy="0"/>
                            </a:xfrm>
                            <a:prstGeom prst="line">
                              <a:avLst/>
                            </a:prstGeom>
                            <a:noFill/>
                            <a:ln w="57150">
                              <a:solidFill>
                                <a:srgbClr val="4E92D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2049" style="mso-height-percent:0;mso-height-relative:margin;mso-width-percent:0;mso-width-relative:margin;mso-wrap-distance-bottom:0;mso-wrap-distance-left:9pt;mso-wrap-distance-right:9pt;mso-wrap-distance-top:0;mso-wrap-style:square;position:absolute;visibility:visible;z-index:251677696" from="-13.75pt,6.9pt" to="550.75pt,6.9pt" strokecolor="#4e92d1" strokeweight="4.5pt"/>
                </w:pict>
              </mc:Fallback>
            </mc:AlternateContent>
          </w:r>
        </w:p>
      </w:tc>
    </w:tr>
  </w:tbl>
  <w:p w14:paraId="5EF8148B" w14:textId="77777777" w:rsidR="003F1DD8" w:rsidRDefault="003F1D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2389" w14:textId="77777777" w:rsidR="003F1DD8" w:rsidRDefault="00000000" w:rsidP="00AB7767">
    <w:pPr>
      <w:pStyle w:val="Header"/>
      <w:jc w:val="center"/>
    </w:pPr>
    <w:r>
      <w:rPr>
        <w:noProof/>
      </w:rPr>
      <w:pict w14:anchorId="62182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3850765" o:spid="_x0000_s3074" type="#_x0000_t75" style="position:absolute;left:0;text-align:left;margin-left:-45.75pt;margin-top:147pt;width:375.45pt;height:501.6pt;z-index:-251652096;mso-position-horizontal-relative:margin;mso-position-vertical-relative:margin" o:allowincell="f">
          <v:imagedata r:id="rId1" o:title="Test Watermark-new" gain="19661f" blacklevel="22938f"/>
          <w10:wrap anchorx="margin" anchory="margin"/>
        </v:shape>
      </w:pict>
    </w:r>
    <w:r w:rsidR="00880CEC">
      <w:rPr>
        <w:noProof/>
      </w:rPr>
      <w:drawing>
        <wp:inline distT="0" distB="0" distL="0" distR="0" wp14:anchorId="54CEC9E4" wp14:editId="1C241BF4">
          <wp:extent cx="1400175" cy="800100"/>
          <wp:effectExtent l="0" t="0" r="9525" b="0"/>
          <wp:docPr id="49" name="Picture 49" descr="WB-WBG-vertical-RGB-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716159" name="Picture 1" descr="WB-WBG-vertical-RGB-we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00175" cy="8001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216" w:type="dxa"/>
      <w:jc w:val="center"/>
      <w:tblBorders>
        <w:top w:val="nil"/>
        <w:left w:val="nil"/>
        <w:bottom w:val="nil"/>
        <w:right w:val="nil"/>
        <w:insideH w:val="nil"/>
        <w:insideV w:val="nil"/>
      </w:tblBorders>
      <w:tblLayout w:type="fixed"/>
      <w:tblLook w:val="04A0" w:firstRow="1" w:lastRow="0" w:firstColumn="1" w:lastColumn="0" w:noHBand="0" w:noVBand="1"/>
    </w:tblPr>
    <w:tblGrid>
      <w:gridCol w:w="777"/>
      <w:gridCol w:w="5218"/>
      <w:gridCol w:w="5221"/>
    </w:tblGrid>
    <w:tr w:rsidR="004F0F3F" w14:paraId="57C0D618" w14:textId="77777777" w:rsidTr="003615CB">
      <w:trPr>
        <w:trHeight w:val="162"/>
        <w:jc w:val="center"/>
      </w:trPr>
      <w:tc>
        <w:tcPr>
          <w:tcW w:w="777" w:type="dxa"/>
          <w:vMerge w:val="restart"/>
        </w:tcPr>
        <w:p w14:paraId="483AE957" w14:textId="77777777" w:rsidR="003F1DD8" w:rsidRPr="00BF642B" w:rsidRDefault="00880CEC" w:rsidP="003615CB">
          <w:pPr>
            <w:pStyle w:val="Header"/>
            <w:rPr>
              <w:b/>
            </w:rPr>
          </w:pPr>
          <w:r w:rsidRPr="00BF642B">
            <w:rPr>
              <w:b/>
              <w:noProof/>
            </w:rPr>
            <w:drawing>
              <wp:inline distT="0" distB="0" distL="0" distR="0" wp14:anchorId="3051173D" wp14:editId="31F55075">
                <wp:extent cx="295275" cy="2894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686021" name="WB_logo.png"/>
                        <pic:cNvPicPr/>
                      </pic:nvPicPr>
                      <pic:blipFill>
                        <a:blip r:embed="rId1">
                          <a:extLst>
                            <a:ext uri="{28A0092B-C50C-407E-A947-70E740481C1C}">
                              <a14:useLocalDpi xmlns:a14="http://schemas.microsoft.com/office/drawing/2010/main" val="0"/>
                            </a:ext>
                          </a:extLst>
                        </a:blip>
                        <a:stretch>
                          <a:fillRect/>
                        </a:stretch>
                      </pic:blipFill>
                      <pic:spPr>
                        <a:xfrm>
                          <a:off x="0" y="0"/>
                          <a:ext cx="293682" cy="287838"/>
                        </a:xfrm>
                        <a:prstGeom prst="rect">
                          <a:avLst/>
                        </a:prstGeom>
                      </pic:spPr>
                    </pic:pic>
                  </a:graphicData>
                </a:graphic>
              </wp:inline>
            </w:drawing>
          </w:r>
        </w:p>
      </w:tc>
      <w:tc>
        <w:tcPr>
          <w:tcW w:w="5218" w:type="dxa"/>
          <w:vAlign w:val="center"/>
        </w:tcPr>
        <w:p w14:paraId="17167C4F" w14:textId="77777777" w:rsidR="003F1DD8" w:rsidRDefault="00880CEC" w:rsidP="003615CB">
          <w:pPr>
            <w:pStyle w:val="Header"/>
            <w:ind w:left="-108"/>
          </w:pPr>
          <w:r w:rsidRPr="005F6C54">
            <w:rPr>
              <w:b/>
            </w:rPr>
            <w:t>The World Bank</w:t>
          </w:r>
        </w:p>
      </w:tc>
      <w:tc>
        <w:tcPr>
          <w:tcW w:w="5221" w:type="dxa"/>
          <w:vAlign w:val="center"/>
        </w:tcPr>
        <w:p w14:paraId="54ABA409" w14:textId="77777777" w:rsidR="003F1DD8" w:rsidRDefault="003F1DD8" w:rsidP="003615CB">
          <w:pPr>
            <w:pStyle w:val="Header"/>
            <w:jc w:val="right"/>
          </w:pPr>
        </w:p>
      </w:tc>
    </w:tr>
    <w:tr w:rsidR="004F0F3F" w14:paraId="2831A7B4" w14:textId="77777777" w:rsidTr="003615CB">
      <w:trPr>
        <w:trHeight w:val="231"/>
        <w:jc w:val="center"/>
      </w:trPr>
      <w:tc>
        <w:tcPr>
          <w:tcW w:w="777" w:type="dxa"/>
          <w:vMerge/>
        </w:tcPr>
        <w:p w14:paraId="1BE234FB" w14:textId="77777777" w:rsidR="003F1DD8" w:rsidRPr="00BF642B" w:rsidRDefault="003F1DD8" w:rsidP="003615CB">
          <w:pPr>
            <w:pStyle w:val="Header"/>
            <w:rPr>
              <w:b/>
              <w:noProof/>
            </w:rPr>
          </w:pPr>
        </w:p>
      </w:tc>
      <w:tc>
        <w:tcPr>
          <w:tcW w:w="10439" w:type="dxa"/>
          <w:gridSpan w:val="2"/>
        </w:tcPr>
        <w:p w14:paraId="501747FD" w14:textId="77777777" w:rsidR="003F1DD8" w:rsidRPr="006E6C00" w:rsidRDefault="00880CEC" w:rsidP="000B428F">
          <w:pPr>
            <w:pStyle w:val="Header"/>
            <w:ind w:left="-108"/>
            <w:rPr>
              <w:bCs/>
              <w:noProof/>
              <w:sz w:val="20"/>
              <w:szCs w:val="20"/>
            </w:rPr>
          </w:pPr>
          <w:r>
            <w:rPr>
              <w:bCs/>
              <w:noProof/>
              <w:sz w:val="20"/>
              <w:szCs w:val="20"/>
            </w:rPr>
            <w:t>Additional Financing to Power Utility Financial Recovery Project</w:t>
          </w:r>
          <w:r>
            <w:rPr>
              <w:bCs/>
              <w:sz w:val="20"/>
              <w:szCs w:val="20"/>
            </w:rPr>
            <w:t xml:space="preserve"> (</w:t>
          </w:r>
          <w:r>
            <w:rPr>
              <w:bCs/>
              <w:noProof/>
              <w:sz w:val="20"/>
              <w:szCs w:val="20"/>
            </w:rPr>
            <w:t>P177563</w:t>
          </w:r>
          <w:r w:rsidRPr="006435B1">
            <w:rPr>
              <w:bCs/>
              <w:sz w:val="20"/>
              <w:szCs w:val="20"/>
            </w:rPr>
            <w:t>)</w:t>
          </w:r>
        </w:p>
      </w:tc>
    </w:tr>
    <w:tr w:rsidR="004F0F3F" w14:paraId="2DF91F37" w14:textId="77777777" w:rsidTr="003615CB">
      <w:trPr>
        <w:trHeight w:val="313"/>
        <w:jc w:val="center"/>
      </w:trPr>
      <w:tc>
        <w:tcPr>
          <w:tcW w:w="11216" w:type="dxa"/>
          <w:gridSpan w:val="3"/>
        </w:tcPr>
        <w:p w14:paraId="13FB625C" w14:textId="77777777" w:rsidR="003F1DD8" w:rsidRDefault="00880CEC" w:rsidP="003615CB">
          <w:pPr>
            <w:pStyle w:val="Header"/>
          </w:pPr>
          <w:r>
            <w:rPr>
              <w:i/>
              <w:noProof/>
              <w:color w:val="44546A" w:themeColor="text2"/>
            </w:rPr>
            <mc:AlternateContent>
              <mc:Choice Requires="wps">
                <w:drawing>
                  <wp:anchor distT="0" distB="0" distL="114300" distR="114300" simplePos="0" relativeHeight="251659264" behindDoc="0" locked="0" layoutInCell="1" allowOverlap="1" wp14:anchorId="2B1C756B" wp14:editId="7DD14656">
                    <wp:simplePos x="0" y="0"/>
                    <wp:positionH relativeFrom="column">
                      <wp:posOffset>-174625</wp:posOffset>
                    </wp:positionH>
                    <wp:positionV relativeFrom="paragraph">
                      <wp:posOffset>87630</wp:posOffset>
                    </wp:positionV>
                    <wp:extent cx="7168896" cy="0"/>
                    <wp:effectExtent l="0" t="19050" r="51435" b="3810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8896" cy="0"/>
                            </a:xfrm>
                            <a:prstGeom prst="line">
                              <a:avLst/>
                            </a:prstGeom>
                            <a:noFill/>
                            <a:ln w="57150">
                              <a:solidFill>
                                <a:srgbClr val="4E92D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24" o:spid="_x0000_s2051" style="mso-height-percent:0;mso-height-relative:margin;mso-width-percent:0;mso-width-relative:margin;mso-wrap-distance-bottom:0;mso-wrap-distance-left:9pt;mso-wrap-distance-right:9pt;mso-wrap-distance-top:0;mso-wrap-style:square;position:absolute;visibility:visible;z-index:251686912" from="-13.75pt,6.9pt" to="550.75pt,6.9pt" strokecolor="#4e92d1" strokeweight="4.5pt"/>
                </w:pict>
              </mc:Fallback>
            </mc:AlternateContent>
          </w:r>
        </w:p>
      </w:tc>
    </w:tr>
  </w:tbl>
  <w:p w14:paraId="492F58DF" w14:textId="77777777" w:rsidR="003F1DD8" w:rsidRDefault="003F1D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50" w:type="dxa"/>
      <w:tblInd w:w="-900" w:type="dxa"/>
      <w:tblLayout w:type="fixed"/>
      <w:tblLook w:val="04A0" w:firstRow="1" w:lastRow="0" w:firstColumn="1" w:lastColumn="0" w:noHBand="0" w:noVBand="1"/>
    </w:tblPr>
    <w:tblGrid>
      <w:gridCol w:w="810"/>
      <w:gridCol w:w="4950"/>
      <w:gridCol w:w="5490"/>
    </w:tblGrid>
    <w:tr w:rsidR="004F0F3F" w14:paraId="2CF987B5" w14:textId="77777777" w:rsidTr="00166E79">
      <w:trPr>
        <w:trHeight w:val="162"/>
      </w:trPr>
      <w:tc>
        <w:tcPr>
          <w:tcW w:w="810" w:type="dxa"/>
          <w:vMerge w:val="restart"/>
          <w:shd w:val="clear" w:color="auto" w:fill="auto"/>
        </w:tcPr>
        <w:p w14:paraId="3B2A1EAB" w14:textId="77777777" w:rsidR="003F1DD8" w:rsidRPr="00BE5FF4" w:rsidRDefault="00880CEC" w:rsidP="00166E79">
          <w:pPr>
            <w:tabs>
              <w:tab w:val="center" w:pos="4680"/>
              <w:tab w:val="right" w:pos="9360"/>
            </w:tabs>
            <w:rPr>
              <w:b/>
            </w:rPr>
          </w:pPr>
          <w:r w:rsidRPr="00BE5FF4">
            <w:rPr>
              <w:b/>
              <w:noProof/>
            </w:rPr>
            <w:drawing>
              <wp:inline distT="0" distB="0" distL="0" distR="0" wp14:anchorId="0B574E6A" wp14:editId="2F67FB6C">
                <wp:extent cx="274320" cy="27432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272317"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320" cy="274320"/>
                        </a:xfrm>
                        <a:prstGeom prst="rect">
                          <a:avLst/>
                        </a:prstGeom>
                        <a:noFill/>
                        <a:ln>
                          <a:noFill/>
                        </a:ln>
                      </pic:spPr>
                    </pic:pic>
                  </a:graphicData>
                </a:graphic>
              </wp:inline>
            </w:drawing>
          </w:r>
        </w:p>
      </w:tc>
      <w:tc>
        <w:tcPr>
          <w:tcW w:w="4950" w:type="dxa"/>
          <w:shd w:val="clear" w:color="auto" w:fill="auto"/>
          <w:vAlign w:val="center"/>
        </w:tcPr>
        <w:p w14:paraId="59E75744" w14:textId="77777777" w:rsidR="003F1DD8" w:rsidRPr="00BE5FF4" w:rsidRDefault="00880CEC" w:rsidP="00166E79">
          <w:pPr>
            <w:tabs>
              <w:tab w:val="center" w:pos="4680"/>
              <w:tab w:val="right" w:pos="9360"/>
            </w:tabs>
            <w:ind w:left="-108"/>
          </w:pPr>
          <w:r w:rsidRPr="00BE5FF4">
            <w:rPr>
              <w:b/>
            </w:rPr>
            <w:t>The World Bank</w:t>
          </w:r>
        </w:p>
      </w:tc>
      <w:tc>
        <w:tcPr>
          <w:tcW w:w="5490" w:type="dxa"/>
          <w:shd w:val="clear" w:color="auto" w:fill="auto"/>
          <w:vAlign w:val="center"/>
        </w:tcPr>
        <w:p w14:paraId="1B0BC10B" w14:textId="77777777" w:rsidR="003F1DD8" w:rsidRPr="00BE5FF4" w:rsidRDefault="003F1DD8" w:rsidP="00166E79">
          <w:pPr>
            <w:tabs>
              <w:tab w:val="center" w:pos="4680"/>
              <w:tab w:val="right" w:pos="9360"/>
            </w:tabs>
            <w:jc w:val="right"/>
          </w:pPr>
        </w:p>
      </w:tc>
    </w:tr>
    <w:tr w:rsidR="004F0F3F" w14:paraId="63E622AC" w14:textId="77777777" w:rsidTr="00166E79">
      <w:trPr>
        <w:trHeight w:val="231"/>
      </w:trPr>
      <w:tc>
        <w:tcPr>
          <w:tcW w:w="810" w:type="dxa"/>
          <w:vMerge/>
          <w:shd w:val="clear" w:color="auto" w:fill="auto"/>
        </w:tcPr>
        <w:p w14:paraId="7BD7F3E1" w14:textId="77777777" w:rsidR="003F1DD8" w:rsidRPr="00BE5FF4" w:rsidRDefault="003F1DD8" w:rsidP="00166E79">
          <w:pPr>
            <w:tabs>
              <w:tab w:val="center" w:pos="4680"/>
              <w:tab w:val="right" w:pos="9360"/>
            </w:tabs>
            <w:rPr>
              <w:b/>
              <w:noProof/>
            </w:rPr>
          </w:pPr>
        </w:p>
      </w:tc>
      <w:tc>
        <w:tcPr>
          <w:tcW w:w="10440" w:type="dxa"/>
          <w:gridSpan w:val="2"/>
          <w:shd w:val="clear" w:color="auto" w:fill="auto"/>
        </w:tcPr>
        <w:p w14:paraId="26B409BB" w14:textId="77777777" w:rsidR="003F1DD8" w:rsidRPr="004D7B14" w:rsidRDefault="00880CEC" w:rsidP="000B428F">
          <w:pPr>
            <w:tabs>
              <w:tab w:val="center" w:pos="4680"/>
              <w:tab w:val="right" w:pos="9360"/>
            </w:tabs>
            <w:ind w:left="-108" w:right="162"/>
            <w:rPr>
              <w:rFonts w:ascii="Calibri" w:hAnsi="Calibri"/>
              <w:b/>
              <w:sz w:val="22"/>
              <w:szCs w:val="22"/>
            </w:rPr>
          </w:pPr>
          <w:r>
            <w:rPr>
              <w:rFonts w:ascii="Calibri" w:hAnsi="Calibri"/>
              <w:bCs/>
              <w:noProof/>
              <w:sz w:val="22"/>
              <w:szCs w:val="22"/>
            </w:rPr>
            <w:t>Additional Financing to Power Utility Financial Recovery Project (P177563)</w:t>
          </w:r>
        </w:p>
      </w:tc>
    </w:tr>
    <w:tr w:rsidR="004F0F3F" w14:paraId="6CB40565" w14:textId="77777777" w:rsidTr="00166E79">
      <w:trPr>
        <w:trHeight w:val="243"/>
      </w:trPr>
      <w:tc>
        <w:tcPr>
          <w:tcW w:w="11250" w:type="dxa"/>
          <w:gridSpan w:val="3"/>
          <w:shd w:val="clear" w:color="auto" w:fill="auto"/>
          <w:vAlign w:val="center"/>
        </w:tcPr>
        <w:p w14:paraId="0ECD153A" w14:textId="77777777" w:rsidR="003F1DD8" w:rsidRPr="00BE5FF4" w:rsidRDefault="00880CEC" w:rsidP="00166E79">
          <w:pPr>
            <w:tabs>
              <w:tab w:val="center" w:pos="4680"/>
              <w:tab w:val="right" w:pos="9360"/>
            </w:tabs>
          </w:pPr>
          <w:r>
            <w:rPr>
              <w:noProof/>
            </w:rPr>
            <mc:AlternateContent>
              <mc:Choice Requires="wps">
                <w:drawing>
                  <wp:anchor distT="0" distB="0" distL="114300" distR="114300" simplePos="0" relativeHeight="251652096" behindDoc="0" locked="0" layoutInCell="1" allowOverlap="1" wp14:anchorId="43251994" wp14:editId="01531737">
                    <wp:simplePos x="0" y="0"/>
                    <wp:positionH relativeFrom="column">
                      <wp:posOffset>0</wp:posOffset>
                    </wp:positionH>
                    <wp:positionV relativeFrom="paragraph">
                      <wp:posOffset>82549</wp:posOffset>
                    </wp:positionV>
                    <wp:extent cx="6976745" cy="0"/>
                    <wp:effectExtent l="0" t="19050" r="52705" b="381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6745" cy="0"/>
                            </a:xfrm>
                            <a:prstGeom prst="line">
                              <a:avLst/>
                            </a:prstGeom>
                            <a:noFill/>
                            <a:ln w="57150">
                              <a:solidFill>
                                <a:srgbClr val="5B9BD5">
                                  <a:lumMod val="9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27" o:spid="_x0000_s2053" style="flip:y;mso-height-percent:0;mso-height-relative:margin;mso-width-percent:0;mso-width-relative:margin;mso-wrap-distance-bottom:0pt;mso-wrap-distance-left:9pt;mso-wrap-distance-right:9pt;mso-wrap-distance-top:0pt;mso-wrap-style:square;position:absolute;visibility:visible;z-index:251676672" from="0,6.5pt" to="549.35pt,6.5pt" strokecolor="#4f94d2" strokeweight="4.5pt"/>
                </w:pict>
              </mc:Fallback>
            </mc:AlternateContent>
          </w:r>
        </w:p>
      </w:tc>
    </w:tr>
  </w:tbl>
  <w:p w14:paraId="513FDDCA" w14:textId="77777777" w:rsidR="003F1DD8" w:rsidRDefault="003F1DD8" w:rsidP="00166E7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216" w:type="dxa"/>
      <w:jc w:val="center"/>
      <w:tblBorders>
        <w:top w:val="nil"/>
        <w:left w:val="nil"/>
        <w:bottom w:val="nil"/>
        <w:right w:val="nil"/>
        <w:insideH w:val="nil"/>
        <w:insideV w:val="nil"/>
      </w:tblBorders>
      <w:tblLayout w:type="fixed"/>
      <w:tblLook w:val="04A0" w:firstRow="1" w:lastRow="0" w:firstColumn="1" w:lastColumn="0" w:noHBand="0" w:noVBand="1"/>
    </w:tblPr>
    <w:tblGrid>
      <w:gridCol w:w="777"/>
      <w:gridCol w:w="5218"/>
      <w:gridCol w:w="5221"/>
    </w:tblGrid>
    <w:tr w:rsidR="004F0F3F" w14:paraId="3D1A067A" w14:textId="77777777" w:rsidTr="003615CB">
      <w:trPr>
        <w:trHeight w:val="162"/>
        <w:jc w:val="center"/>
      </w:trPr>
      <w:tc>
        <w:tcPr>
          <w:tcW w:w="777" w:type="dxa"/>
          <w:vMerge w:val="restart"/>
        </w:tcPr>
        <w:p w14:paraId="67C8D330" w14:textId="77777777" w:rsidR="003F1DD8" w:rsidRPr="00BF642B" w:rsidRDefault="00880CEC" w:rsidP="003615CB">
          <w:pPr>
            <w:pStyle w:val="Header"/>
            <w:rPr>
              <w:b/>
            </w:rPr>
          </w:pPr>
          <w:r w:rsidRPr="00BF642B">
            <w:rPr>
              <w:b/>
              <w:noProof/>
            </w:rPr>
            <w:drawing>
              <wp:inline distT="0" distB="0" distL="0" distR="0" wp14:anchorId="35705FA5" wp14:editId="3311FFA1">
                <wp:extent cx="295275" cy="289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24995" name="WB_logo.png"/>
                        <pic:cNvPicPr/>
                      </pic:nvPicPr>
                      <pic:blipFill>
                        <a:blip r:embed="rId1">
                          <a:extLst>
                            <a:ext uri="{28A0092B-C50C-407E-A947-70E740481C1C}">
                              <a14:useLocalDpi xmlns:a14="http://schemas.microsoft.com/office/drawing/2010/main" val="0"/>
                            </a:ext>
                          </a:extLst>
                        </a:blip>
                        <a:stretch>
                          <a:fillRect/>
                        </a:stretch>
                      </pic:blipFill>
                      <pic:spPr>
                        <a:xfrm>
                          <a:off x="0" y="0"/>
                          <a:ext cx="293682" cy="287838"/>
                        </a:xfrm>
                        <a:prstGeom prst="rect">
                          <a:avLst/>
                        </a:prstGeom>
                      </pic:spPr>
                    </pic:pic>
                  </a:graphicData>
                </a:graphic>
              </wp:inline>
            </w:drawing>
          </w:r>
        </w:p>
      </w:tc>
      <w:tc>
        <w:tcPr>
          <w:tcW w:w="5218" w:type="dxa"/>
          <w:vAlign w:val="center"/>
        </w:tcPr>
        <w:p w14:paraId="1E5ACD1A" w14:textId="77777777" w:rsidR="003F1DD8" w:rsidRDefault="00880CEC" w:rsidP="003615CB">
          <w:pPr>
            <w:pStyle w:val="Header"/>
            <w:ind w:left="-108"/>
          </w:pPr>
          <w:r w:rsidRPr="005F6C54">
            <w:rPr>
              <w:b/>
            </w:rPr>
            <w:t>The World Bank</w:t>
          </w:r>
        </w:p>
      </w:tc>
      <w:tc>
        <w:tcPr>
          <w:tcW w:w="5221" w:type="dxa"/>
          <w:vAlign w:val="center"/>
        </w:tcPr>
        <w:p w14:paraId="1C7B312B" w14:textId="77777777" w:rsidR="003F1DD8" w:rsidRDefault="003F1DD8" w:rsidP="003615CB">
          <w:pPr>
            <w:pStyle w:val="Header"/>
            <w:jc w:val="right"/>
          </w:pPr>
        </w:p>
      </w:tc>
    </w:tr>
    <w:tr w:rsidR="004F0F3F" w14:paraId="0482B53F" w14:textId="77777777" w:rsidTr="003615CB">
      <w:trPr>
        <w:trHeight w:val="231"/>
        <w:jc w:val="center"/>
      </w:trPr>
      <w:tc>
        <w:tcPr>
          <w:tcW w:w="777" w:type="dxa"/>
          <w:vMerge/>
        </w:tcPr>
        <w:p w14:paraId="2A775794" w14:textId="77777777" w:rsidR="003F1DD8" w:rsidRPr="00BF642B" w:rsidRDefault="003F1DD8" w:rsidP="003615CB">
          <w:pPr>
            <w:pStyle w:val="Header"/>
            <w:rPr>
              <w:b/>
              <w:noProof/>
            </w:rPr>
          </w:pPr>
        </w:p>
      </w:tc>
      <w:tc>
        <w:tcPr>
          <w:tcW w:w="10439" w:type="dxa"/>
          <w:gridSpan w:val="2"/>
        </w:tcPr>
        <w:p w14:paraId="3F6799C3" w14:textId="77777777" w:rsidR="003F1DD8" w:rsidRPr="006E6C00" w:rsidRDefault="00880CEC" w:rsidP="000B428F">
          <w:pPr>
            <w:pStyle w:val="Header"/>
            <w:ind w:left="-108"/>
            <w:rPr>
              <w:bCs/>
              <w:noProof/>
              <w:sz w:val="20"/>
              <w:szCs w:val="20"/>
            </w:rPr>
          </w:pPr>
          <w:r>
            <w:rPr>
              <w:bCs/>
              <w:noProof/>
              <w:sz w:val="20"/>
              <w:szCs w:val="20"/>
            </w:rPr>
            <w:t>Additional Financing to Power Utility Financial Recovery Project</w:t>
          </w:r>
          <w:r>
            <w:rPr>
              <w:bCs/>
              <w:sz w:val="20"/>
              <w:szCs w:val="20"/>
            </w:rPr>
            <w:t xml:space="preserve"> (</w:t>
          </w:r>
          <w:r>
            <w:rPr>
              <w:bCs/>
              <w:noProof/>
              <w:sz w:val="20"/>
              <w:szCs w:val="20"/>
            </w:rPr>
            <w:t>P177563</w:t>
          </w:r>
          <w:r w:rsidRPr="006435B1">
            <w:rPr>
              <w:bCs/>
              <w:sz w:val="20"/>
              <w:szCs w:val="20"/>
            </w:rPr>
            <w:t>)</w:t>
          </w:r>
        </w:p>
      </w:tc>
    </w:tr>
    <w:tr w:rsidR="004F0F3F" w14:paraId="4ED088B3" w14:textId="77777777" w:rsidTr="003615CB">
      <w:trPr>
        <w:trHeight w:val="313"/>
        <w:jc w:val="center"/>
      </w:trPr>
      <w:tc>
        <w:tcPr>
          <w:tcW w:w="11216" w:type="dxa"/>
          <w:gridSpan w:val="3"/>
        </w:tcPr>
        <w:p w14:paraId="256FD87A" w14:textId="77777777" w:rsidR="003F1DD8" w:rsidRDefault="00880CEC" w:rsidP="003615CB">
          <w:pPr>
            <w:pStyle w:val="Header"/>
          </w:pPr>
          <w:r>
            <w:rPr>
              <w:i/>
              <w:noProof/>
              <w:color w:val="44546A" w:themeColor="text2"/>
            </w:rPr>
            <mc:AlternateContent>
              <mc:Choice Requires="wps">
                <w:drawing>
                  <wp:anchor distT="0" distB="0" distL="114300" distR="114300" simplePos="0" relativeHeight="251654144" behindDoc="0" locked="0" layoutInCell="1" allowOverlap="1" wp14:anchorId="5488904A" wp14:editId="161447B1">
                    <wp:simplePos x="0" y="0"/>
                    <wp:positionH relativeFrom="column">
                      <wp:posOffset>-174625</wp:posOffset>
                    </wp:positionH>
                    <wp:positionV relativeFrom="paragraph">
                      <wp:posOffset>87630</wp:posOffset>
                    </wp:positionV>
                    <wp:extent cx="7168896" cy="0"/>
                    <wp:effectExtent l="0" t="19050" r="51435" b="3810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8896" cy="0"/>
                            </a:xfrm>
                            <a:prstGeom prst="line">
                              <a:avLst/>
                            </a:prstGeom>
                            <a:noFill/>
                            <a:ln w="57150">
                              <a:solidFill>
                                <a:srgbClr val="4E92D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38" o:spid="_x0000_s2055" style="mso-height-percent:0;mso-height-relative:margin;mso-width-percent:0;mso-width-relative:margin;mso-wrap-distance-bottom:0;mso-wrap-distance-left:9pt;mso-wrap-distance-right:9pt;mso-wrap-distance-top:0;mso-wrap-style:square;position:absolute;visibility:visible;z-index:251678720" from="-13.75pt,6.9pt" to="550.75pt,6.9pt" strokecolor="#4e92d1" strokeweight="4.5pt"/>
                </w:pict>
              </mc:Fallback>
            </mc:AlternateContent>
          </w:r>
        </w:p>
      </w:tc>
    </w:tr>
  </w:tbl>
  <w:p w14:paraId="311926B3" w14:textId="77777777" w:rsidR="003F1DD8" w:rsidRDefault="003F1DD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216" w:type="dxa"/>
      <w:tblInd w:w="-960" w:type="dxa"/>
      <w:tblBorders>
        <w:top w:val="nil"/>
        <w:left w:val="nil"/>
        <w:bottom w:val="nil"/>
        <w:right w:val="nil"/>
        <w:insideH w:val="nil"/>
        <w:insideV w:val="nil"/>
      </w:tblBorders>
      <w:tblLayout w:type="fixed"/>
      <w:tblLook w:val="04A0" w:firstRow="1" w:lastRow="0" w:firstColumn="1" w:lastColumn="0" w:noHBand="0" w:noVBand="1"/>
    </w:tblPr>
    <w:tblGrid>
      <w:gridCol w:w="777"/>
      <w:gridCol w:w="5218"/>
      <w:gridCol w:w="5221"/>
    </w:tblGrid>
    <w:tr w:rsidR="004F0F3F" w14:paraId="1251F001" w14:textId="77777777" w:rsidTr="003615CB">
      <w:trPr>
        <w:trHeight w:val="162"/>
      </w:trPr>
      <w:tc>
        <w:tcPr>
          <w:tcW w:w="777" w:type="dxa"/>
          <w:vMerge w:val="restart"/>
        </w:tcPr>
        <w:p w14:paraId="1D301481" w14:textId="77777777" w:rsidR="003F1DD8" w:rsidRPr="00BF642B" w:rsidRDefault="00880CEC" w:rsidP="003615CB">
          <w:pPr>
            <w:pStyle w:val="Header"/>
            <w:rPr>
              <w:b/>
            </w:rPr>
          </w:pPr>
          <w:r w:rsidRPr="00BF642B">
            <w:rPr>
              <w:b/>
              <w:noProof/>
            </w:rPr>
            <w:drawing>
              <wp:inline distT="0" distB="0" distL="0" distR="0" wp14:anchorId="1829D7C9" wp14:editId="1847F49E">
                <wp:extent cx="295275" cy="289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640639" name="WB_logo.png"/>
                        <pic:cNvPicPr/>
                      </pic:nvPicPr>
                      <pic:blipFill>
                        <a:blip r:embed="rId1">
                          <a:extLst>
                            <a:ext uri="{28A0092B-C50C-407E-A947-70E740481C1C}">
                              <a14:useLocalDpi xmlns:a14="http://schemas.microsoft.com/office/drawing/2010/main" val="0"/>
                            </a:ext>
                          </a:extLst>
                        </a:blip>
                        <a:stretch>
                          <a:fillRect/>
                        </a:stretch>
                      </pic:blipFill>
                      <pic:spPr>
                        <a:xfrm>
                          <a:off x="0" y="0"/>
                          <a:ext cx="293682" cy="287838"/>
                        </a:xfrm>
                        <a:prstGeom prst="rect">
                          <a:avLst/>
                        </a:prstGeom>
                      </pic:spPr>
                    </pic:pic>
                  </a:graphicData>
                </a:graphic>
              </wp:inline>
            </w:drawing>
          </w:r>
        </w:p>
      </w:tc>
      <w:tc>
        <w:tcPr>
          <w:tcW w:w="5218" w:type="dxa"/>
          <w:vAlign w:val="center"/>
        </w:tcPr>
        <w:p w14:paraId="588F576D" w14:textId="77777777" w:rsidR="003F1DD8" w:rsidRDefault="00880CEC" w:rsidP="003615CB">
          <w:pPr>
            <w:pStyle w:val="Header"/>
            <w:ind w:left="-108"/>
          </w:pPr>
          <w:r w:rsidRPr="005F6C54">
            <w:rPr>
              <w:b/>
            </w:rPr>
            <w:t>The World Bank</w:t>
          </w:r>
        </w:p>
      </w:tc>
      <w:tc>
        <w:tcPr>
          <w:tcW w:w="5221" w:type="dxa"/>
          <w:vAlign w:val="center"/>
        </w:tcPr>
        <w:p w14:paraId="0E19E424" w14:textId="77777777" w:rsidR="003F1DD8" w:rsidRDefault="003F1DD8" w:rsidP="003615CB">
          <w:pPr>
            <w:pStyle w:val="Header"/>
            <w:jc w:val="right"/>
          </w:pPr>
        </w:p>
      </w:tc>
    </w:tr>
    <w:tr w:rsidR="004F0F3F" w14:paraId="6B5633C6" w14:textId="77777777" w:rsidTr="003615CB">
      <w:trPr>
        <w:trHeight w:val="231"/>
      </w:trPr>
      <w:tc>
        <w:tcPr>
          <w:tcW w:w="777" w:type="dxa"/>
          <w:vMerge/>
        </w:tcPr>
        <w:p w14:paraId="6C710F4E" w14:textId="77777777" w:rsidR="003F1DD8" w:rsidRPr="00BF642B" w:rsidRDefault="003F1DD8" w:rsidP="003615CB">
          <w:pPr>
            <w:pStyle w:val="Header"/>
            <w:rPr>
              <w:b/>
              <w:noProof/>
            </w:rPr>
          </w:pPr>
        </w:p>
      </w:tc>
      <w:tc>
        <w:tcPr>
          <w:tcW w:w="10439" w:type="dxa"/>
          <w:gridSpan w:val="2"/>
        </w:tcPr>
        <w:p w14:paraId="48652556" w14:textId="77777777" w:rsidR="003F1DD8" w:rsidRPr="006E6C00" w:rsidRDefault="00880CEC" w:rsidP="000B428F">
          <w:pPr>
            <w:pStyle w:val="Header"/>
            <w:ind w:left="-108"/>
            <w:rPr>
              <w:bCs/>
              <w:noProof/>
              <w:sz w:val="20"/>
              <w:szCs w:val="20"/>
            </w:rPr>
          </w:pPr>
          <w:r>
            <w:rPr>
              <w:bCs/>
              <w:noProof/>
              <w:sz w:val="20"/>
              <w:szCs w:val="20"/>
            </w:rPr>
            <w:t>Additional Financing to Power Utility Financial Recovery Project</w:t>
          </w:r>
          <w:r>
            <w:rPr>
              <w:bCs/>
              <w:sz w:val="20"/>
              <w:szCs w:val="20"/>
            </w:rPr>
            <w:t xml:space="preserve"> (</w:t>
          </w:r>
          <w:r>
            <w:rPr>
              <w:bCs/>
              <w:noProof/>
              <w:sz w:val="20"/>
              <w:szCs w:val="20"/>
            </w:rPr>
            <w:t>P177563</w:t>
          </w:r>
          <w:r w:rsidRPr="006435B1">
            <w:rPr>
              <w:bCs/>
              <w:sz w:val="20"/>
              <w:szCs w:val="20"/>
            </w:rPr>
            <w:t>)</w:t>
          </w:r>
        </w:p>
      </w:tc>
    </w:tr>
    <w:tr w:rsidR="004F0F3F" w14:paraId="4416AC34" w14:textId="77777777" w:rsidTr="003615CB">
      <w:trPr>
        <w:trHeight w:val="313"/>
      </w:trPr>
      <w:tc>
        <w:tcPr>
          <w:tcW w:w="11216" w:type="dxa"/>
          <w:gridSpan w:val="3"/>
        </w:tcPr>
        <w:p w14:paraId="650D2378" w14:textId="77777777" w:rsidR="003F1DD8" w:rsidRDefault="00880CEC" w:rsidP="003615CB">
          <w:pPr>
            <w:pStyle w:val="Header"/>
          </w:pPr>
          <w:r>
            <w:rPr>
              <w:i/>
              <w:noProof/>
              <w:color w:val="44546A" w:themeColor="text2"/>
            </w:rPr>
            <mc:AlternateContent>
              <mc:Choice Requires="wps">
                <w:drawing>
                  <wp:anchor distT="0" distB="0" distL="114300" distR="114300" simplePos="0" relativeHeight="251655168" behindDoc="0" locked="0" layoutInCell="1" allowOverlap="1" wp14:anchorId="1B800686" wp14:editId="19871434">
                    <wp:simplePos x="0" y="0"/>
                    <wp:positionH relativeFrom="column">
                      <wp:posOffset>-117475</wp:posOffset>
                    </wp:positionH>
                    <wp:positionV relativeFrom="paragraph">
                      <wp:posOffset>153670</wp:posOffset>
                    </wp:positionV>
                    <wp:extent cx="9401175" cy="0"/>
                    <wp:effectExtent l="0" t="19050" r="47625" b="3810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01175" cy="0"/>
                            </a:xfrm>
                            <a:prstGeom prst="line">
                              <a:avLst/>
                            </a:prstGeom>
                            <a:noFill/>
                            <a:ln w="57150">
                              <a:solidFill>
                                <a:srgbClr val="4E92D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44" o:spid="_x0000_s2061" style="flip:y;mso-height-percent:0;mso-height-relative:margin;mso-width-percent:0;mso-width-relative:margin;mso-wrap-distance-bottom:0;mso-wrap-distance-left:9pt;mso-wrap-distance-right:9pt;mso-wrap-distance-top:0;mso-wrap-style:square;position:absolute;visibility:visible;z-index:251679744" from="-9.25pt,12.1pt" to="731pt,12.1pt" strokecolor="#4e92d1" strokeweight="4.5pt"/>
                </w:pict>
              </mc:Fallback>
            </mc:AlternateContent>
          </w:r>
        </w:p>
      </w:tc>
    </w:tr>
  </w:tbl>
  <w:p w14:paraId="34D9192A" w14:textId="77777777" w:rsidR="003F1DD8" w:rsidRDefault="003F1DD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216" w:type="dxa"/>
      <w:tblInd w:w="-960" w:type="dxa"/>
      <w:tblBorders>
        <w:top w:val="nil"/>
        <w:left w:val="nil"/>
        <w:bottom w:val="nil"/>
        <w:right w:val="nil"/>
        <w:insideH w:val="nil"/>
        <w:insideV w:val="nil"/>
      </w:tblBorders>
      <w:tblLayout w:type="fixed"/>
      <w:tblLook w:val="04A0" w:firstRow="1" w:lastRow="0" w:firstColumn="1" w:lastColumn="0" w:noHBand="0" w:noVBand="1"/>
    </w:tblPr>
    <w:tblGrid>
      <w:gridCol w:w="777"/>
      <w:gridCol w:w="5218"/>
      <w:gridCol w:w="5221"/>
    </w:tblGrid>
    <w:tr w:rsidR="004F0F3F" w14:paraId="682A30B9" w14:textId="77777777" w:rsidTr="003615CB">
      <w:trPr>
        <w:trHeight w:val="162"/>
      </w:trPr>
      <w:tc>
        <w:tcPr>
          <w:tcW w:w="777" w:type="dxa"/>
          <w:vMerge w:val="restart"/>
        </w:tcPr>
        <w:p w14:paraId="323687BE" w14:textId="77777777" w:rsidR="003F1DD8" w:rsidRPr="00BF642B" w:rsidRDefault="00880CEC" w:rsidP="003615CB">
          <w:pPr>
            <w:pStyle w:val="Header"/>
            <w:rPr>
              <w:b/>
            </w:rPr>
          </w:pPr>
          <w:r w:rsidRPr="00BF642B">
            <w:rPr>
              <w:b/>
              <w:noProof/>
            </w:rPr>
            <w:drawing>
              <wp:inline distT="0" distB="0" distL="0" distR="0" wp14:anchorId="6E1EDA57" wp14:editId="30AB3870">
                <wp:extent cx="295275" cy="289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585114" name="WB_logo.png"/>
                        <pic:cNvPicPr/>
                      </pic:nvPicPr>
                      <pic:blipFill>
                        <a:blip r:embed="rId1">
                          <a:extLst>
                            <a:ext uri="{28A0092B-C50C-407E-A947-70E740481C1C}">
                              <a14:useLocalDpi xmlns:a14="http://schemas.microsoft.com/office/drawing/2010/main" val="0"/>
                            </a:ext>
                          </a:extLst>
                        </a:blip>
                        <a:stretch>
                          <a:fillRect/>
                        </a:stretch>
                      </pic:blipFill>
                      <pic:spPr>
                        <a:xfrm>
                          <a:off x="0" y="0"/>
                          <a:ext cx="293682" cy="287838"/>
                        </a:xfrm>
                        <a:prstGeom prst="rect">
                          <a:avLst/>
                        </a:prstGeom>
                      </pic:spPr>
                    </pic:pic>
                  </a:graphicData>
                </a:graphic>
              </wp:inline>
            </w:drawing>
          </w:r>
        </w:p>
      </w:tc>
      <w:tc>
        <w:tcPr>
          <w:tcW w:w="5218" w:type="dxa"/>
          <w:vAlign w:val="center"/>
        </w:tcPr>
        <w:p w14:paraId="710252C5" w14:textId="77777777" w:rsidR="003F1DD8" w:rsidRDefault="00880CEC" w:rsidP="003615CB">
          <w:pPr>
            <w:pStyle w:val="Header"/>
            <w:ind w:left="-108"/>
          </w:pPr>
          <w:r w:rsidRPr="005F6C54">
            <w:rPr>
              <w:b/>
            </w:rPr>
            <w:t>The World Bank</w:t>
          </w:r>
        </w:p>
      </w:tc>
      <w:tc>
        <w:tcPr>
          <w:tcW w:w="5221" w:type="dxa"/>
          <w:vAlign w:val="center"/>
        </w:tcPr>
        <w:p w14:paraId="012E4C1A" w14:textId="77777777" w:rsidR="003F1DD8" w:rsidRDefault="003F1DD8" w:rsidP="003615CB">
          <w:pPr>
            <w:pStyle w:val="Header"/>
            <w:jc w:val="right"/>
          </w:pPr>
        </w:p>
      </w:tc>
    </w:tr>
    <w:tr w:rsidR="004F0F3F" w14:paraId="4FE2E511" w14:textId="77777777" w:rsidTr="003615CB">
      <w:trPr>
        <w:trHeight w:val="231"/>
      </w:trPr>
      <w:tc>
        <w:tcPr>
          <w:tcW w:w="777" w:type="dxa"/>
          <w:vMerge/>
        </w:tcPr>
        <w:p w14:paraId="359C1AA7" w14:textId="77777777" w:rsidR="003F1DD8" w:rsidRPr="00BF642B" w:rsidRDefault="003F1DD8" w:rsidP="003615CB">
          <w:pPr>
            <w:pStyle w:val="Header"/>
            <w:rPr>
              <w:b/>
              <w:noProof/>
            </w:rPr>
          </w:pPr>
        </w:p>
      </w:tc>
      <w:tc>
        <w:tcPr>
          <w:tcW w:w="10439" w:type="dxa"/>
          <w:gridSpan w:val="2"/>
        </w:tcPr>
        <w:p w14:paraId="40B737C2" w14:textId="77777777" w:rsidR="003F1DD8" w:rsidRPr="006E6C00" w:rsidRDefault="00880CEC" w:rsidP="000B428F">
          <w:pPr>
            <w:pStyle w:val="Header"/>
            <w:ind w:left="-108"/>
            <w:rPr>
              <w:bCs/>
              <w:noProof/>
              <w:sz w:val="20"/>
              <w:szCs w:val="20"/>
            </w:rPr>
          </w:pPr>
          <w:r>
            <w:rPr>
              <w:bCs/>
              <w:noProof/>
              <w:sz w:val="20"/>
              <w:szCs w:val="20"/>
            </w:rPr>
            <w:t>Additional Financing to Power Utility Financial Recovery Project</w:t>
          </w:r>
          <w:r>
            <w:rPr>
              <w:bCs/>
              <w:sz w:val="20"/>
              <w:szCs w:val="20"/>
            </w:rPr>
            <w:t xml:space="preserve"> (</w:t>
          </w:r>
          <w:r>
            <w:rPr>
              <w:bCs/>
              <w:noProof/>
              <w:sz w:val="20"/>
              <w:szCs w:val="20"/>
            </w:rPr>
            <w:t>P177563</w:t>
          </w:r>
          <w:r w:rsidRPr="006435B1">
            <w:rPr>
              <w:bCs/>
              <w:sz w:val="20"/>
              <w:szCs w:val="20"/>
            </w:rPr>
            <w:t>)</w:t>
          </w:r>
        </w:p>
      </w:tc>
    </w:tr>
    <w:tr w:rsidR="004F0F3F" w14:paraId="51F18FC0" w14:textId="77777777" w:rsidTr="003615CB">
      <w:trPr>
        <w:trHeight w:val="313"/>
      </w:trPr>
      <w:tc>
        <w:tcPr>
          <w:tcW w:w="11216" w:type="dxa"/>
          <w:gridSpan w:val="3"/>
        </w:tcPr>
        <w:p w14:paraId="4E7AA3FA" w14:textId="77777777" w:rsidR="003F1DD8" w:rsidRDefault="00880CEC" w:rsidP="003615CB">
          <w:pPr>
            <w:pStyle w:val="Header"/>
          </w:pPr>
          <w:r>
            <w:rPr>
              <w:i/>
              <w:noProof/>
              <w:color w:val="44546A" w:themeColor="text2"/>
            </w:rPr>
            <mc:AlternateContent>
              <mc:Choice Requires="wps">
                <w:drawing>
                  <wp:anchor distT="0" distB="0" distL="114300" distR="114300" simplePos="0" relativeHeight="251660288" behindDoc="0" locked="0" layoutInCell="1" allowOverlap="1" wp14:anchorId="33A0EBD7" wp14:editId="3F847810">
                    <wp:simplePos x="0" y="0"/>
                    <wp:positionH relativeFrom="column">
                      <wp:posOffset>-1906</wp:posOffset>
                    </wp:positionH>
                    <wp:positionV relativeFrom="paragraph">
                      <wp:posOffset>154305</wp:posOffset>
                    </wp:positionV>
                    <wp:extent cx="7038975" cy="0"/>
                    <wp:effectExtent l="0" t="19050" r="47625" b="3810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38975" cy="0"/>
                            </a:xfrm>
                            <a:prstGeom prst="line">
                              <a:avLst/>
                            </a:prstGeom>
                            <a:noFill/>
                            <a:ln w="57150">
                              <a:solidFill>
                                <a:srgbClr val="4E92D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39" o:spid="_x0000_s2062" style="flip:y;mso-height-percent:0;mso-height-relative:margin;mso-width-percent:0;mso-width-relative:margin;mso-wrap-distance-bottom:0;mso-wrap-distance-left:9pt;mso-wrap-distance-right:9pt;mso-wrap-distance-top:0;mso-wrap-style:square;position:absolute;visibility:visible;z-index:251687936" from="-0.15pt,12.15pt" to="554.1pt,12.15pt" strokecolor="#4e92d1" strokeweight="4.5pt"/>
                </w:pict>
              </mc:Fallback>
            </mc:AlternateContent>
          </w:r>
        </w:p>
      </w:tc>
    </w:tr>
  </w:tbl>
  <w:p w14:paraId="3B24A21A" w14:textId="77777777" w:rsidR="003F1DD8" w:rsidRDefault="003F1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946D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F6F2D"/>
    <w:multiLevelType w:val="multilevel"/>
    <w:tmpl w:val="167A9A82"/>
    <w:lvl w:ilvl="0">
      <w:start w:val="1"/>
      <w:numFmt w:val="upperRoman"/>
      <w:pStyle w:val="PDSHeading1"/>
      <w:lvlText w:val="%1."/>
      <w:lvlJc w:val="center"/>
      <w:pPr>
        <w:tabs>
          <w:tab w:val="num" w:pos="0"/>
        </w:tabs>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rPr>
    </w:lvl>
    <w:lvl w:ilvl="1">
      <w:start w:val="1"/>
      <w:numFmt w:val="upperLetter"/>
      <w:pStyle w:val="PDSHeading2"/>
      <w:lvlText w:val="%2."/>
      <w:lvlJc w:val="left"/>
      <w:pPr>
        <w:tabs>
          <w:tab w:val="num" w:pos="360"/>
        </w:tabs>
        <w:ind w:left="0" w:firstLine="0"/>
      </w:pPr>
      <w:rPr>
        <w:rFonts w:hint="default"/>
      </w:rPr>
    </w:lvl>
    <w:lvl w:ilvl="2">
      <w:start w:val="1"/>
      <w:numFmt w:val="decimal"/>
      <w:lvlText w:val="%3."/>
      <w:lvlJc w:val="left"/>
      <w:pPr>
        <w:tabs>
          <w:tab w:val="num" w:pos="720"/>
        </w:tabs>
        <w:ind w:left="720" w:firstLine="0"/>
      </w:pPr>
      <w:rPr>
        <w:rFonts w:hint="default"/>
        <w:b w:val="0"/>
        <w:i w:val="0"/>
        <w:strike w:val="0"/>
        <w:color w:val="auto"/>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6C724CA"/>
    <w:multiLevelType w:val="hybridMultilevel"/>
    <w:tmpl w:val="CB668662"/>
    <w:lvl w:ilvl="0" w:tplc="9B3CB79E">
      <w:start w:val="1"/>
      <w:numFmt w:val="lowerLetter"/>
      <w:lvlText w:val="%1."/>
      <w:lvlJc w:val="left"/>
      <w:pPr>
        <w:ind w:left="609" w:hanging="360"/>
      </w:pPr>
      <w:rPr>
        <w:rFonts w:hint="default"/>
      </w:rPr>
    </w:lvl>
    <w:lvl w:ilvl="1" w:tplc="04090019" w:tentative="1">
      <w:start w:val="1"/>
      <w:numFmt w:val="lowerLetter"/>
      <w:lvlText w:val="%2."/>
      <w:lvlJc w:val="left"/>
      <w:pPr>
        <w:ind w:left="1329" w:hanging="360"/>
      </w:pPr>
    </w:lvl>
    <w:lvl w:ilvl="2" w:tplc="0409001B" w:tentative="1">
      <w:start w:val="1"/>
      <w:numFmt w:val="lowerRoman"/>
      <w:lvlText w:val="%3."/>
      <w:lvlJc w:val="right"/>
      <w:pPr>
        <w:ind w:left="2049" w:hanging="180"/>
      </w:pPr>
    </w:lvl>
    <w:lvl w:ilvl="3" w:tplc="0409000F" w:tentative="1">
      <w:start w:val="1"/>
      <w:numFmt w:val="decimal"/>
      <w:lvlText w:val="%4."/>
      <w:lvlJc w:val="left"/>
      <w:pPr>
        <w:ind w:left="2769" w:hanging="360"/>
      </w:pPr>
    </w:lvl>
    <w:lvl w:ilvl="4" w:tplc="04090019" w:tentative="1">
      <w:start w:val="1"/>
      <w:numFmt w:val="lowerLetter"/>
      <w:lvlText w:val="%5."/>
      <w:lvlJc w:val="left"/>
      <w:pPr>
        <w:ind w:left="3489" w:hanging="360"/>
      </w:pPr>
    </w:lvl>
    <w:lvl w:ilvl="5" w:tplc="0409001B" w:tentative="1">
      <w:start w:val="1"/>
      <w:numFmt w:val="lowerRoman"/>
      <w:lvlText w:val="%6."/>
      <w:lvlJc w:val="right"/>
      <w:pPr>
        <w:ind w:left="4209" w:hanging="180"/>
      </w:pPr>
    </w:lvl>
    <w:lvl w:ilvl="6" w:tplc="0409000F" w:tentative="1">
      <w:start w:val="1"/>
      <w:numFmt w:val="decimal"/>
      <w:lvlText w:val="%7."/>
      <w:lvlJc w:val="left"/>
      <w:pPr>
        <w:ind w:left="4929" w:hanging="360"/>
      </w:pPr>
    </w:lvl>
    <w:lvl w:ilvl="7" w:tplc="04090019" w:tentative="1">
      <w:start w:val="1"/>
      <w:numFmt w:val="lowerLetter"/>
      <w:lvlText w:val="%8."/>
      <w:lvlJc w:val="left"/>
      <w:pPr>
        <w:ind w:left="5649" w:hanging="360"/>
      </w:pPr>
    </w:lvl>
    <w:lvl w:ilvl="8" w:tplc="0409001B" w:tentative="1">
      <w:start w:val="1"/>
      <w:numFmt w:val="lowerRoman"/>
      <w:lvlText w:val="%9."/>
      <w:lvlJc w:val="right"/>
      <w:pPr>
        <w:ind w:left="6369" w:hanging="180"/>
      </w:pPr>
    </w:lvl>
  </w:abstractNum>
  <w:abstractNum w:abstractNumId="3" w15:restartNumberingAfterBreak="0">
    <w:nsid w:val="070F0915"/>
    <w:multiLevelType w:val="hybridMultilevel"/>
    <w:tmpl w:val="47D04C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137B1"/>
    <w:multiLevelType w:val="hybridMultilevel"/>
    <w:tmpl w:val="1EC4AD54"/>
    <w:lvl w:ilvl="0" w:tplc="BAACCFE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E7503"/>
    <w:multiLevelType w:val="hybridMultilevel"/>
    <w:tmpl w:val="77705F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D7D4E"/>
    <w:multiLevelType w:val="hybridMultilevel"/>
    <w:tmpl w:val="EE90C338"/>
    <w:lvl w:ilvl="0" w:tplc="200825EA">
      <w:start w:val="1"/>
      <w:numFmt w:val="lowerLetter"/>
      <w:lvlText w:val="%1."/>
      <w:lvlJc w:val="left"/>
      <w:pPr>
        <w:ind w:left="608" w:hanging="360"/>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7" w15:restartNumberingAfterBreak="0">
    <w:nsid w:val="15EC4493"/>
    <w:multiLevelType w:val="hybridMultilevel"/>
    <w:tmpl w:val="52DE8268"/>
    <w:lvl w:ilvl="0" w:tplc="047C8484">
      <w:start w:val="1"/>
      <w:numFmt w:val="upperLetter"/>
      <w:lvlText w:val="%1."/>
      <w:lvlJc w:val="left"/>
      <w:pPr>
        <w:ind w:left="446" w:hanging="360"/>
      </w:pPr>
      <w:rPr>
        <w:rFonts w:hint="default"/>
      </w:rPr>
    </w:lvl>
    <w:lvl w:ilvl="1" w:tplc="3D0A0062" w:tentative="1">
      <w:start w:val="1"/>
      <w:numFmt w:val="lowerLetter"/>
      <w:lvlText w:val="%2."/>
      <w:lvlJc w:val="left"/>
      <w:pPr>
        <w:ind w:left="1166" w:hanging="360"/>
      </w:pPr>
    </w:lvl>
    <w:lvl w:ilvl="2" w:tplc="132CECF0" w:tentative="1">
      <w:start w:val="1"/>
      <w:numFmt w:val="lowerRoman"/>
      <w:lvlText w:val="%3."/>
      <w:lvlJc w:val="right"/>
      <w:pPr>
        <w:ind w:left="1886" w:hanging="180"/>
      </w:pPr>
    </w:lvl>
    <w:lvl w:ilvl="3" w:tplc="6AD4E5C8" w:tentative="1">
      <w:start w:val="1"/>
      <w:numFmt w:val="decimal"/>
      <w:lvlText w:val="%4."/>
      <w:lvlJc w:val="left"/>
      <w:pPr>
        <w:ind w:left="2606" w:hanging="360"/>
      </w:pPr>
    </w:lvl>
    <w:lvl w:ilvl="4" w:tplc="D65C3352" w:tentative="1">
      <w:start w:val="1"/>
      <w:numFmt w:val="lowerLetter"/>
      <w:lvlText w:val="%5."/>
      <w:lvlJc w:val="left"/>
      <w:pPr>
        <w:ind w:left="3326" w:hanging="360"/>
      </w:pPr>
    </w:lvl>
    <w:lvl w:ilvl="5" w:tplc="53D6AE1E" w:tentative="1">
      <w:start w:val="1"/>
      <w:numFmt w:val="lowerRoman"/>
      <w:lvlText w:val="%6."/>
      <w:lvlJc w:val="right"/>
      <w:pPr>
        <w:ind w:left="4046" w:hanging="180"/>
      </w:pPr>
    </w:lvl>
    <w:lvl w:ilvl="6" w:tplc="2D186E02" w:tentative="1">
      <w:start w:val="1"/>
      <w:numFmt w:val="decimal"/>
      <w:lvlText w:val="%7."/>
      <w:lvlJc w:val="left"/>
      <w:pPr>
        <w:ind w:left="4766" w:hanging="360"/>
      </w:pPr>
    </w:lvl>
    <w:lvl w:ilvl="7" w:tplc="BB12304E" w:tentative="1">
      <w:start w:val="1"/>
      <w:numFmt w:val="lowerLetter"/>
      <w:lvlText w:val="%8."/>
      <w:lvlJc w:val="left"/>
      <w:pPr>
        <w:ind w:left="5486" w:hanging="360"/>
      </w:pPr>
    </w:lvl>
    <w:lvl w:ilvl="8" w:tplc="756E6A48" w:tentative="1">
      <w:start w:val="1"/>
      <w:numFmt w:val="lowerRoman"/>
      <w:lvlText w:val="%9."/>
      <w:lvlJc w:val="right"/>
      <w:pPr>
        <w:ind w:left="6206" w:hanging="180"/>
      </w:pPr>
    </w:lvl>
  </w:abstractNum>
  <w:abstractNum w:abstractNumId="8" w15:restartNumberingAfterBreak="0">
    <w:nsid w:val="17596CC3"/>
    <w:multiLevelType w:val="hybridMultilevel"/>
    <w:tmpl w:val="4E265EF6"/>
    <w:lvl w:ilvl="0" w:tplc="5EA2D544">
      <w:start w:val="1"/>
      <w:numFmt w:val="lowerLetter"/>
      <w:lvlText w:val="%1."/>
      <w:lvlJc w:val="left"/>
      <w:pPr>
        <w:ind w:left="609" w:hanging="360"/>
      </w:pPr>
      <w:rPr>
        <w:rFonts w:hint="default"/>
      </w:rPr>
    </w:lvl>
    <w:lvl w:ilvl="1" w:tplc="04090019" w:tentative="1">
      <w:start w:val="1"/>
      <w:numFmt w:val="lowerLetter"/>
      <w:lvlText w:val="%2."/>
      <w:lvlJc w:val="left"/>
      <w:pPr>
        <w:ind w:left="1329" w:hanging="360"/>
      </w:pPr>
    </w:lvl>
    <w:lvl w:ilvl="2" w:tplc="0409001B" w:tentative="1">
      <w:start w:val="1"/>
      <w:numFmt w:val="lowerRoman"/>
      <w:lvlText w:val="%3."/>
      <w:lvlJc w:val="right"/>
      <w:pPr>
        <w:ind w:left="2049" w:hanging="180"/>
      </w:pPr>
    </w:lvl>
    <w:lvl w:ilvl="3" w:tplc="0409000F" w:tentative="1">
      <w:start w:val="1"/>
      <w:numFmt w:val="decimal"/>
      <w:lvlText w:val="%4."/>
      <w:lvlJc w:val="left"/>
      <w:pPr>
        <w:ind w:left="2769" w:hanging="360"/>
      </w:pPr>
    </w:lvl>
    <w:lvl w:ilvl="4" w:tplc="04090019" w:tentative="1">
      <w:start w:val="1"/>
      <w:numFmt w:val="lowerLetter"/>
      <w:lvlText w:val="%5."/>
      <w:lvlJc w:val="left"/>
      <w:pPr>
        <w:ind w:left="3489" w:hanging="360"/>
      </w:pPr>
    </w:lvl>
    <w:lvl w:ilvl="5" w:tplc="0409001B" w:tentative="1">
      <w:start w:val="1"/>
      <w:numFmt w:val="lowerRoman"/>
      <w:lvlText w:val="%6."/>
      <w:lvlJc w:val="right"/>
      <w:pPr>
        <w:ind w:left="4209" w:hanging="180"/>
      </w:pPr>
    </w:lvl>
    <w:lvl w:ilvl="6" w:tplc="0409000F" w:tentative="1">
      <w:start w:val="1"/>
      <w:numFmt w:val="decimal"/>
      <w:lvlText w:val="%7."/>
      <w:lvlJc w:val="left"/>
      <w:pPr>
        <w:ind w:left="4929" w:hanging="360"/>
      </w:pPr>
    </w:lvl>
    <w:lvl w:ilvl="7" w:tplc="04090019" w:tentative="1">
      <w:start w:val="1"/>
      <w:numFmt w:val="lowerLetter"/>
      <w:lvlText w:val="%8."/>
      <w:lvlJc w:val="left"/>
      <w:pPr>
        <w:ind w:left="5649" w:hanging="360"/>
      </w:pPr>
    </w:lvl>
    <w:lvl w:ilvl="8" w:tplc="0409001B" w:tentative="1">
      <w:start w:val="1"/>
      <w:numFmt w:val="lowerRoman"/>
      <w:lvlText w:val="%9."/>
      <w:lvlJc w:val="right"/>
      <w:pPr>
        <w:ind w:left="6369" w:hanging="180"/>
      </w:pPr>
    </w:lvl>
  </w:abstractNum>
  <w:abstractNum w:abstractNumId="9" w15:restartNumberingAfterBreak="0">
    <w:nsid w:val="1B485EA5"/>
    <w:multiLevelType w:val="hybridMultilevel"/>
    <w:tmpl w:val="7C8683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07548"/>
    <w:multiLevelType w:val="hybridMultilevel"/>
    <w:tmpl w:val="15C2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074038"/>
    <w:multiLevelType w:val="hybridMultilevel"/>
    <w:tmpl w:val="E1BA3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857B03"/>
    <w:multiLevelType w:val="hybridMultilevel"/>
    <w:tmpl w:val="08ECA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9540C"/>
    <w:multiLevelType w:val="hybridMultilevel"/>
    <w:tmpl w:val="A510EC10"/>
    <w:lvl w:ilvl="0" w:tplc="C0CA88EE">
      <w:start w:val="1"/>
      <w:numFmt w:val="lowerLetter"/>
      <w:lvlText w:val="%1."/>
      <w:lvlJc w:val="left"/>
      <w:pPr>
        <w:ind w:left="519" w:hanging="360"/>
      </w:pPr>
      <w:rPr>
        <w:rFonts w:hint="default"/>
      </w:rPr>
    </w:lvl>
    <w:lvl w:ilvl="1" w:tplc="04090019" w:tentative="1">
      <w:start w:val="1"/>
      <w:numFmt w:val="lowerLetter"/>
      <w:lvlText w:val="%2."/>
      <w:lvlJc w:val="left"/>
      <w:pPr>
        <w:ind w:left="1239" w:hanging="360"/>
      </w:pPr>
    </w:lvl>
    <w:lvl w:ilvl="2" w:tplc="0409001B" w:tentative="1">
      <w:start w:val="1"/>
      <w:numFmt w:val="lowerRoman"/>
      <w:lvlText w:val="%3."/>
      <w:lvlJc w:val="right"/>
      <w:pPr>
        <w:ind w:left="1959" w:hanging="180"/>
      </w:pPr>
    </w:lvl>
    <w:lvl w:ilvl="3" w:tplc="0409000F" w:tentative="1">
      <w:start w:val="1"/>
      <w:numFmt w:val="decimal"/>
      <w:lvlText w:val="%4."/>
      <w:lvlJc w:val="left"/>
      <w:pPr>
        <w:ind w:left="2679" w:hanging="360"/>
      </w:pPr>
    </w:lvl>
    <w:lvl w:ilvl="4" w:tplc="04090019" w:tentative="1">
      <w:start w:val="1"/>
      <w:numFmt w:val="lowerLetter"/>
      <w:lvlText w:val="%5."/>
      <w:lvlJc w:val="left"/>
      <w:pPr>
        <w:ind w:left="3399" w:hanging="360"/>
      </w:pPr>
    </w:lvl>
    <w:lvl w:ilvl="5" w:tplc="0409001B" w:tentative="1">
      <w:start w:val="1"/>
      <w:numFmt w:val="lowerRoman"/>
      <w:lvlText w:val="%6."/>
      <w:lvlJc w:val="right"/>
      <w:pPr>
        <w:ind w:left="4119" w:hanging="180"/>
      </w:pPr>
    </w:lvl>
    <w:lvl w:ilvl="6" w:tplc="0409000F" w:tentative="1">
      <w:start w:val="1"/>
      <w:numFmt w:val="decimal"/>
      <w:lvlText w:val="%7."/>
      <w:lvlJc w:val="left"/>
      <w:pPr>
        <w:ind w:left="4839" w:hanging="360"/>
      </w:pPr>
    </w:lvl>
    <w:lvl w:ilvl="7" w:tplc="04090019" w:tentative="1">
      <w:start w:val="1"/>
      <w:numFmt w:val="lowerLetter"/>
      <w:lvlText w:val="%8."/>
      <w:lvlJc w:val="left"/>
      <w:pPr>
        <w:ind w:left="5559" w:hanging="360"/>
      </w:pPr>
    </w:lvl>
    <w:lvl w:ilvl="8" w:tplc="0409001B" w:tentative="1">
      <w:start w:val="1"/>
      <w:numFmt w:val="lowerRoman"/>
      <w:lvlText w:val="%9."/>
      <w:lvlJc w:val="right"/>
      <w:pPr>
        <w:ind w:left="6279" w:hanging="180"/>
      </w:pPr>
    </w:lvl>
  </w:abstractNum>
  <w:abstractNum w:abstractNumId="14" w15:restartNumberingAfterBreak="0">
    <w:nsid w:val="282F5421"/>
    <w:multiLevelType w:val="hybridMultilevel"/>
    <w:tmpl w:val="F3AE1E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825E84"/>
    <w:multiLevelType w:val="hybridMultilevel"/>
    <w:tmpl w:val="1B3AD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E842DC"/>
    <w:multiLevelType w:val="hybridMultilevel"/>
    <w:tmpl w:val="45EA7B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8376ED"/>
    <w:multiLevelType w:val="hybridMultilevel"/>
    <w:tmpl w:val="111808FA"/>
    <w:lvl w:ilvl="0" w:tplc="CA3CE404">
      <w:start w:val="1"/>
      <w:numFmt w:val="lowerLetter"/>
      <w:lvlText w:val="%1."/>
      <w:lvlJc w:val="left"/>
      <w:pPr>
        <w:ind w:left="608" w:hanging="360"/>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18" w15:restartNumberingAfterBreak="0">
    <w:nsid w:val="2F947462"/>
    <w:multiLevelType w:val="hybridMultilevel"/>
    <w:tmpl w:val="BA6EA740"/>
    <w:lvl w:ilvl="0" w:tplc="CCA45B7A">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30475F31"/>
    <w:multiLevelType w:val="hybridMultilevel"/>
    <w:tmpl w:val="D452FA82"/>
    <w:lvl w:ilvl="0" w:tplc="74C66CDC">
      <w:start w:val="1"/>
      <w:numFmt w:val="lowerLetter"/>
      <w:lvlText w:val="%1."/>
      <w:lvlJc w:val="left"/>
      <w:pPr>
        <w:ind w:left="608" w:hanging="360"/>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20" w15:restartNumberingAfterBreak="0">
    <w:nsid w:val="319439E6"/>
    <w:multiLevelType w:val="multilevel"/>
    <w:tmpl w:val="65669098"/>
    <w:lvl w:ilvl="0">
      <w:start w:val="1"/>
      <w:numFmt w:val="none"/>
      <w:pStyle w:val="Heading1a"/>
      <w:suff w:val="nothing"/>
      <w:lvlText w:val="%1"/>
      <w:lvlJc w:val="left"/>
      <w:pPr>
        <w:ind w:left="0" w:firstLine="0"/>
      </w:pPr>
      <w:rPr>
        <w:rFonts w:hint="default"/>
      </w:rPr>
    </w:lvl>
    <w:lvl w:ilvl="1">
      <w:start w:val="1"/>
      <w:numFmt w:val="decimal"/>
      <w:pStyle w:val="MainParanoChapter"/>
      <w:lvlText w:val="%2."/>
      <w:lvlJc w:val="left"/>
      <w:pPr>
        <w:tabs>
          <w:tab w:val="num" w:pos="720"/>
        </w:tabs>
        <w:ind w:left="720" w:hanging="720"/>
      </w:pPr>
      <w:rPr>
        <w:rFonts w:hint="default"/>
      </w:rPr>
    </w:lvl>
    <w:lvl w:ilvl="2">
      <w:start w:val="1"/>
      <w:numFmt w:val="lowerLetter"/>
      <w:pStyle w:val="Sub-Para1underX"/>
      <w:lvlText w:val="(%3)"/>
      <w:lvlJc w:val="left"/>
      <w:pPr>
        <w:tabs>
          <w:tab w:val="num" w:pos="1080"/>
        </w:tabs>
        <w:ind w:left="720" w:hanging="36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50E1066"/>
    <w:multiLevelType w:val="hybridMultilevel"/>
    <w:tmpl w:val="B2E46F08"/>
    <w:lvl w:ilvl="0" w:tplc="79D09514">
      <w:start w:val="1"/>
      <w:numFmt w:val="lowerLetter"/>
      <w:lvlText w:val="%1."/>
      <w:lvlJc w:val="left"/>
      <w:pPr>
        <w:ind w:left="340" w:hanging="360"/>
      </w:pPr>
      <w:rPr>
        <w:rFonts w:hint="default"/>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22" w15:restartNumberingAfterBreak="0">
    <w:nsid w:val="3B9A4EA0"/>
    <w:multiLevelType w:val="hybridMultilevel"/>
    <w:tmpl w:val="3EA24DD8"/>
    <w:lvl w:ilvl="0" w:tplc="17AA15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0B25A4"/>
    <w:multiLevelType w:val="hybridMultilevel"/>
    <w:tmpl w:val="81FAB86E"/>
    <w:lvl w:ilvl="0" w:tplc="647A0A4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F93B65"/>
    <w:multiLevelType w:val="hybridMultilevel"/>
    <w:tmpl w:val="10EC9A7E"/>
    <w:lvl w:ilvl="0" w:tplc="400A44C0">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3E1D1BB5"/>
    <w:multiLevelType w:val="hybridMultilevel"/>
    <w:tmpl w:val="2D4C0882"/>
    <w:lvl w:ilvl="0" w:tplc="FFF28F40">
      <w:start w:val="1"/>
      <w:numFmt w:val="lowerLetter"/>
      <w:lvlText w:val="%1."/>
      <w:lvlJc w:val="left"/>
      <w:pPr>
        <w:ind w:left="608" w:hanging="360"/>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26" w15:restartNumberingAfterBreak="0">
    <w:nsid w:val="4160386C"/>
    <w:multiLevelType w:val="hybridMultilevel"/>
    <w:tmpl w:val="78E677BC"/>
    <w:lvl w:ilvl="0" w:tplc="D79CF89A">
      <w:start w:val="1"/>
      <w:numFmt w:val="bullet"/>
      <w:lvlText w:val=""/>
      <w:lvlJc w:val="left"/>
      <w:pPr>
        <w:ind w:left="630" w:hanging="360"/>
      </w:pPr>
      <w:rPr>
        <w:rFonts w:ascii="Symbol" w:hAnsi="Symbol" w:hint="default"/>
        <w:b w:val="0"/>
        <w:bCs/>
        <w:i w:val="0"/>
        <w:iCs/>
      </w:rPr>
    </w:lvl>
    <w:lvl w:ilvl="1" w:tplc="37C603E0" w:tentative="1">
      <w:start w:val="1"/>
      <w:numFmt w:val="bullet"/>
      <w:lvlText w:val="o"/>
      <w:lvlJc w:val="left"/>
      <w:pPr>
        <w:ind w:left="1350" w:hanging="360"/>
      </w:pPr>
      <w:rPr>
        <w:rFonts w:ascii="Courier New" w:hAnsi="Courier New" w:cs="Courier New" w:hint="default"/>
      </w:rPr>
    </w:lvl>
    <w:lvl w:ilvl="2" w:tplc="E5E41238" w:tentative="1">
      <w:start w:val="1"/>
      <w:numFmt w:val="bullet"/>
      <w:lvlText w:val=""/>
      <w:lvlJc w:val="left"/>
      <w:pPr>
        <w:ind w:left="2070" w:hanging="360"/>
      </w:pPr>
      <w:rPr>
        <w:rFonts w:ascii="Wingdings" w:hAnsi="Wingdings" w:hint="default"/>
      </w:rPr>
    </w:lvl>
    <w:lvl w:ilvl="3" w:tplc="5E8C79A0" w:tentative="1">
      <w:start w:val="1"/>
      <w:numFmt w:val="bullet"/>
      <w:lvlText w:val=""/>
      <w:lvlJc w:val="left"/>
      <w:pPr>
        <w:ind w:left="2790" w:hanging="360"/>
      </w:pPr>
      <w:rPr>
        <w:rFonts w:ascii="Symbol" w:hAnsi="Symbol" w:hint="default"/>
      </w:rPr>
    </w:lvl>
    <w:lvl w:ilvl="4" w:tplc="66E25D3E" w:tentative="1">
      <w:start w:val="1"/>
      <w:numFmt w:val="bullet"/>
      <w:lvlText w:val="o"/>
      <w:lvlJc w:val="left"/>
      <w:pPr>
        <w:ind w:left="3510" w:hanging="360"/>
      </w:pPr>
      <w:rPr>
        <w:rFonts w:ascii="Courier New" w:hAnsi="Courier New" w:cs="Courier New" w:hint="default"/>
      </w:rPr>
    </w:lvl>
    <w:lvl w:ilvl="5" w:tplc="97E0F93A" w:tentative="1">
      <w:start w:val="1"/>
      <w:numFmt w:val="bullet"/>
      <w:lvlText w:val=""/>
      <w:lvlJc w:val="left"/>
      <w:pPr>
        <w:ind w:left="4230" w:hanging="360"/>
      </w:pPr>
      <w:rPr>
        <w:rFonts w:ascii="Wingdings" w:hAnsi="Wingdings" w:hint="default"/>
      </w:rPr>
    </w:lvl>
    <w:lvl w:ilvl="6" w:tplc="E97E24F6" w:tentative="1">
      <w:start w:val="1"/>
      <w:numFmt w:val="bullet"/>
      <w:lvlText w:val=""/>
      <w:lvlJc w:val="left"/>
      <w:pPr>
        <w:ind w:left="4950" w:hanging="360"/>
      </w:pPr>
      <w:rPr>
        <w:rFonts w:ascii="Symbol" w:hAnsi="Symbol" w:hint="default"/>
      </w:rPr>
    </w:lvl>
    <w:lvl w:ilvl="7" w:tplc="3A10E828" w:tentative="1">
      <w:start w:val="1"/>
      <w:numFmt w:val="bullet"/>
      <w:lvlText w:val="o"/>
      <w:lvlJc w:val="left"/>
      <w:pPr>
        <w:ind w:left="5670" w:hanging="360"/>
      </w:pPr>
      <w:rPr>
        <w:rFonts w:ascii="Courier New" w:hAnsi="Courier New" w:cs="Courier New" w:hint="default"/>
      </w:rPr>
    </w:lvl>
    <w:lvl w:ilvl="8" w:tplc="C444DA92" w:tentative="1">
      <w:start w:val="1"/>
      <w:numFmt w:val="bullet"/>
      <w:lvlText w:val=""/>
      <w:lvlJc w:val="left"/>
      <w:pPr>
        <w:ind w:left="6390" w:hanging="360"/>
      </w:pPr>
      <w:rPr>
        <w:rFonts w:ascii="Wingdings" w:hAnsi="Wingdings" w:hint="default"/>
      </w:rPr>
    </w:lvl>
  </w:abstractNum>
  <w:abstractNum w:abstractNumId="27" w15:restartNumberingAfterBreak="0">
    <w:nsid w:val="41DF37E8"/>
    <w:multiLevelType w:val="hybridMultilevel"/>
    <w:tmpl w:val="029C9986"/>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8" w15:restartNumberingAfterBreak="0">
    <w:nsid w:val="4D5F00DF"/>
    <w:multiLevelType w:val="hybridMultilevel"/>
    <w:tmpl w:val="6B02A426"/>
    <w:lvl w:ilvl="0" w:tplc="C80AC580">
      <w:start w:val="1"/>
      <w:numFmt w:val="lowerLetter"/>
      <w:lvlText w:val="%1."/>
      <w:lvlJc w:val="left"/>
      <w:pPr>
        <w:ind w:left="609" w:hanging="360"/>
      </w:pPr>
      <w:rPr>
        <w:rFonts w:hint="default"/>
      </w:rPr>
    </w:lvl>
    <w:lvl w:ilvl="1" w:tplc="04090019" w:tentative="1">
      <w:start w:val="1"/>
      <w:numFmt w:val="lowerLetter"/>
      <w:lvlText w:val="%2."/>
      <w:lvlJc w:val="left"/>
      <w:pPr>
        <w:ind w:left="1329" w:hanging="360"/>
      </w:pPr>
    </w:lvl>
    <w:lvl w:ilvl="2" w:tplc="0409001B" w:tentative="1">
      <w:start w:val="1"/>
      <w:numFmt w:val="lowerRoman"/>
      <w:lvlText w:val="%3."/>
      <w:lvlJc w:val="right"/>
      <w:pPr>
        <w:ind w:left="2049" w:hanging="180"/>
      </w:pPr>
    </w:lvl>
    <w:lvl w:ilvl="3" w:tplc="0409000F" w:tentative="1">
      <w:start w:val="1"/>
      <w:numFmt w:val="decimal"/>
      <w:lvlText w:val="%4."/>
      <w:lvlJc w:val="left"/>
      <w:pPr>
        <w:ind w:left="2769" w:hanging="360"/>
      </w:pPr>
    </w:lvl>
    <w:lvl w:ilvl="4" w:tplc="04090019" w:tentative="1">
      <w:start w:val="1"/>
      <w:numFmt w:val="lowerLetter"/>
      <w:lvlText w:val="%5."/>
      <w:lvlJc w:val="left"/>
      <w:pPr>
        <w:ind w:left="3489" w:hanging="360"/>
      </w:pPr>
    </w:lvl>
    <w:lvl w:ilvl="5" w:tplc="0409001B" w:tentative="1">
      <w:start w:val="1"/>
      <w:numFmt w:val="lowerRoman"/>
      <w:lvlText w:val="%6."/>
      <w:lvlJc w:val="right"/>
      <w:pPr>
        <w:ind w:left="4209" w:hanging="180"/>
      </w:pPr>
    </w:lvl>
    <w:lvl w:ilvl="6" w:tplc="0409000F" w:tentative="1">
      <w:start w:val="1"/>
      <w:numFmt w:val="decimal"/>
      <w:lvlText w:val="%7."/>
      <w:lvlJc w:val="left"/>
      <w:pPr>
        <w:ind w:left="4929" w:hanging="360"/>
      </w:pPr>
    </w:lvl>
    <w:lvl w:ilvl="7" w:tplc="04090019" w:tentative="1">
      <w:start w:val="1"/>
      <w:numFmt w:val="lowerLetter"/>
      <w:lvlText w:val="%8."/>
      <w:lvlJc w:val="left"/>
      <w:pPr>
        <w:ind w:left="5649" w:hanging="360"/>
      </w:pPr>
    </w:lvl>
    <w:lvl w:ilvl="8" w:tplc="0409001B" w:tentative="1">
      <w:start w:val="1"/>
      <w:numFmt w:val="lowerRoman"/>
      <w:lvlText w:val="%9."/>
      <w:lvlJc w:val="right"/>
      <w:pPr>
        <w:ind w:left="6369" w:hanging="180"/>
      </w:pPr>
    </w:lvl>
  </w:abstractNum>
  <w:abstractNum w:abstractNumId="29" w15:restartNumberingAfterBreak="0">
    <w:nsid w:val="4F8D0F2F"/>
    <w:multiLevelType w:val="hybridMultilevel"/>
    <w:tmpl w:val="039829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BD7675"/>
    <w:multiLevelType w:val="hybridMultilevel"/>
    <w:tmpl w:val="E340A1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A0026"/>
    <w:multiLevelType w:val="hybridMultilevel"/>
    <w:tmpl w:val="C5FCE668"/>
    <w:lvl w:ilvl="0" w:tplc="BAACCFE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BF1BB7"/>
    <w:multiLevelType w:val="hybridMultilevel"/>
    <w:tmpl w:val="EBDE4FB8"/>
    <w:lvl w:ilvl="0" w:tplc="461CF2EC">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15:restartNumberingAfterBreak="0">
    <w:nsid w:val="56233CFC"/>
    <w:multiLevelType w:val="hybridMultilevel"/>
    <w:tmpl w:val="A0F2F9EE"/>
    <w:lvl w:ilvl="0" w:tplc="04090001">
      <w:start w:val="1"/>
      <w:numFmt w:val="bullet"/>
      <w:lvlText w:val=""/>
      <w:lvlJc w:val="left"/>
      <w:pPr>
        <w:ind w:left="720" w:hanging="360"/>
      </w:pPr>
      <w:rPr>
        <w:rFonts w:ascii="Symbol" w:hAnsi="Symbol" w:hint="default"/>
        <w:b w:val="0"/>
        <w:i w:val="0"/>
        <w:sz w:val="22"/>
        <w:szCs w:val="22"/>
      </w:rPr>
    </w:lvl>
    <w:lvl w:ilvl="1" w:tplc="D7B6FD52">
      <w:start w:val="1"/>
      <w:numFmt w:val="lowerLetter"/>
      <w:lvlText w:val="%2."/>
      <w:lvlJc w:val="left"/>
      <w:pPr>
        <w:ind w:left="1440" w:hanging="360"/>
      </w:pPr>
    </w:lvl>
    <w:lvl w:ilvl="2" w:tplc="FF0AEE86" w:tentative="1">
      <w:start w:val="1"/>
      <w:numFmt w:val="lowerRoman"/>
      <w:lvlText w:val="%3."/>
      <w:lvlJc w:val="right"/>
      <w:pPr>
        <w:ind w:left="2160" w:hanging="180"/>
      </w:pPr>
    </w:lvl>
    <w:lvl w:ilvl="3" w:tplc="3AB8303E" w:tentative="1">
      <w:start w:val="1"/>
      <w:numFmt w:val="decimal"/>
      <w:lvlText w:val="%4."/>
      <w:lvlJc w:val="left"/>
      <w:pPr>
        <w:ind w:left="2880" w:hanging="360"/>
      </w:pPr>
    </w:lvl>
    <w:lvl w:ilvl="4" w:tplc="1F602094" w:tentative="1">
      <w:start w:val="1"/>
      <w:numFmt w:val="lowerLetter"/>
      <w:lvlText w:val="%5."/>
      <w:lvlJc w:val="left"/>
      <w:pPr>
        <w:ind w:left="3600" w:hanging="360"/>
      </w:pPr>
    </w:lvl>
    <w:lvl w:ilvl="5" w:tplc="5760955A" w:tentative="1">
      <w:start w:val="1"/>
      <w:numFmt w:val="lowerRoman"/>
      <w:lvlText w:val="%6."/>
      <w:lvlJc w:val="right"/>
      <w:pPr>
        <w:ind w:left="4320" w:hanging="180"/>
      </w:pPr>
    </w:lvl>
    <w:lvl w:ilvl="6" w:tplc="3DECF038" w:tentative="1">
      <w:start w:val="1"/>
      <w:numFmt w:val="decimal"/>
      <w:lvlText w:val="%7."/>
      <w:lvlJc w:val="left"/>
      <w:pPr>
        <w:ind w:left="5040" w:hanging="360"/>
      </w:pPr>
    </w:lvl>
    <w:lvl w:ilvl="7" w:tplc="36BC17D8" w:tentative="1">
      <w:start w:val="1"/>
      <w:numFmt w:val="lowerLetter"/>
      <w:lvlText w:val="%8."/>
      <w:lvlJc w:val="left"/>
      <w:pPr>
        <w:ind w:left="5760" w:hanging="360"/>
      </w:pPr>
    </w:lvl>
    <w:lvl w:ilvl="8" w:tplc="248088BA" w:tentative="1">
      <w:start w:val="1"/>
      <w:numFmt w:val="lowerRoman"/>
      <w:lvlText w:val="%9."/>
      <w:lvlJc w:val="right"/>
      <w:pPr>
        <w:ind w:left="6480" w:hanging="180"/>
      </w:pPr>
    </w:lvl>
  </w:abstractNum>
  <w:abstractNum w:abstractNumId="34" w15:restartNumberingAfterBreak="0">
    <w:nsid w:val="584A617F"/>
    <w:multiLevelType w:val="hybridMultilevel"/>
    <w:tmpl w:val="0166FB32"/>
    <w:lvl w:ilvl="0" w:tplc="CD56E6CE">
      <w:start w:val="1"/>
      <w:numFmt w:val="upperRoman"/>
      <w:lvlText w:val="%1."/>
      <w:lvlJc w:val="left"/>
      <w:pPr>
        <w:ind w:left="720" w:hanging="720"/>
      </w:pPr>
      <w:rPr>
        <w:rFonts w:asciiTheme="minorHAnsi" w:hAnsiTheme="minorHAnsi" w:hint="default"/>
        <w:b/>
        <w:sz w:val="23"/>
        <w:szCs w:val="23"/>
      </w:rPr>
    </w:lvl>
    <w:lvl w:ilvl="1" w:tplc="19F0819E" w:tentative="1">
      <w:start w:val="1"/>
      <w:numFmt w:val="lowerLetter"/>
      <w:lvlText w:val="%2."/>
      <w:lvlJc w:val="left"/>
      <w:pPr>
        <w:ind w:left="1080" w:hanging="360"/>
      </w:pPr>
    </w:lvl>
    <w:lvl w:ilvl="2" w:tplc="ECD4FFCE" w:tentative="1">
      <w:start w:val="1"/>
      <w:numFmt w:val="lowerRoman"/>
      <w:lvlText w:val="%3."/>
      <w:lvlJc w:val="right"/>
      <w:pPr>
        <w:ind w:left="1800" w:hanging="180"/>
      </w:pPr>
    </w:lvl>
    <w:lvl w:ilvl="3" w:tplc="2F40F4F6" w:tentative="1">
      <w:start w:val="1"/>
      <w:numFmt w:val="decimal"/>
      <w:lvlText w:val="%4."/>
      <w:lvlJc w:val="left"/>
      <w:pPr>
        <w:ind w:left="2520" w:hanging="360"/>
      </w:pPr>
    </w:lvl>
    <w:lvl w:ilvl="4" w:tplc="174ABD96" w:tentative="1">
      <w:start w:val="1"/>
      <w:numFmt w:val="lowerLetter"/>
      <w:lvlText w:val="%5."/>
      <w:lvlJc w:val="left"/>
      <w:pPr>
        <w:ind w:left="3240" w:hanging="360"/>
      </w:pPr>
    </w:lvl>
    <w:lvl w:ilvl="5" w:tplc="C6844EAC" w:tentative="1">
      <w:start w:val="1"/>
      <w:numFmt w:val="lowerRoman"/>
      <w:lvlText w:val="%6."/>
      <w:lvlJc w:val="right"/>
      <w:pPr>
        <w:ind w:left="3960" w:hanging="180"/>
      </w:pPr>
    </w:lvl>
    <w:lvl w:ilvl="6" w:tplc="87B8418C" w:tentative="1">
      <w:start w:val="1"/>
      <w:numFmt w:val="decimal"/>
      <w:lvlText w:val="%7."/>
      <w:lvlJc w:val="left"/>
      <w:pPr>
        <w:ind w:left="4680" w:hanging="360"/>
      </w:pPr>
    </w:lvl>
    <w:lvl w:ilvl="7" w:tplc="F6781320" w:tentative="1">
      <w:start w:val="1"/>
      <w:numFmt w:val="lowerLetter"/>
      <w:lvlText w:val="%8."/>
      <w:lvlJc w:val="left"/>
      <w:pPr>
        <w:ind w:left="5400" w:hanging="360"/>
      </w:pPr>
    </w:lvl>
    <w:lvl w:ilvl="8" w:tplc="351A6DDE" w:tentative="1">
      <w:start w:val="1"/>
      <w:numFmt w:val="lowerRoman"/>
      <w:lvlText w:val="%9."/>
      <w:lvlJc w:val="right"/>
      <w:pPr>
        <w:ind w:left="6120" w:hanging="180"/>
      </w:pPr>
    </w:lvl>
  </w:abstractNum>
  <w:abstractNum w:abstractNumId="35" w15:restartNumberingAfterBreak="0">
    <w:nsid w:val="5B3A0C16"/>
    <w:multiLevelType w:val="hybridMultilevel"/>
    <w:tmpl w:val="AE3821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180959"/>
    <w:multiLevelType w:val="hybridMultilevel"/>
    <w:tmpl w:val="5F6660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D97122"/>
    <w:multiLevelType w:val="hybridMultilevel"/>
    <w:tmpl w:val="B68C9042"/>
    <w:lvl w:ilvl="0" w:tplc="E0500B5A">
      <w:start w:val="1"/>
      <w:numFmt w:val="upperLetter"/>
      <w:lvlText w:val="%1."/>
      <w:lvlJc w:val="left"/>
      <w:pPr>
        <w:ind w:left="630" w:hanging="360"/>
      </w:pPr>
      <w:rPr>
        <w:rFonts w:hint="default"/>
        <w:b/>
        <w:bCs w:val="0"/>
        <w:i w:val="0"/>
        <w:i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5F9E08EB"/>
    <w:multiLevelType w:val="hybridMultilevel"/>
    <w:tmpl w:val="7BB20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4311C6"/>
    <w:multiLevelType w:val="hybridMultilevel"/>
    <w:tmpl w:val="0FEE9FAA"/>
    <w:lvl w:ilvl="0" w:tplc="04090001">
      <w:start w:val="1"/>
      <w:numFmt w:val="bullet"/>
      <w:lvlText w:val=""/>
      <w:lvlJc w:val="left"/>
      <w:pPr>
        <w:ind w:left="720" w:hanging="360"/>
      </w:pPr>
      <w:rPr>
        <w:rFonts w:ascii="Symbol" w:hAnsi="Symbol" w:hint="default"/>
        <w:b w:val="0"/>
        <w:i w:val="0"/>
        <w:sz w:val="22"/>
        <w:szCs w:val="22"/>
      </w:rPr>
    </w:lvl>
    <w:lvl w:ilvl="1" w:tplc="D7B6FD52">
      <w:start w:val="1"/>
      <w:numFmt w:val="lowerLetter"/>
      <w:lvlText w:val="%2."/>
      <w:lvlJc w:val="left"/>
      <w:pPr>
        <w:ind w:left="1440" w:hanging="360"/>
      </w:pPr>
    </w:lvl>
    <w:lvl w:ilvl="2" w:tplc="B6FA2D82">
      <w:start w:val="1"/>
      <w:numFmt w:val="lowerLetter"/>
      <w:lvlText w:val="(%3)"/>
      <w:lvlJc w:val="left"/>
      <w:pPr>
        <w:ind w:left="2340" w:hanging="360"/>
      </w:pPr>
      <w:rPr>
        <w:rFonts w:hint="default"/>
      </w:rPr>
    </w:lvl>
    <w:lvl w:ilvl="3" w:tplc="3AB8303E" w:tentative="1">
      <w:start w:val="1"/>
      <w:numFmt w:val="decimal"/>
      <w:lvlText w:val="%4."/>
      <w:lvlJc w:val="left"/>
      <w:pPr>
        <w:ind w:left="2880" w:hanging="360"/>
      </w:pPr>
    </w:lvl>
    <w:lvl w:ilvl="4" w:tplc="1F602094" w:tentative="1">
      <w:start w:val="1"/>
      <w:numFmt w:val="lowerLetter"/>
      <w:lvlText w:val="%5."/>
      <w:lvlJc w:val="left"/>
      <w:pPr>
        <w:ind w:left="3600" w:hanging="360"/>
      </w:pPr>
    </w:lvl>
    <w:lvl w:ilvl="5" w:tplc="5760955A" w:tentative="1">
      <w:start w:val="1"/>
      <w:numFmt w:val="lowerRoman"/>
      <w:lvlText w:val="%6."/>
      <w:lvlJc w:val="right"/>
      <w:pPr>
        <w:ind w:left="4320" w:hanging="180"/>
      </w:pPr>
    </w:lvl>
    <w:lvl w:ilvl="6" w:tplc="3DECF038" w:tentative="1">
      <w:start w:val="1"/>
      <w:numFmt w:val="decimal"/>
      <w:lvlText w:val="%7."/>
      <w:lvlJc w:val="left"/>
      <w:pPr>
        <w:ind w:left="5040" w:hanging="360"/>
      </w:pPr>
    </w:lvl>
    <w:lvl w:ilvl="7" w:tplc="36BC17D8" w:tentative="1">
      <w:start w:val="1"/>
      <w:numFmt w:val="lowerLetter"/>
      <w:lvlText w:val="%8."/>
      <w:lvlJc w:val="left"/>
      <w:pPr>
        <w:ind w:left="5760" w:hanging="360"/>
      </w:pPr>
    </w:lvl>
    <w:lvl w:ilvl="8" w:tplc="248088BA" w:tentative="1">
      <w:start w:val="1"/>
      <w:numFmt w:val="lowerRoman"/>
      <w:lvlText w:val="%9."/>
      <w:lvlJc w:val="right"/>
      <w:pPr>
        <w:ind w:left="6480" w:hanging="180"/>
      </w:pPr>
    </w:lvl>
  </w:abstractNum>
  <w:abstractNum w:abstractNumId="40" w15:restartNumberingAfterBreak="0">
    <w:nsid w:val="6751688C"/>
    <w:multiLevelType w:val="hybridMultilevel"/>
    <w:tmpl w:val="DB5E2A3C"/>
    <w:lvl w:ilvl="0" w:tplc="7FD46734">
      <w:start w:val="1"/>
      <w:numFmt w:val="decimal"/>
      <w:lvlText w:val="%1."/>
      <w:lvlJc w:val="left"/>
      <w:pPr>
        <w:ind w:left="720" w:hanging="360"/>
      </w:pPr>
      <w:rPr>
        <w:rFonts w:asciiTheme="minorHAnsi" w:eastAsiaTheme="minorHAnsi" w:hAnsiTheme="minorHAnsi" w:cstheme="minorHAnsi"/>
        <w:b w:val="0"/>
        <w:bCs/>
        <w:i w:val="0"/>
        <w:iCs w:val="0"/>
        <w:color w:val="auto"/>
        <w:sz w:val="22"/>
        <w:szCs w:val="22"/>
      </w:rPr>
    </w:lvl>
    <w:lvl w:ilvl="1" w:tplc="B254B280">
      <w:start w:val="1"/>
      <w:numFmt w:val="lowerLetter"/>
      <w:lvlText w:val="%2."/>
      <w:lvlJc w:val="left"/>
      <w:pPr>
        <w:ind w:left="1440" w:hanging="360"/>
      </w:pPr>
      <w:rPr>
        <w:b w:val="0"/>
        <w:bCs w:val="0"/>
      </w:rPr>
    </w:lvl>
    <w:lvl w:ilvl="2" w:tplc="ACB4ED46">
      <w:start w:val="1"/>
      <w:numFmt w:val="lowerRoman"/>
      <w:lvlText w:val="%3."/>
      <w:lvlJc w:val="right"/>
      <w:pPr>
        <w:ind w:left="2160" w:hanging="180"/>
      </w:pPr>
    </w:lvl>
    <w:lvl w:ilvl="3" w:tplc="290AF30C" w:tentative="1">
      <w:start w:val="1"/>
      <w:numFmt w:val="decimal"/>
      <w:lvlText w:val="%4."/>
      <w:lvlJc w:val="left"/>
      <w:pPr>
        <w:ind w:left="2880" w:hanging="360"/>
      </w:pPr>
    </w:lvl>
    <w:lvl w:ilvl="4" w:tplc="A8AE9032" w:tentative="1">
      <w:start w:val="1"/>
      <w:numFmt w:val="lowerLetter"/>
      <w:lvlText w:val="%5."/>
      <w:lvlJc w:val="left"/>
      <w:pPr>
        <w:ind w:left="3600" w:hanging="360"/>
      </w:pPr>
    </w:lvl>
    <w:lvl w:ilvl="5" w:tplc="6F1E61F8" w:tentative="1">
      <w:start w:val="1"/>
      <w:numFmt w:val="lowerRoman"/>
      <w:lvlText w:val="%6."/>
      <w:lvlJc w:val="right"/>
      <w:pPr>
        <w:ind w:left="4320" w:hanging="180"/>
      </w:pPr>
    </w:lvl>
    <w:lvl w:ilvl="6" w:tplc="FF142CAA" w:tentative="1">
      <w:start w:val="1"/>
      <w:numFmt w:val="decimal"/>
      <w:lvlText w:val="%7."/>
      <w:lvlJc w:val="left"/>
      <w:pPr>
        <w:ind w:left="5040" w:hanging="360"/>
      </w:pPr>
    </w:lvl>
    <w:lvl w:ilvl="7" w:tplc="D9982650" w:tentative="1">
      <w:start w:val="1"/>
      <w:numFmt w:val="lowerLetter"/>
      <w:lvlText w:val="%8."/>
      <w:lvlJc w:val="left"/>
      <w:pPr>
        <w:ind w:left="5760" w:hanging="360"/>
      </w:pPr>
    </w:lvl>
    <w:lvl w:ilvl="8" w:tplc="141A6A0A" w:tentative="1">
      <w:start w:val="1"/>
      <w:numFmt w:val="lowerRoman"/>
      <w:lvlText w:val="%9."/>
      <w:lvlJc w:val="right"/>
      <w:pPr>
        <w:ind w:left="6480" w:hanging="180"/>
      </w:pPr>
    </w:lvl>
  </w:abstractNum>
  <w:abstractNum w:abstractNumId="41" w15:restartNumberingAfterBreak="0">
    <w:nsid w:val="67713020"/>
    <w:multiLevelType w:val="hybridMultilevel"/>
    <w:tmpl w:val="2FC28610"/>
    <w:lvl w:ilvl="0" w:tplc="622CBD14">
      <w:start w:val="1"/>
      <w:numFmt w:val="lowerLetter"/>
      <w:lvlText w:val="%1."/>
      <w:lvlJc w:val="left"/>
      <w:pPr>
        <w:ind w:left="608" w:hanging="360"/>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42" w15:restartNumberingAfterBreak="0">
    <w:nsid w:val="698C5C2A"/>
    <w:multiLevelType w:val="hybridMultilevel"/>
    <w:tmpl w:val="123A7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312578"/>
    <w:multiLevelType w:val="hybridMultilevel"/>
    <w:tmpl w:val="AD5C47AC"/>
    <w:lvl w:ilvl="0" w:tplc="758E41C6">
      <w:start w:val="1"/>
      <w:numFmt w:val="lowerLetter"/>
      <w:lvlText w:val="%1."/>
      <w:lvlJc w:val="left"/>
      <w:pPr>
        <w:ind w:left="608" w:hanging="360"/>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44" w15:restartNumberingAfterBreak="0">
    <w:nsid w:val="77DB56A9"/>
    <w:multiLevelType w:val="hybridMultilevel"/>
    <w:tmpl w:val="018EF96C"/>
    <w:lvl w:ilvl="0" w:tplc="93A820C0">
      <w:start w:val="1"/>
      <w:numFmt w:val="decimal"/>
      <w:pStyle w:val="MainParanoChapter-Ch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F62624"/>
    <w:multiLevelType w:val="multilevel"/>
    <w:tmpl w:val="073A9284"/>
    <w:styleLink w:val="fichtAuflistung"/>
    <w:lvl w:ilvl="0">
      <w:start w:val="1"/>
      <w:numFmt w:val="lowerLetter"/>
      <w:pStyle w:val="Auflistung"/>
      <w:lvlText w:val="%1)"/>
      <w:lvlJc w:val="left"/>
      <w:pPr>
        <w:tabs>
          <w:tab w:val="num" w:pos="284"/>
        </w:tabs>
        <w:ind w:left="284" w:hanging="284"/>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6" w15:restartNumberingAfterBreak="0">
    <w:nsid w:val="7F7B57A3"/>
    <w:multiLevelType w:val="hybridMultilevel"/>
    <w:tmpl w:val="9348BFD6"/>
    <w:lvl w:ilvl="0" w:tplc="BAACCFE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E30505"/>
    <w:multiLevelType w:val="hybridMultilevel"/>
    <w:tmpl w:val="25E07446"/>
    <w:lvl w:ilvl="0" w:tplc="FFFFFFFF">
      <w:start w:val="1"/>
      <w:numFmt w:val="bullet"/>
      <w:pStyle w:val="Bullet"/>
      <w:lvlText w:val=""/>
      <w:lvlJc w:val="left"/>
      <w:pPr>
        <w:tabs>
          <w:tab w:val="num" w:pos="1440"/>
        </w:tabs>
        <w:ind w:left="1440" w:hanging="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251430674">
    <w:abstractNumId w:val="34"/>
  </w:num>
  <w:num w:numId="2" w16cid:durableId="263077913">
    <w:abstractNumId w:val="7"/>
  </w:num>
  <w:num w:numId="3" w16cid:durableId="1075206945">
    <w:abstractNumId w:val="40"/>
  </w:num>
  <w:num w:numId="4" w16cid:durableId="2016031544">
    <w:abstractNumId w:val="27"/>
  </w:num>
  <w:num w:numId="5" w16cid:durableId="1357586049">
    <w:abstractNumId w:val="10"/>
  </w:num>
  <w:num w:numId="6" w16cid:durableId="1796097990">
    <w:abstractNumId w:val="38"/>
  </w:num>
  <w:num w:numId="7" w16cid:durableId="1432706340">
    <w:abstractNumId w:val="1"/>
  </w:num>
  <w:num w:numId="8" w16cid:durableId="572396080">
    <w:abstractNumId w:val="18"/>
  </w:num>
  <w:num w:numId="9" w16cid:durableId="1619340216">
    <w:abstractNumId w:val="39"/>
  </w:num>
  <w:num w:numId="10" w16cid:durableId="1648900589">
    <w:abstractNumId w:val="24"/>
  </w:num>
  <w:num w:numId="11" w16cid:durableId="1081561676">
    <w:abstractNumId w:val="33"/>
  </w:num>
  <w:num w:numId="12" w16cid:durableId="873887134">
    <w:abstractNumId w:val="12"/>
  </w:num>
  <w:num w:numId="13" w16cid:durableId="343019507">
    <w:abstractNumId w:val="42"/>
  </w:num>
  <w:num w:numId="14" w16cid:durableId="577011276">
    <w:abstractNumId w:val="4"/>
  </w:num>
  <w:num w:numId="15" w16cid:durableId="984044607">
    <w:abstractNumId w:val="31"/>
  </w:num>
  <w:num w:numId="16" w16cid:durableId="105540991">
    <w:abstractNumId w:val="46"/>
  </w:num>
  <w:num w:numId="17" w16cid:durableId="1619141146">
    <w:abstractNumId w:val="0"/>
  </w:num>
  <w:num w:numId="18" w16cid:durableId="1983462156">
    <w:abstractNumId w:val="20"/>
  </w:num>
  <w:num w:numId="19" w16cid:durableId="885724222">
    <w:abstractNumId w:val="47"/>
  </w:num>
  <w:num w:numId="20" w16cid:durableId="417676322">
    <w:abstractNumId w:val="45"/>
  </w:num>
  <w:num w:numId="21" w16cid:durableId="7217705">
    <w:abstractNumId w:val="23"/>
  </w:num>
  <w:num w:numId="22" w16cid:durableId="1084687550">
    <w:abstractNumId w:val="44"/>
  </w:num>
  <w:num w:numId="23" w16cid:durableId="1650282442">
    <w:abstractNumId w:val="11"/>
  </w:num>
  <w:num w:numId="24" w16cid:durableId="1025401016">
    <w:abstractNumId w:val="21"/>
  </w:num>
  <w:num w:numId="25" w16cid:durableId="1316370705">
    <w:abstractNumId w:val="35"/>
  </w:num>
  <w:num w:numId="26" w16cid:durableId="893659099">
    <w:abstractNumId w:val="22"/>
  </w:num>
  <w:num w:numId="27" w16cid:durableId="1058237202">
    <w:abstractNumId w:val="29"/>
  </w:num>
  <w:num w:numId="28" w16cid:durableId="1698579407">
    <w:abstractNumId w:val="32"/>
  </w:num>
  <w:num w:numId="29" w16cid:durableId="1497502001">
    <w:abstractNumId w:val="37"/>
  </w:num>
  <w:num w:numId="30" w16cid:durableId="199169101">
    <w:abstractNumId w:val="3"/>
  </w:num>
  <w:num w:numId="31" w16cid:durableId="1873954912">
    <w:abstractNumId w:val="26"/>
  </w:num>
  <w:num w:numId="32" w16cid:durableId="1924951118">
    <w:abstractNumId w:val="5"/>
  </w:num>
  <w:num w:numId="33" w16cid:durableId="678238057">
    <w:abstractNumId w:val="9"/>
  </w:num>
  <w:num w:numId="34" w16cid:durableId="665133263">
    <w:abstractNumId w:val="41"/>
  </w:num>
  <w:num w:numId="35" w16cid:durableId="1242568486">
    <w:abstractNumId w:val="43"/>
  </w:num>
  <w:num w:numId="36" w16cid:durableId="2017799749">
    <w:abstractNumId w:val="6"/>
  </w:num>
  <w:num w:numId="37" w16cid:durableId="1150637092">
    <w:abstractNumId w:val="25"/>
  </w:num>
  <w:num w:numId="38" w16cid:durableId="1882670224">
    <w:abstractNumId w:val="19"/>
  </w:num>
  <w:num w:numId="39" w16cid:durableId="1555971196">
    <w:abstractNumId w:val="17"/>
  </w:num>
  <w:num w:numId="40" w16cid:durableId="2053265753">
    <w:abstractNumId w:val="14"/>
  </w:num>
  <w:num w:numId="41" w16cid:durableId="227962861">
    <w:abstractNumId w:val="13"/>
  </w:num>
  <w:num w:numId="42" w16cid:durableId="1484852446">
    <w:abstractNumId w:val="30"/>
  </w:num>
  <w:num w:numId="43" w16cid:durableId="658196010">
    <w:abstractNumId w:val="36"/>
  </w:num>
  <w:num w:numId="44" w16cid:durableId="282734973">
    <w:abstractNumId w:val="2"/>
  </w:num>
  <w:num w:numId="45" w16cid:durableId="471211483">
    <w:abstractNumId w:val="16"/>
  </w:num>
  <w:num w:numId="46" w16cid:durableId="794637489">
    <w:abstractNumId w:val="15"/>
  </w:num>
  <w:num w:numId="47" w16cid:durableId="1084375367">
    <w:abstractNumId w:val="28"/>
  </w:num>
  <w:num w:numId="48" w16cid:durableId="1965690485">
    <w:abstractNumId w:val="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5"/>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verpage" w:val="0,1,3,4,5,7,9,10,12,13,15,16"/>
    <w:docVar w:name="docversion" w:val="pforr-af-pp_3.0"/>
    <w:docVar w:name="lastsection" w:val="17"/>
  </w:docVars>
  <w:rsids>
    <w:rsidRoot w:val="001E1BD2"/>
    <w:rsid w:val="00000691"/>
    <w:rsid w:val="00000C17"/>
    <w:rsid w:val="0000233B"/>
    <w:rsid w:val="0000283C"/>
    <w:rsid w:val="00002ABC"/>
    <w:rsid w:val="000046CD"/>
    <w:rsid w:val="00004904"/>
    <w:rsid w:val="00004B73"/>
    <w:rsid w:val="000050A2"/>
    <w:rsid w:val="00005BD8"/>
    <w:rsid w:val="00010A31"/>
    <w:rsid w:val="00010BA2"/>
    <w:rsid w:val="000116DD"/>
    <w:rsid w:val="00011F7C"/>
    <w:rsid w:val="000128D0"/>
    <w:rsid w:val="00012CA3"/>
    <w:rsid w:val="00012E4E"/>
    <w:rsid w:val="00013692"/>
    <w:rsid w:val="000136C7"/>
    <w:rsid w:val="00014F32"/>
    <w:rsid w:val="0001552B"/>
    <w:rsid w:val="00015CCA"/>
    <w:rsid w:val="00017E3F"/>
    <w:rsid w:val="0002019F"/>
    <w:rsid w:val="000204B8"/>
    <w:rsid w:val="000205A3"/>
    <w:rsid w:val="00020664"/>
    <w:rsid w:val="000218E0"/>
    <w:rsid w:val="0002243E"/>
    <w:rsid w:val="00023833"/>
    <w:rsid w:val="0002456A"/>
    <w:rsid w:val="00024801"/>
    <w:rsid w:val="00024DC6"/>
    <w:rsid w:val="0002512C"/>
    <w:rsid w:val="0002586D"/>
    <w:rsid w:val="00026097"/>
    <w:rsid w:val="000276D7"/>
    <w:rsid w:val="00030457"/>
    <w:rsid w:val="00030989"/>
    <w:rsid w:val="000318DC"/>
    <w:rsid w:val="00031F2C"/>
    <w:rsid w:val="0003210C"/>
    <w:rsid w:val="0003231A"/>
    <w:rsid w:val="00032578"/>
    <w:rsid w:val="00032A0C"/>
    <w:rsid w:val="00033AB9"/>
    <w:rsid w:val="00033B9C"/>
    <w:rsid w:val="00033F17"/>
    <w:rsid w:val="00034172"/>
    <w:rsid w:val="00035094"/>
    <w:rsid w:val="000355A3"/>
    <w:rsid w:val="0003599F"/>
    <w:rsid w:val="00035B6F"/>
    <w:rsid w:val="000367E6"/>
    <w:rsid w:val="00036D6A"/>
    <w:rsid w:val="000375B5"/>
    <w:rsid w:val="0003783B"/>
    <w:rsid w:val="00041066"/>
    <w:rsid w:val="000411BF"/>
    <w:rsid w:val="000415E0"/>
    <w:rsid w:val="000422C1"/>
    <w:rsid w:val="00043181"/>
    <w:rsid w:val="00043E2C"/>
    <w:rsid w:val="00043E39"/>
    <w:rsid w:val="00047E11"/>
    <w:rsid w:val="00047E88"/>
    <w:rsid w:val="00050874"/>
    <w:rsid w:val="000509A0"/>
    <w:rsid w:val="000518C5"/>
    <w:rsid w:val="00052E8F"/>
    <w:rsid w:val="000530AF"/>
    <w:rsid w:val="000533BB"/>
    <w:rsid w:val="00053B6C"/>
    <w:rsid w:val="00053C1C"/>
    <w:rsid w:val="00054124"/>
    <w:rsid w:val="00054980"/>
    <w:rsid w:val="000550B1"/>
    <w:rsid w:val="0005529C"/>
    <w:rsid w:val="00055375"/>
    <w:rsid w:val="00055BCF"/>
    <w:rsid w:val="00055D35"/>
    <w:rsid w:val="00056056"/>
    <w:rsid w:val="000560F9"/>
    <w:rsid w:val="00056E62"/>
    <w:rsid w:val="0005705A"/>
    <w:rsid w:val="00057258"/>
    <w:rsid w:val="0005793E"/>
    <w:rsid w:val="00057FC9"/>
    <w:rsid w:val="00060A1F"/>
    <w:rsid w:val="00061265"/>
    <w:rsid w:val="0006139A"/>
    <w:rsid w:val="00061A8A"/>
    <w:rsid w:val="000625EB"/>
    <w:rsid w:val="00062A5D"/>
    <w:rsid w:val="00062A8A"/>
    <w:rsid w:val="0006496B"/>
    <w:rsid w:val="00064FE1"/>
    <w:rsid w:val="000659C8"/>
    <w:rsid w:val="00065DCA"/>
    <w:rsid w:val="00066DBA"/>
    <w:rsid w:val="00067397"/>
    <w:rsid w:val="00070036"/>
    <w:rsid w:val="00070379"/>
    <w:rsid w:val="00070C1D"/>
    <w:rsid w:val="00070D34"/>
    <w:rsid w:val="0007188A"/>
    <w:rsid w:val="00071C42"/>
    <w:rsid w:val="00071D45"/>
    <w:rsid w:val="0007263C"/>
    <w:rsid w:val="00072700"/>
    <w:rsid w:val="000743FB"/>
    <w:rsid w:val="0007464F"/>
    <w:rsid w:val="00074722"/>
    <w:rsid w:val="000749EA"/>
    <w:rsid w:val="00074CEE"/>
    <w:rsid w:val="00075192"/>
    <w:rsid w:val="00075B05"/>
    <w:rsid w:val="0007627D"/>
    <w:rsid w:val="00076D13"/>
    <w:rsid w:val="00077CB0"/>
    <w:rsid w:val="000808D2"/>
    <w:rsid w:val="00080D1B"/>
    <w:rsid w:val="000812C2"/>
    <w:rsid w:val="0008167D"/>
    <w:rsid w:val="00081974"/>
    <w:rsid w:val="00081B6A"/>
    <w:rsid w:val="0008204F"/>
    <w:rsid w:val="00082C55"/>
    <w:rsid w:val="00082E2B"/>
    <w:rsid w:val="00083D60"/>
    <w:rsid w:val="0008417F"/>
    <w:rsid w:val="00084260"/>
    <w:rsid w:val="000847BD"/>
    <w:rsid w:val="00084802"/>
    <w:rsid w:val="00084C72"/>
    <w:rsid w:val="00084F89"/>
    <w:rsid w:val="000851D3"/>
    <w:rsid w:val="000854F2"/>
    <w:rsid w:val="00085D06"/>
    <w:rsid w:val="00086A1D"/>
    <w:rsid w:val="00087048"/>
    <w:rsid w:val="000875BD"/>
    <w:rsid w:val="000905B3"/>
    <w:rsid w:val="00090ED3"/>
    <w:rsid w:val="0009161E"/>
    <w:rsid w:val="000921B1"/>
    <w:rsid w:val="000925F2"/>
    <w:rsid w:val="00093BF1"/>
    <w:rsid w:val="000943AE"/>
    <w:rsid w:val="00094621"/>
    <w:rsid w:val="00094893"/>
    <w:rsid w:val="000951EC"/>
    <w:rsid w:val="00095835"/>
    <w:rsid w:val="00095CCA"/>
    <w:rsid w:val="0009604F"/>
    <w:rsid w:val="00096080"/>
    <w:rsid w:val="00096C1C"/>
    <w:rsid w:val="00097115"/>
    <w:rsid w:val="00097D40"/>
    <w:rsid w:val="00097E7A"/>
    <w:rsid w:val="000A051B"/>
    <w:rsid w:val="000A0719"/>
    <w:rsid w:val="000A0A74"/>
    <w:rsid w:val="000A0AAC"/>
    <w:rsid w:val="000A0D60"/>
    <w:rsid w:val="000A1788"/>
    <w:rsid w:val="000A1E51"/>
    <w:rsid w:val="000A1F1E"/>
    <w:rsid w:val="000A21D4"/>
    <w:rsid w:val="000A33C9"/>
    <w:rsid w:val="000A3DBB"/>
    <w:rsid w:val="000A4236"/>
    <w:rsid w:val="000A43C8"/>
    <w:rsid w:val="000A49A8"/>
    <w:rsid w:val="000A51BA"/>
    <w:rsid w:val="000A74E1"/>
    <w:rsid w:val="000A763F"/>
    <w:rsid w:val="000B028F"/>
    <w:rsid w:val="000B0753"/>
    <w:rsid w:val="000B1BE3"/>
    <w:rsid w:val="000B27BB"/>
    <w:rsid w:val="000B3092"/>
    <w:rsid w:val="000B3761"/>
    <w:rsid w:val="000B3797"/>
    <w:rsid w:val="000B39C1"/>
    <w:rsid w:val="000B3A19"/>
    <w:rsid w:val="000B428F"/>
    <w:rsid w:val="000B4320"/>
    <w:rsid w:val="000B5063"/>
    <w:rsid w:val="000B56AD"/>
    <w:rsid w:val="000B5C48"/>
    <w:rsid w:val="000B6841"/>
    <w:rsid w:val="000B73ED"/>
    <w:rsid w:val="000B78C3"/>
    <w:rsid w:val="000B7E1C"/>
    <w:rsid w:val="000C0228"/>
    <w:rsid w:val="000C12E3"/>
    <w:rsid w:val="000C15B4"/>
    <w:rsid w:val="000C2E0B"/>
    <w:rsid w:val="000C4FEF"/>
    <w:rsid w:val="000C596D"/>
    <w:rsid w:val="000C6AE5"/>
    <w:rsid w:val="000C7139"/>
    <w:rsid w:val="000C7BD9"/>
    <w:rsid w:val="000C7D20"/>
    <w:rsid w:val="000D0C2E"/>
    <w:rsid w:val="000D14F7"/>
    <w:rsid w:val="000D19AA"/>
    <w:rsid w:val="000D1CB2"/>
    <w:rsid w:val="000D2C33"/>
    <w:rsid w:val="000D4420"/>
    <w:rsid w:val="000D5E8C"/>
    <w:rsid w:val="000D6192"/>
    <w:rsid w:val="000D6B56"/>
    <w:rsid w:val="000D7705"/>
    <w:rsid w:val="000E033D"/>
    <w:rsid w:val="000E04B0"/>
    <w:rsid w:val="000E1D26"/>
    <w:rsid w:val="000E39EE"/>
    <w:rsid w:val="000E4FED"/>
    <w:rsid w:val="000E5211"/>
    <w:rsid w:val="000E5C38"/>
    <w:rsid w:val="000E5EDD"/>
    <w:rsid w:val="000E6566"/>
    <w:rsid w:val="000E66B1"/>
    <w:rsid w:val="000E778D"/>
    <w:rsid w:val="000E7E00"/>
    <w:rsid w:val="000F0218"/>
    <w:rsid w:val="000F0497"/>
    <w:rsid w:val="000F05C5"/>
    <w:rsid w:val="000F0736"/>
    <w:rsid w:val="000F0945"/>
    <w:rsid w:val="000F0C09"/>
    <w:rsid w:val="000F11B1"/>
    <w:rsid w:val="000F19B2"/>
    <w:rsid w:val="000F1C76"/>
    <w:rsid w:val="000F2B7A"/>
    <w:rsid w:val="000F2D49"/>
    <w:rsid w:val="000F3BB5"/>
    <w:rsid w:val="000F45DB"/>
    <w:rsid w:val="000F5224"/>
    <w:rsid w:val="000F5A47"/>
    <w:rsid w:val="000F5FE0"/>
    <w:rsid w:val="000F6737"/>
    <w:rsid w:val="000F6990"/>
    <w:rsid w:val="000F6D1A"/>
    <w:rsid w:val="000F7452"/>
    <w:rsid w:val="000F77D2"/>
    <w:rsid w:val="000F7C68"/>
    <w:rsid w:val="001011BB"/>
    <w:rsid w:val="001020C6"/>
    <w:rsid w:val="001030B5"/>
    <w:rsid w:val="00103C8E"/>
    <w:rsid w:val="00103D5B"/>
    <w:rsid w:val="00104468"/>
    <w:rsid w:val="00104EB4"/>
    <w:rsid w:val="00104F9D"/>
    <w:rsid w:val="00105716"/>
    <w:rsid w:val="00105ADC"/>
    <w:rsid w:val="00105FB8"/>
    <w:rsid w:val="00106144"/>
    <w:rsid w:val="001065DE"/>
    <w:rsid w:val="00106A51"/>
    <w:rsid w:val="00106AE9"/>
    <w:rsid w:val="00106F3A"/>
    <w:rsid w:val="001071A2"/>
    <w:rsid w:val="00107250"/>
    <w:rsid w:val="001100E5"/>
    <w:rsid w:val="00110255"/>
    <w:rsid w:val="00110941"/>
    <w:rsid w:val="00111AA7"/>
    <w:rsid w:val="00111C5A"/>
    <w:rsid w:val="00114747"/>
    <w:rsid w:val="00115138"/>
    <w:rsid w:val="00115400"/>
    <w:rsid w:val="00115C15"/>
    <w:rsid w:val="00116CDF"/>
    <w:rsid w:val="00120070"/>
    <w:rsid w:val="0012030C"/>
    <w:rsid w:val="0012093E"/>
    <w:rsid w:val="0012124C"/>
    <w:rsid w:val="00121529"/>
    <w:rsid w:val="00121BF4"/>
    <w:rsid w:val="001220EA"/>
    <w:rsid w:val="001221C8"/>
    <w:rsid w:val="00123D41"/>
    <w:rsid w:val="00123EEE"/>
    <w:rsid w:val="00125A6E"/>
    <w:rsid w:val="00125C85"/>
    <w:rsid w:val="00125E06"/>
    <w:rsid w:val="001268A1"/>
    <w:rsid w:val="00126A39"/>
    <w:rsid w:val="00126B7A"/>
    <w:rsid w:val="00126FE6"/>
    <w:rsid w:val="00127026"/>
    <w:rsid w:val="00127C59"/>
    <w:rsid w:val="001309FB"/>
    <w:rsid w:val="0013119C"/>
    <w:rsid w:val="001319F6"/>
    <w:rsid w:val="00131A08"/>
    <w:rsid w:val="00131ACE"/>
    <w:rsid w:val="001326CB"/>
    <w:rsid w:val="001330F5"/>
    <w:rsid w:val="00133917"/>
    <w:rsid w:val="00133C13"/>
    <w:rsid w:val="00133DF2"/>
    <w:rsid w:val="00134D76"/>
    <w:rsid w:val="00134E40"/>
    <w:rsid w:val="00134FAE"/>
    <w:rsid w:val="001350D8"/>
    <w:rsid w:val="001353D0"/>
    <w:rsid w:val="00136A26"/>
    <w:rsid w:val="00137772"/>
    <w:rsid w:val="0014076C"/>
    <w:rsid w:val="001409AD"/>
    <w:rsid w:val="00141EDF"/>
    <w:rsid w:val="00142AFD"/>
    <w:rsid w:val="0014326D"/>
    <w:rsid w:val="00143BDA"/>
    <w:rsid w:val="0014413E"/>
    <w:rsid w:val="00144483"/>
    <w:rsid w:val="0014525E"/>
    <w:rsid w:val="00145FE1"/>
    <w:rsid w:val="00146311"/>
    <w:rsid w:val="00146860"/>
    <w:rsid w:val="00146BFA"/>
    <w:rsid w:val="00146E45"/>
    <w:rsid w:val="00146E89"/>
    <w:rsid w:val="00147001"/>
    <w:rsid w:val="001474E6"/>
    <w:rsid w:val="001503E9"/>
    <w:rsid w:val="00150FED"/>
    <w:rsid w:val="00151165"/>
    <w:rsid w:val="00151563"/>
    <w:rsid w:val="00151E4A"/>
    <w:rsid w:val="00151F90"/>
    <w:rsid w:val="00152030"/>
    <w:rsid w:val="001522EC"/>
    <w:rsid w:val="0015353E"/>
    <w:rsid w:val="00153975"/>
    <w:rsid w:val="00153FF3"/>
    <w:rsid w:val="001540DE"/>
    <w:rsid w:val="0015425C"/>
    <w:rsid w:val="00154C44"/>
    <w:rsid w:val="00154D06"/>
    <w:rsid w:val="00155000"/>
    <w:rsid w:val="0015592A"/>
    <w:rsid w:val="00156026"/>
    <w:rsid w:val="001561FC"/>
    <w:rsid w:val="001562E9"/>
    <w:rsid w:val="00156563"/>
    <w:rsid w:val="001566A9"/>
    <w:rsid w:val="00157F35"/>
    <w:rsid w:val="001605EE"/>
    <w:rsid w:val="00160CDD"/>
    <w:rsid w:val="001613C8"/>
    <w:rsid w:val="001616B9"/>
    <w:rsid w:val="001642DC"/>
    <w:rsid w:val="00164336"/>
    <w:rsid w:val="00164CC4"/>
    <w:rsid w:val="00164F30"/>
    <w:rsid w:val="00164FFE"/>
    <w:rsid w:val="00165647"/>
    <w:rsid w:val="0016597B"/>
    <w:rsid w:val="00165D08"/>
    <w:rsid w:val="00165F90"/>
    <w:rsid w:val="00166599"/>
    <w:rsid w:val="00166CEE"/>
    <w:rsid w:val="00166E79"/>
    <w:rsid w:val="001673D2"/>
    <w:rsid w:val="00167505"/>
    <w:rsid w:val="00167A85"/>
    <w:rsid w:val="001702C0"/>
    <w:rsid w:val="00170402"/>
    <w:rsid w:val="001712A3"/>
    <w:rsid w:val="0017248D"/>
    <w:rsid w:val="00172E48"/>
    <w:rsid w:val="001734B1"/>
    <w:rsid w:val="001736B0"/>
    <w:rsid w:val="00173775"/>
    <w:rsid w:val="001739F1"/>
    <w:rsid w:val="00173EA1"/>
    <w:rsid w:val="00174240"/>
    <w:rsid w:val="001758EC"/>
    <w:rsid w:val="00175BFB"/>
    <w:rsid w:val="00176B7D"/>
    <w:rsid w:val="0017707A"/>
    <w:rsid w:val="0017730F"/>
    <w:rsid w:val="001776B9"/>
    <w:rsid w:val="001778DC"/>
    <w:rsid w:val="00180234"/>
    <w:rsid w:val="00180309"/>
    <w:rsid w:val="00180846"/>
    <w:rsid w:val="00180849"/>
    <w:rsid w:val="00180AF8"/>
    <w:rsid w:val="001828B9"/>
    <w:rsid w:val="0018335E"/>
    <w:rsid w:val="001833AC"/>
    <w:rsid w:val="00184846"/>
    <w:rsid w:val="00185154"/>
    <w:rsid w:val="001852D0"/>
    <w:rsid w:val="00185B97"/>
    <w:rsid w:val="00185BA0"/>
    <w:rsid w:val="001861E2"/>
    <w:rsid w:val="00186225"/>
    <w:rsid w:val="00186296"/>
    <w:rsid w:val="00186E7F"/>
    <w:rsid w:val="00186FD9"/>
    <w:rsid w:val="0018767B"/>
    <w:rsid w:val="00187F87"/>
    <w:rsid w:val="00190504"/>
    <w:rsid w:val="00190F78"/>
    <w:rsid w:val="00191AFE"/>
    <w:rsid w:val="00192099"/>
    <w:rsid w:val="001925C9"/>
    <w:rsid w:val="0019305E"/>
    <w:rsid w:val="00193DD9"/>
    <w:rsid w:val="001949DA"/>
    <w:rsid w:val="00194C58"/>
    <w:rsid w:val="00195066"/>
    <w:rsid w:val="00195B93"/>
    <w:rsid w:val="00196243"/>
    <w:rsid w:val="0019625C"/>
    <w:rsid w:val="0019635D"/>
    <w:rsid w:val="001966C5"/>
    <w:rsid w:val="0019675C"/>
    <w:rsid w:val="00197500"/>
    <w:rsid w:val="001A076A"/>
    <w:rsid w:val="001A0FDA"/>
    <w:rsid w:val="001A10E7"/>
    <w:rsid w:val="001A11FF"/>
    <w:rsid w:val="001A1E1B"/>
    <w:rsid w:val="001A2056"/>
    <w:rsid w:val="001A2C95"/>
    <w:rsid w:val="001A3028"/>
    <w:rsid w:val="001A307E"/>
    <w:rsid w:val="001A34A8"/>
    <w:rsid w:val="001A4E28"/>
    <w:rsid w:val="001A6D35"/>
    <w:rsid w:val="001A701C"/>
    <w:rsid w:val="001A749A"/>
    <w:rsid w:val="001A761C"/>
    <w:rsid w:val="001A7D25"/>
    <w:rsid w:val="001B17EA"/>
    <w:rsid w:val="001B1DB3"/>
    <w:rsid w:val="001B1FFD"/>
    <w:rsid w:val="001B2406"/>
    <w:rsid w:val="001B280E"/>
    <w:rsid w:val="001B286F"/>
    <w:rsid w:val="001B3043"/>
    <w:rsid w:val="001B3655"/>
    <w:rsid w:val="001B3D1C"/>
    <w:rsid w:val="001B3ECE"/>
    <w:rsid w:val="001B4396"/>
    <w:rsid w:val="001B4462"/>
    <w:rsid w:val="001B4F89"/>
    <w:rsid w:val="001B5209"/>
    <w:rsid w:val="001B5B41"/>
    <w:rsid w:val="001B6CF0"/>
    <w:rsid w:val="001B7565"/>
    <w:rsid w:val="001B79CD"/>
    <w:rsid w:val="001B7D36"/>
    <w:rsid w:val="001C0F88"/>
    <w:rsid w:val="001C11B6"/>
    <w:rsid w:val="001C1EE8"/>
    <w:rsid w:val="001C23A9"/>
    <w:rsid w:val="001C2997"/>
    <w:rsid w:val="001C2DE4"/>
    <w:rsid w:val="001C4803"/>
    <w:rsid w:val="001C49E2"/>
    <w:rsid w:val="001C54E9"/>
    <w:rsid w:val="001C61AC"/>
    <w:rsid w:val="001C6889"/>
    <w:rsid w:val="001C6E13"/>
    <w:rsid w:val="001C7987"/>
    <w:rsid w:val="001D057E"/>
    <w:rsid w:val="001D0D6F"/>
    <w:rsid w:val="001D0FBD"/>
    <w:rsid w:val="001D11B1"/>
    <w:rsid w:val="001D12D7"/>
    <w:rsid w:val="001D2158"/>
    <w:rsid w:val="001D2194"/>
    <w:rsid w:val="001D24C0"/>
    <w:rsid w:val="001D2733"/>
    <w:rsid w:val="001D2776"/>
    <w:rsid w:val="001D2E49"/>
    <w:rsid w:val="001D30D6"/>
    <w:rsid w:val="001D36F0"/>
    <w:rsid w:val="001D3834"/>
    <w:rsid w:val="001D41DE"/>
    <w:rsid w:val="001D443F"/>
    <w:rsid w:val="001D4D11"/>
    <w:rsid w:val="001D5E14"/>
    <w:rsid w:val="001D60E0"/>
    <w:rsid w:val="001D68B2"/>
    <w:rsid w:val="001D6FE8"/>
    <w:rsid w:val="001D797E"/>
    <w:rsid w:val="001E0103"/>
    <w:rsid w:val="001E0E25"/>
    <w:rsid w:val="001E1925"/>
    <w:rsid w:val="001E1BD2"/>
    <w:rsid w:val="001E3155"/>
    <w:rsid w:val="001E3449"/>
    <w:rsid w:val="001E3BB9"/>
    <w:rsid w:val="001E3DFE"/>
    <w:rsid w:val="001E3F05"/>
    <w:rsid w:val="001E4121"/>
    <w:rsid w:val="001E4CB6"/>
    <w:rsid w:val="001E50A1"/>
    <w:rsid w:val="001E539D"/>
    <w:rsid w:val="001E57E4"/>
    <w:rsid w:val="001E5C30"/>
    <w:rsid w:val="001E60DD"/>
    <w:rsid w:val="001E6892"/>
    <w:rsid w:val="001E6C6E"/>
    <w:rsid w:val="001E7547"/>
    <w:rsid w:val="001F099F"/>
    <w:rsid w:val="001F0A1E"/>
    <w:rsid w:val="001F0F94"/>
    <w:rsid w:val="001F2B09"/>
    <w:rsid w:val="001F2C6E"/>
    <w:rsid w:val="001F2F8E"/>
    <w:rsid w:val="001F32A8"/>
    <w:rsid w:val="001F37B9"/>
    <w:rsid w:val="001F3DA6"/>
    <w:rsid w:val="001F3DC0"/>
    <w:rsid w:val="001F4269"/>
    <w:rsid w:val="001F486A"/>
    <w:rsid w:val="001F48BE"/>
    <w:rsid w:val="001F4FA2"/>
    <w:rsid w:val="001F51A4"/>
    <w:rsid w:val="001F57CC"/>
    <w:rsid w:val="001F6533"/>
    <w:rsid w:val="001F71FC"/>
    <w:rsid w:val="001F7BB4"/>
    <w:rsid w:val="00200145"/>
    <w:rsid w:val="002003F7"/>
    <w:rsid w:val="00200EA3"/>
    <w:rsid w:val="00203060"/>
    <w:rsid w:val="00203936"/>
    <w:rsid w:val="00203FA0"/>
    <w:rsid w:val="00204462"/>
    <w:rsid w:val="00204A72"/>
    <w:rsid w:val="00204D88"/>
    <w:rsid w:val="002062C4"/>
    <w:rsid w:val="00206475"/>
    <w:rsid w:val="0020672B"/>
    <w:rsid w:val="00206B3E"/>
    <w:rsid w:val="00206C1C"/>
    <w:rsid w:val="002103F0"/>
    <w:rsid w:val="00210D79"/>
    <w:rsid w:val="002110D4"/>
    <w:rsid w:val="002120AF"/>
    <w:rsid w:val="00212601"/>
    <w:rsid w:val="00212B49"/>
    <w:rsid w:val="00213AEA"/>
    <w:rsid w:val="00213B96"/>
    <w:rsid w:val="00214251"/>
    <w:rsid w:val="002142A0"/>
    <w:rsid w:val="0021478A"/>
    <w:rsid w:val="00214884"/>
    <w:rsid w:val="00214D62"/>
    <w:rsid w:val="00215075"/>
    <w:rsid w:val="00215384"/>
    <w:rsid w:val="00215EBA"/>
    <w:rsid w:val="00216791"/>
    <w:rsid w:val="002168FB"/>
    <w:rsid w:val="00216B38"/>
    <w:rsid w:val="00216F25"/>
    <w:rsid w:val="00216F87"/>
    <w:rsid w:val="00216FB3"/>
    <w:rsid w:val="00217166"/>
    <w:rsid w:val="002177B1"/>
    <w:rsid w:val="0021787B"/>
    <w:rsid w:val="00220F2B"/>
    <w:rsid w:val="002218C7"/>
    <w:rsid w:val="00221E60"/>
    <w:rsid w:val="002225DB"/>
    <w:rsid w:val="00222B3C"/>
    <w:rsid w:val="00222D6D"/>
    <w:rsid w:val="0022345E"/>
    <w:rsid w:val="00223A4A"/>
    <w:rsid w:val="002249FE"/>
    <w:rsid w:val="00224FB3"/>
    <w:rsid w:val="00227530"/>
    <w:rsid w:val="00227649"/>
    <w:rsid w:val="0022785B"/>
    <w:rsid w:val="00227AF2"/>
    <w:rsid w:val="00227E32"/>
    <w:rsid w:val="00230479"/>
    <w:rsid w:val="002316E7"/>
    <w:rsid w:val="002318E4"/>
    <w:rsid w:val="00231F11"/>
    <w:rsid w:val="00231F8E"/>
    <w:rsid w:val="002332DC"/>
    <w:rsid w:val="002333A9"/>
    <w:rsid w:val="00233E09"/>
    <w:rsid w:val="00233FAF"/>
    <w:rsid w:val="002347B3"/>
    <w:rsid w:val="002347F1"/>
    <w:rsid w:val="00234AEB"/>
    <w:rsid w:val="002351C2"/>
    <w:rsid w:val="002351EF"/>
    <w:rsid w:val="00235253"/>
    <w:rsid w:val="00237474"/>
    <w:rsid w:val="00237573"/>
    <w:rsid w:val="00237F99"/>
    <w:rsid w:val="00240220"/>
    <w:rsid w:val="002409C9"/>
    <w:rsid w:val="00242532"/>
    <w:rsid w:val="00242921"/>
    <w:rsid w:val="0024481D"/>
    <w:rsid w:val="002448E7"/>
    <w:rsid w:val="00244E8E"/>
    <w:rsid w:val="00245673"/>
    <w:rsid w:val="00245D6C"/>
    <w:rsid w:val="00245FA2"/>
    <w:rsid w:val="00246212"/>
    <w:rsid w:val="00246866"/>
    <w:rsid w:val="0024699B"/>
    <w:rsid w:val="002478F2"/>
    <w:rsid w:val="00250144"/>
    <w:rsid w:val="002509F6"/>
    <w:rsid w:val="00250A13"/>
    <w:rsid w:val="00251A91"/>
    <w:rsid w:val="0025225C"/>
    <w:rsid w:val="00252651"/>
    <w:rsid w:val="00252B2C"/>
    <w:rsid w:val="00252C83"/>
    <w:rsid w:val="00252DC4"/>
    <w:rsid w:val="00253816"/>
    <w:rsid w:val="00254307"/>
    <w:rsid w:val="002555E4"/>
    <w:rsid w:val="00256FD9"/>
    <w:rsid w:val="00257632"/>
    <w:rsid w:val="00257C70"/>
    <w:rsid w:val="0026009B"/>
    <w:rsid w:val="0026023F"/>
    <w:rsid w:val="002607B3"/>
    <w:rsid w:val="00260E8A"/>
    <w:rsid w:val="00260EE2"/>
    <w:rsid w:val="00261B7F"/>
    <w:rsid w:val="00261D91"/>
    <w:rsid w:val="00261DF3"/>
    <w:rsid w:val="00261EAD"/>
    <w:rsid w:val="002628F8"/>
    <w:rsid w:val="00262D93"/>
    <w:rsid w:val="002630F7"/>
    <w:rsid w:val="002632BC"/>
    <w:rsid w:val="00263400"/>
    <w:rsid w:val="002635F8"/>
    <w:rsid w:val="00263D2E"/>
    <w:rsid w:val="00264AE8"/>
    <w:rsid w:val="00264E21"/>
    <w:rsid w:val="00265D0D"/>
    <w:rsid w:val="00267322"/>
    <w:rsid w:val="002675C0"/>
    <w:rsid w:val="002676BC"/>
    <w:rsid w:val="00267737"/>
    <w:rsid w:val="002677CE"/>
    <w:rsid w:val="00267F83"/>
    <w:rsid w:val="00270D71"/>
    <w:rsid w:val="002712E0"/>
    <w:rsid w:val="00271B04"/>
    <w:rsid w:val="00271BAA"/>
    <w:rsid w:val="00271EA6"/>
    <w:rsid w:val="0027241C"/>
    <w:rsid w:val="00272427"/>
    <w:rsid w:val="00272522"/>
    <w:rsid w:val="0027256D"/>
    <w:rsid w:val="00272D2A"/>
    <w:rsid w:val="00272D5F"/>
    <w:rsid w:val="00273200"/>
    <w:rsid w:val="00273D75"/>
    <w:rsid w:val="00273E9F"/>
    <w:rsid w:val="00274559"/>
    <w:rsid w:val="00274A5E"/>
    <w:rsid w:val="0027509F"/>
    <w:rsid w:val="00275360"/>
    <w:rsid w:val="002753CC"/>
    <w:rsid w:val="002754B3"/>
    <w:rsid w:val="002754DE"/>
    <w:rsid w:val="00275705"/>
    <w:rsid w:val="00275AC3"/>
    <w:rsid w:val="00275DE5"/>
    <w:rsid w:val="00276068"/>
    <w:rsid w:val="0027621E"/>
    <w:rsid w:val="00276858"/>
    <w:rsid w:val="00276A60"/>
    <w:rsid w:val="00276D33"/>
    <w:rsid w:val="00276F63"/>
    <w:rsid w:val="002770C8"/>
    <w:rsid w:val="0027758F"/>
    <w:rsid w:val="002777E4"/>
    <w:rsid w:val="00277CEC"/>
    <w:rsid w:val="00280285"/>
    <w:rsid w:val="00280C7B"/>
    <w:rsid w:val="002817AE"/>
    <w:rsid w:val="002828EA"/>
    <w:rsid w:val="00282A83"/>
    <w:rsid w:val="00282C13"/>
    <w:rsid w:val="002830D0"/>
    <w:rsid w:val="002837F8"/>
    <w:rsid w:val="00283C99"/>
    <w:rsid w:val="00284517"/>
    <w:rsid w:val="002845CB"/>
    <w:rsid w:val="002850E1"/>
    <w:rsid w:val="00286667"/>
    <w:rsid w:val="00286952"/>
    <w:rsid w:val="00287220"/>
    <w:rsid w:val="00287E5C"/>
    <w:rsid w:val="002901B8"/>
    <w:rsid w:val="0029136B"/>
    <w:rsid w:val="00291548"/>
    <w:rsid w:val="002924C1"/>
    <w:rsid w:val="00292726"/>
    <w:rsid w:val="0029279B"/>
    <w:rsid w:val="00292FE7"/>
    <w:rsid w:val="002934AF"/>
    <w:rsid w:val="002935BC"/>
    <w:rsid w:val="00293B07"/>
    <w:rsid w:val="00293B9E"/>
    <w:rsid w:val="00293DFF"/>
    <w:rsid w:val="0029537F"/>
    <w:rsid w:val="0029650D"/>
    <w:rsid w:val="002970AA"/>
    <w:rsid w:val="00297131"/>
    <w:rsid w:val="00297490"/>
    <w:rsid w:val="002976FD"/>
    <w:rsid w:val="0029779A"/>
    <w:rsid w:val="002A0524"/>
    <w:rsid w:val="002A1962"/>
    <w:rsid w:val="002A2A71"/>
    <w:rsid w:val="002A3178"/>
    <w:rsid w:val="002A3476"/>
    <w:rsid w:val="002A3B70"/>
    <w:rsid w:val="002A3E21"/>
    <w:rsid w:val="002A3E70"/>
    <w:rsid w:val="002A3F1E"/>
    <w:rsid w:val="002A4B33"/>
    <w:rsid w:val="002A52E0"/>
    <w:rsid w:val="002A53D0"/>
    <w:rsid w:val="002A5BEC"/>
    <w:rsid w:val="002A6C3F"/>
    <w:rsid w:val="002A75DC"/>
    <w:rsid w:val="002B0045"/>
    <w:rsid w:val="002B0884"/>
    <w:rsid w:val="002B0E2E"/>
    <w:rsid w:val="002B14A6"/>
    <w:rsid w:val="002B19B2"/>
    <w:rsid w:val="002B1CBC"/>
    <w:rsid w:val="002B1FD5"/>
    <w:rsid w:val="002B2233"/>
    <w:rsid w:val="002B28AD"/>
    <w:rsid w:val="002B2949"/>
    <w:rsid w:val="002B29F6"/>
    <w:rsid w:val="002B2A11"/>
    <w:rsid w:val="002B3EF9"/>
    <w:rsid w:val="002B3FBE"/>
    <w:rsid w:val="002B407D"/>
    <w:rsid w:val="002B4D49"/>
    <w:rsid w:val="002B4F47"/>
    <w:rsid w:val="002B564D"/>
    <w:rsid w:val="002B64CC"/>
    <w:rsid w:val="002B687A"/>
    <w:rsid w:val="002B7045"/>
    <w:rsid w:val="002B73FA"/>
    <w:rsid w:val="002B77C4"/>
    <w:rsid w:val="002C0269"/>
    <w:rsid w:val="002C03F8"/>
    <w:rsid w:val="002C0C4A"/>
    <w:rsid w:val="002C122A"/>
    <w:rsid w:val="002C15D0"/>
    <w:rsid w:val="002C198F"/>
    <w:rsid w:val="002C1D10"/>
    <w:rsid w:val="002C200B"/>
    <w:rsid w:val="002C2211"/>
    <w:rsid w:val="002C2640"/>
    <w:rsid w:val="002C29EF"/>
    <w:rsid w:val="002C3694"/>
    <w:rsid w:val="002C3BAB"/>
    <w:rsid w:val="002C4709"/>
    <w:rsid w:val="002C484E"/>
    <w:rsid w:val="002C4F7F"/>
    <w:rsid w:val="002C6B1E"/>
    <w:rsid w:val="002C6C7F"/>
    <w:rsid w:val="002C7B41"/>
    <w:rsid w:val="002D00CC"/>
    <w:rsid w:val="002D03DB"/>
    <w:rsid w:val="002D0521"/>
    <w:rsid w:val="002D1679"/>
    <w:rsid w:val="002D1955"/>
    <w:rsid w:val="002D1BB5"/>
    <w:rsid w:val="002D1F61"/>
    <w:rsid w:val="002D217A"/>
    <w:rsid w:val="002D252B"/>
    <w:rsid w:val="002D259D"/>
    <w:rsid w:val="002D3285"/>
    <w:rsid w:val="002D3AC0"/>
    <w:rsid w:val="002D4B20"/>
    <w:rsid w:val="002D4CEC"/>
    <w:rsid w:val="002D619D"/>
    <w:rsid w:val="002D6AD3"/>
    <w:rsid w:val="002D6BA7"/>
    <w:rsid w:val="002D700B"/>
    <w:rsid w:val="002D769E"/>
    <w:rsid w:val="002E012B"/>
    <w:rsid w:val="002E034C"/>
    <w:rsid w:val="002E04D0"/>
    <w:rsid w:val="002E0B94"/>
    <w:rsid w:val="002E0D9B"/>
    <w:rsid w:val="002E0E6F"/>
    <w:rsid w:val="002E1BE6"/>
    <w:rsid w:val="002E2550"/>
    <w:rsid w:val="002E30DA"/>
    <w:rsid w:val="002E3366"/>
    <w:rsid w:val="002E33F2"/>
    <w:rsid w:val="002E3DA1"/>
    <w:rsid w:val="002E481C"/>
    <w:rsid w:val="002E5080"/>
    <w:rsid w:val="002E57DF"/>
    <w:rsid w:val="002E58D8"/>
    <w:rsid w:val="002E5E6C"/>
    <w:rsid w:val="002E64CE"/>
    <w:rsid w:val="002E737C"/>
    <w:rsid w:val="002E7AE0"/>
    <w:rsid w:val="002F0042"/>
    <w:rsid w:val="002F006C"/>
    <w:rsid w:val="002F0139"/>
    <w:rsid w:val="002F0571"/>
    <w:rsid w:val="002F079C"/>
    <w:rsid w:val="002F18AD"/>
    <w:rsid w:val="002F1D19"/>
    <w:rsid w:val="002F22A8"/>
    <w:rsid w:val="002F2303"/>
    <w:rsid w:val="002F235C"/>
    <w:rsid w:val="002F2B56"/>
    <w:rsid w:val="002F2CDD"/>
    <w:rsid w:val="002F31D5"/>
    <w:rsid w:val="002F3C0A"/>
    <w:rsid w:val="002F3D93"/>
    <w:rsid w:val="002F4253"/>
    <w:rsid w:val="002F432A"/>
    <w:rsid w:val="002F433B"/>
    <w:rsid w:val="002F48E8"/>
    <w:rsid w:val="002F4B2C"/>
    <w:rsid w:val="002F4FC1"/>
    <w:rsid w:val="002F5836"/>
    <w:rsid w:val="002F5D22"/>
    <w:rsid w:val="002F5D57"/>
    <w:rsid w:val="002F5D79"/>
    <w:rsid w:val="002F6587"/>
    <w:rsid w:val="002F66CF"/>
    <w:rsid w:val="002F7571"/>
    <w:rsid w:val="002F7868"/>
    <w:rsid w:val="002F7A35"/>
    <w:rsid w:val="00300D3D"/>
    <w:rsid w:val="003012A7"/>
    <w:rsid w:val="00303131"/>
    <w:rsid w:val="003037B5"/>
    <w:rsid w:val="00304676"/>
    <w:rsid w:val="0030497F"/>
    <w:rsid w:val="0030531F"/>
    <w:rsid w:val="00305B69"/>
    <w:rsid w:val="00305DB8"/>
    <w:rsid w:val="003071D0"/>
    <w:rsid w:val="003078BC"/>
    <w:rsid w:val="00307E4F"/>
    <w:rsid w:val="00310476"/>
    <w:rsid w:val="003104CF"/>
    <w:rsid w:val="003107A3"/>
    <w:rsid w:val="00310915"/>
    <w:rsid w:val="00310E15"/>
    <w:rsid w:val="003115F1"/>
    <w:rsid w:val="003117BC"/>
    <w:rsid w:val="00312A4A"/>
    <w:rsid w:val="00312E8D"/>
    <w:rsid w:val="0031321F"/>
    <w:rsid w:val="0031367E"/>
    <w:rsid w:val="0031383A"/>
    <w:rsid w:val="00313C9E"/>
    <w:rsid w:val="00314249"/>
    <w:rsid w:val="00314578"/>
    <w:rsid w:val="00315018"/>
    <w:rsid w:val="00315F75"/>
    <w:rsid w:val="003162D1"/>
    <w:rsid w:val="003171D6"/>
    <w:rsid w:val="0031727B"/>
    <w:rsid w:val="00317D1C"/>
    <w:rsid w:val="00317D28"/>
    <w:rsid w:val="00317D2C"/>
    <w:rsid w:val="003207E6"/>
    <w:rsid w:val="003209BC"/>
    <w:rsid w:val="00320A17"/>
    <w:rsid w:val="003212AA"/>
    <w:rsid w:val="0032166E"/>
    <w:rsid w:val="003221E2"/>
    <w:rsid w:val="0032220D"/>
    <w:rsid w:val="003226FA"/>
    <w:rsid w:val="00322EC1"/>
    <w:rsid w:val="00322FAE"/>
    <w:rsid w:val="00323551"/>
    <w:rsid w:val="00323E78"/>
    <w:rsid w:val="00324386"/>
    <w:rsid w:val="0032483E"/>
    <w:rsid w:val="00324FF8"/>
    <w:rsid w:val="003252CF"/>
    <w:rsid w:val="003256BE"/>
    <w:rsid w:val="00325EA9"/>
    <w:rsid w:val="00325F2A"/>
    <w:rsid w:val="00326432"/>
    <w:rsid w:val="003264CC"/>
    <w:rsid w:val="00326501"/>
    <w:rsid w:val="00326579"/>
    <w:rsid w:val="003270DB"/>
    <w:rsid w:val="00327267"/>
    <w:rsid w:val="003275A3"/>
    <w:rsid w:val="00327856"/>
    <w:rsid w:val="00327AD3"/>
    <w:rsid w:val="003306C6"/>
    <w:rsid w:val="00330C4D"/>
    <w:rsid w:val="00330D1F"/>
    <w:rsid w:val="00330F5B"/>
    <w:rsid w:val="003311FD"/>
    <w:rsid w:val="00332895"/>
    <w:rsid w:val="003329B6"/>
    <w:rsid w:val="00332BE9"/>
    <w:rsid w:val="00332CDA"/>
    <w:rsid w:val="00332F1C"/>
    <w:rsid w:val="003344E7"/>
    <w:rsid w:val="00335627"/>
    <w:rsid w:val="00336BF5"/>
    <w:rsid w:val="0033715E"/>
    <w:rsid w:val="003373C0"/>
    <w:rsid w:val="003400FB"/>
    <w:rsid w:val="00340359"/>
    <w:rsid w:val="0034046C"/>
    <w:rsid w:val="003407E4"/>
    <w:rsid w:val="00340EE7"/>
    <w:rsid w:val="00341D24"/>
    <w:rsid w:val="00342136"/>
    <w:rsid w:val="00343BDB"/>
    <w:rsid w:val="003442A0"/>
    <w:rsid w:val="00344412"/>
    <w:rsid w:val="0034482C"/>
    <w:rsid w:val="003448EE"/>
    <w:rsid w:val="00344BAC"/>
    <w:rsid w:val="00345057"/>
    <w:rsid w:val="003456BC"/>
    <w:rsid w:val="00345924"/>
    <w:rsid w:val="00345FBA"/>
    <w:rsid w:val="00346511"/>
    <w:rsid w:val="003466B0"/>
    <w:rsid w:val="00346E13"/>
    <w:rsid w:val="0034737B"/>
    <w:rsid w:val="0034774E"/>
    <w:rsid w:val="00347D7A"/>
    <w:rsid w:val="00347F28"/>
    <w:rsid w:val="00350516"/>
    <w:rsid w:val="00351B66"/>
    <w:rsid w:val="00351E6A"/>
    <w:rsid w:val="003521B5"/>
    <w:rsid w:val="00352EA3"/>
    <w:rsid w:val="0035301B"/>
    <w:rsid w:val="00353A53"/>
    <w:rsid w:val="00354661"/>
    <w:rsid w:val="00354790"/>
    <w:rsid w:val="00354D09"/>
    <w:rsid w:val="00355680"/>
    <w:rsid w:val="00355C38"/>
    <w:rsid w:val="00356427"/>
    <w:rsid w:val="00356BC8"/>
    <w:rsid w:val="00356D33"/>
    <w:rsid w:val="00356E5B"/>
    <w:rsid w:val="003575A8"/>
    <w:rsid w:val="0036030E"/>
    <w:rsid w:val="0036056D"/>
    <w:rsid w:val="00360F34"/>
    <w:rsid w:val="003615CB"/>
    <w:rsid w:val="00361CE0"/>
    <w:rsid w:val="00362239"/>
    <w:rsid w:val="003623E9"/>
    <w:rsid w:val="00363779"/>
    <w:rsid w:val="00363CB3"/>
    <w:rsid w:val="00363E47"/>
    <w:rsid w:val="0036428C"/>
    <w:rsid w:val="003648D7"/>
    <w:rsid w:val="00364DFB"/>
    <w:rsid w:val="00365113"/>
    <w:rsid w:val="0036575E"/>
    <w:rsid w:val="00365885"/>
    <w:rsid w:val="00366125"/>
    <w:rsid w:val="0036630A"/>
    <w:rsid w:val="003663D6"/>
    <w:rsid w:val="00366C40"/>
    <w:rsid w:val="00366D7B"/>
    <w:rsid w:val="00370E21"/>
    <w:rsid w:val="00370EB6"/>
    <w:rsid w:val="00370EC4"/>
    <w:rsid w:val="003710CF"/>
    <w:rsid w:val="00371588"/>
    <w:rsid w:val="00371625"/>
    <w:rsid w:val="00372010"/>
    <w:rsid w:val="00372026"/>
    <w:rsid w:val="003721D1"/>
    <w:rsid w:val="00373177"/>
    <w:rsid w:val="003734DF"/>
    <w:rsid w:val="00373672"/>
    <w:rsid w:val="00373EF5"/>
    <w:rsid w:val="003741B7"/>
    <w:rsid w:val="003744DD"/>
    <w:rsid w:val="00374BB6"/>
    <w:rsid w:val="0037578F"/>
    <w:rsid w:val="00375AB9"/>
    <w:rsid w:val="003768FF"/>
    <w:rsid w:val="00376F8B"/>
    <w:rsid w:val="00377110"/>
    <w:rsid w:val="00377391"/>
    <w:rsid w:val="00377603"/>
    <w:rsid w:val="00377936"/>
    <w:rsid w:val="00377D7A"/>
    <w:rsid w:val="003806E6"/>
    <w:rsid w:val="00380B75"/>
    <w:rsid w:val="0038138E"/>
    <w:rsid w:val="00381959"/>
    <w:rsid w:val="003822EA"/>
    <w:rsid w:val="00382A52"/>
    <w:rsid w:val="00382FDB"/>
    <w:rsid w:val="003831E9"/>
    <w:rsid w:val="0038349D"/>
    <w:rsid w:val="003840E7"/>
    <w:rsid w:val="00384505"/>
    <w:rsid w:val="003848F8"/>
    <w:rsid w:val="00385093"/>
    <w:rsid w:val="003850D1"/>
    <w:rsid w:val="00386720"/>
    <w:rsid w:val="00386D79"/>
    <w:rsid w:val="00386FE9"/>
    <w:rsid w:val="0038708E"/>
    <w:rsid w:val="0038744C"/>
    <w:rsid w:val="003905A3"/>
    <w:rsid w:val="00390E95"/>
    <w:rsid w:val="0039130C"/>
    <w:rsid w:val="00391FF7"/>
    <w:rsid w:val="003920D6"/>
    <w:rsid w:val="003924B1"/>
    <w:rsid w:val="00392DF7"/>
    <w:rsid w:val="00392E0A"/>
    <w:rsid w:val="0039315F"/>
    <w:rsid w:val="003939DF"/>
    <w:rsid w:val="00393A80"/>
    <w:rsid w:val="00393ACF"/>
    <w:rsid w:val="00393C37"/>
    <w:rsid w:val="00394316"/>
    <w:rsid w:val="00394494"/>
    <w:rsid w:val="00394839"/>
    <w:rsid w:val="00395393"/>
    <w:rsid w:val="0039585B"/>
    <w:rsid w:val="00395CFA"/>
    <w:rsid w:val="00397B71"/>
    <w:rsid w:val="00397DB4"/>
    <w:rsid w:val="003A06E6"/>
    <w:rsid w:val="003A0AE7"/>
    <w:rsid w:val="003A10C5"/>
    <w:rsid w:val="003A278B"/>
    <w:rsid w:val="003A3611"/>
    <w:rsid w:val="003A3CFB"/>
    <w:rsid w:val="003A423B"/>
    <w:rsid w:val="003A42CB"/>
    <w:rsid w:val="003A43AD"/>
    <w:rsid w:val="003A54A3"/>
    <w:rsid w:val="003A5B56"/>
    <w:rsid w:val="003A6587"/>
    <w:rsid w:val="003A6B06"/>
    <w:rsid w:val="003A6E3C"/>
    <w:rsid w:val="003A7310"/>
    <w:rsid w:val="003A7793"/>
    <w:rsid w:val="003B185D"/>
    <w:rsid w:val="003B218C"/>
    <w:rsid w:val="003B2209"/>
    <w:rsid w:val="003B2ACC"/>
    <w:rsid w:val="003B2DF9"/>
    <w:rsid w:val="003B36AB"/>
    <w:rsid w:val="003B36F9"/>
    <w:rsid w:val="003B394B"/>
    <w:rsid w:val="003B4A79"/>
    <w:rsid w:val="003B4DE5"/>
    <w:rsid w:val="003B5BD0"/>
    <w:rsid w:val="003B5D4C"/>
    <w:rsid w:val="003B5F7A"/>
    <w:rsid w:val="003B61CB"/>
    <w:rsid w:val="003B6973"/>
    <w:rsid w:val="003B6B2B"/>
    <w:rsid w:val="003B6C42"/>
    <w:rsid w:val="003B71E1"/>
    <w:rsid w:val="003B73F1"/>
    <w:rsid w:val="003B784F"/>
    <w:rsid w:val="003B7E0D"/>
    <w:rsid w:val="003C05C0"/>
    <w:rsid w:val="003C0658"/>
    <w:rsid w:val="003C19B6"/>
    <w:rsid w:val="003C1B07"/>
    <w:rsid w:val="003C1B89"/>
    <w:rsid w:val="003C1C6D"/>
    <w:rsid w:val="003C2091"/>
    <w:rsid w:val="003C2101"/>
    <w:rsid w:val="003C2CA3"/>
    <w:rsid w:val="003C3319"/>
    <w:rsid w:val="003C3712"/>
    <w:rsid w:val="003C6766"/>
    <w:rsid w:val="003C686E"/>
    <w:rsid w:val="003C70AD"/>
    <w:rsid w:val="003C79C5"/>
    <w:rsid w:val="003D0052"/>
    <w:rsid w:val="003D03F1"/>
    <w:rsid w:val="003D180B"/>
    <w:rsid w:val="003D1854"/>
    <w:rsid w:val="003D2721"/>
    <w:rsid w:val="003D318E"/>
    <w:rsid w:val="003D3398"/>
    <w:rsid w:val="003D38AD"/>
    <w:rsid w:val="003D3ED8"/>
    <w:rsid w:val="003D48D7"/>
    <w:rsid w:val="003D4903"/>
    <w:rsid w:val="003D4E6D"/>
    <w:rsid w:val="003D5341"/>
    <w:rsid w:val="003D5677"/>
    <w:rsid w:val="003D5F9E"/>
    <w:rsid w:val="003D6093"/>
    <w:rsid w:val="003D645E"/>
    <w:rsid w:val="003D6B22"/>
    <w:rsid w:val="003D7280"/>
    <w:rsid w:val="003E0BDE"/>
    <w:rsid w:val="003E11CC"/>
    <w:rsid w:val="003E1360"/>
    <w:rsid w:val="003E1A5D"/>
    <w:rsid w:val="003E279B"/>
    <w:rsid w:val="003E2F8D"/>
    <w:rsid w:val="003E3A01"/>
    <w:rsid w:val="003E3D68"/>
    <w:rsid w:val="003E3DAD"/>
    <w:rsid w:val="003E4304"/>
    <w:rsid w:val="003E46C3"/>
    <w:rsid w:val="003E55C1"/>
    <w:rsid w:val="003E5BAA"/>
    <w:rsid w:val="003E5FB7"/>
    <w:rsid w:val="003E61DC"/>
    <w:rsid w:val="003E6281"/>
    <w:rsid w:val="003E6351"/>
    <w:rsid w:val="003E672F"/>
    <w:rsid w:val="003E6D25"/>
    <w:rsid w:val="003E6E65"/>
    <w:rsid w:val="003E6F01"/>
    <w:rsid w:val="003E7724"/>
    <w:rsid w:val="003E7B9B"/>
    <w:rsid w:val="003F0224"/>
    <w:rsid w:val="003F0287"/>
    <w:rsid w:val="003F02CB"/>
    <w:rsid w:val="003F1674"/>
    <w:rsid w:val="003F1DD8"/>
    <w:rsid w:val="003F2742"/>
    <w:rsid w:val="003F2C67"/>
    <w:rsid w:val="003F2F3B"/>
    <w:rsid w:val="003F306B"/>
    <w:rsid w:val="003F3995"/>
    <w:rsid w:val="003F442B"/>
    <w:rsid w:val="003F47BB"/>
    <w:rsid w:val="003F4E56"/>
    <w:rsid w:val="003F5513"/>
    <w:rsid w:val="003F6015"/>
    <w:rsid w:val="003F69AA"/>
    <w:rsid w:val="003F6C43"/>
    <w:rsid w:val="003F7456"/>
    <w:rsid w:val="003F78A9"/>
    <w:rsid w:val="003F79AF"/>
    <w:rsid w:val="003F7F9A"/>
    <w:rsid w:val="00400430"/>
    <w:rsid w:val="00400B85"/>
    <w:rsid w:val="00401034"/>
    <w:rsid w:val="004010D9"/>
    <w:rsid w:val="004015B4"/>
    <w:rsid w:val="004029BA"/>
    <w:rsid w:val="00403AE9"/>
    <w:rsid w:val="00403C02"/>
    <w:rsid w:val="00403E74"/>
    <w:rsid w:val="00404CB5"/>
    <w:rsid w:val="0040526E"/>
    <w:rsid w:val="00405367"/>
    <w:rsid w:val="004055E9"/>
    <w:rsid w:val="00405AC8"/>
    <w:rsid w:val="004061F5"/>
    <w:rsid w:val="0040663B"/>
    <w:rsid w:val="00406E14"/>
    <w:rsid w:val="00406E20"/>
    <w:rsid w:val="00407045"/>
    <w:rsid w:val="004106BA"/>
    <w:rsid w:val="004115CF"/>
    <w:rsid w:val="00412FD2"/>
    <w:rsid w:val="00413195"/>
    <w:rsid w:val="004131F8"/>
    <w:rsid w:val="00413245"/>
    <w:rsid w:val="004135EC"/>
    <w:rsid w:val="00413F72"/>
    <w:rsid w:val="00414441"/>
    <w:rsid w:val="0041492F"/>
    <w:rsid w:val="00415127"/>
    <w:rsid w:val="004153E1"/>
    <w:rsid w:val="00415ADC"/>
    <w:rsid w:val="00415DE0"/>
    <w:rsid w:val="0041692B"/>
    <w:rsid w:val="00417030"/>
    <w:rsid w:val="00417379"/>
    <w:rsid w:val="00417456"/>
    <w:rsid w:val="00417B6A"/>
    <w:rsid w:val="00420081"/>
    <w:rsid w:val="004212A2"/>
    <w:rsid w:val="004214F2"/>
    <w:rsid w:val="0042151B"/>
    <w:rsid w:val="00421DB6"/>
    <w:rsid w:val="004226A7"/>
    <w:rsid w:val="00423145"/>
    <w:rsid w:val="004233E7"/>
    <w:rsid w:val="0042374A"/>
    <w:rsid w:val="00423930"/>
    <w:rsid w:val="0042430D"/>
    <w:rsid w:val="004244C5"/>
    <w:rsid w:val="00424C1C"/>
    <w:rsid w:val="00424D2D"/>
    <w:rsid w:val="00426AE3"/>
    <w:rsid w:val="00426D70"/>
    <w:rsid w:val="004271B3"/>
    <w:rsid w:val="0042753D"/>
    <w:rsid w:val="00427758"/>
    <w:rsid w:val="00427858"/>
    <w:rsid w:val="00427AD6"/>
    <w:rsid w:val="0043018B"/>
    <w:rsid w:val="0043125D"/>
    <w:rsid w:val="00435359"/>
    <w:rsid w:val="00435642"/>
    <w:rsid w:val="004358C8"/>
    <w:rsid w:val="00435E66"/>
    <w:rsid w:val="00436A9D"/>
    <w:rsid w:val="00436DFD"/>
    <w:rsid w:val="00436E4C"/>
    <w:rsid w:val="004378A4"/>
    <w:rsid w:val="00437FA6"/>
    <w:rsid w:val="004413AD"/>
    <w:rsid w:val="004415A0"/>
    <w:rsid w:val="00441607"/>
    <w:rsid w:val="0044240A"/>
    <w:rsid w:val="00442857"/>
    <w:rsid w:val="00442AC0"/>
    <w:rsid w:val="00442B04"/>
    <w:rsid w:val="00442B24"/>
    <w:rsid w:val="00443583"/>
    <w:rsid w:val="00444C23"/>
    <w:rsid w:val="0044515E"/>
    <w:rsid w:val="0044521C"/>
    <w:rsid w:val="004457C5"/>
    <w:rsid w:val="00445CF7"/>
    <w:rsid w:val="00445F2E"/>
    <w:rsid w:val="00446112"/>
    <w:rsid w:val="0044622B"/>
    <w:rsid w:val="00447D34"/>
    <w:rsid w:val="0045077A"/>
    <w:rsid w:val="0045129E"/>
    <w:rsid w:val="004514EA"/>
    <w:rsid w:val="004518E2"/>
    <w:rsid w:val="00451A9B"/>
    <w:rsid w:val="004522AB"/>
    <w:rsid w:val="00452D9D"/>
    <w:rsid w:val="00453091"/>
    <w:rsid w:val="004530CF"/>
    <w:rsid w:val="004534A7"/>
    <w:rsid w:val="00453656"/>
    <w:rsid w:val="00453F54"/>
    <w:rsid w:val="00454490"/>
    <w:rsid w:val="00454E53"/>
    <w:rsid w:val="00455880"/>
    <w:rsid w:val="00456547"/>
    <w:rsid w:val="00460BD0"/>
    <w:rsid w:val="00460C28"/>
    <w:rsid w:val="00461227"/>
    <w:rsid w:val="00461AF4"/>
    <w:rsid w:val="004623F9"/>
    <w:rsid w:val="00462411"/>
    <w:rsid w:val="00462427"/>
    <w:rsid w:val="00462779"/>
    <w:rsid w:val="00462997"/>
    <w:rsid w:val="004631A9"/>
    <w:rsid w:val="00463724"/>
    <w:rsid w:val="00463CCE"/>
    <w:rsid w:val="00463E34"/>
    <w:rsid w:val="00465FB9"/>
    <w:rsid w:val="00466B1B"/>
    <w:rsid w:val="00466EBC"/>
    <w:rsid w:val="00466FEC"/>
    <w:rsid w:val="0046742D"/>
    <w:rsid w:val="004676C6"/>
    <w:rsid w:val="004677E9"/>
    <w:rsid w:val="004678CF"/>
    <w:rsid w:val="00467BE5"/>
    <w:rsid w:val="00470316"/>
    <w:rsid w:val="00471147"/>
    <w:rsid w:val="00471F40"/>
    <w:rsid w:val="004720F9"/>
    <w:rsid w:val="004729D9"/>
    <w:rsid w:val="00472DE7"/>
    <w:rsid w:val="00473DDE"/>
    <w:rsid w:val="004743BD"/>
    <w:rsid w:val="0047472A"/>
    <w:rsid w:val="00474E40"/>
    <w:rsid w:val="0047528F"/>
    <w:rsid w:val="004752D1"/>
    <w:rsid w:val="004754D4"/>
    <w:rsid w:val="00476E27"/>
    <w:rsid w:val="00480588"/>
    <w:rsid w:val="00480711"/>
    <w:rsid w:val="004817E3"/>
    <w:rsid w:val="00482766"/>
    <w:rsid w:val="00482C39"/>
    <w:rsid w:val="00482E10"/>
    <w:rsid w:val="0048352E"/>
    <w:rsid w:val="0048354A"/>
    <w:rsid w:val="00484B68"/>
    <w:rsid w:val="0048550C"/>
    <w:rsid w:val="00485A7B"/>
    <w:rsid w:val="00485D58"/>
    <w:rsid w:val="00486938"/>
    <w:rsid w:val="00487028"/>
    <w:rsid w:val="00487115"/>
    <w:rsid w:val="0048791F"/>
    <w:rsid w:val="00487EB3"/>
    <w:rsid w:val="00491BBB"/>
    <w:rsid w:val="00492002"/>
    <w:rsid w:val="0049200F"/>
    <w:rsid w:val="00492018"/>
    <w:rsid w:val="00493502"/>
    <w:rsid w:val="004936DD"/>
    <w:rsid w:val="00494175"/>
    <w:rsid w:val="00494831"/>
    <w:rsid w:val="00494F4E"/>
    <w:rsid w:val="00494FE0"/>
    <w:rsid w:val="00496B4C"/>
    <w:rsid w:val="004972A0"/>
    <w:rsid w:val="004977A9"/>
    <w:rsid w:val="00497A77"/>
    <w:rsid w:val="00497D48"/>
    <w:rsid w:val="004A01CD"/>
    <w:rsid w:val="004A16B8"/>
    <w:rsid w:val="004A1B57"/>
    <w:rsid w:val="004A27D0"/>
    <w:rsid w:val="004A3D03"/>
    <w:rsid w:val="004A43E6"/>
    <w:rsid w:val="004A500A"/>
    <w:rsid w:val="004A5A78"/>
    <w:rsid w:val="004A6B42"/>
    <w:rsid w:val="004A710C"/>
    <w:rsid w:val="004A7410"/>
    <w:rsid w:val="004A7968"/>
    <w:rsid w:val="004A7C67"/>
    <w:rsid w:val="004A7D37"/>
    <w:rsid w:val="004B0D0B"/>
    <w:rsid w:val="004B1246"/>
    <w:rsid w:val="004B165B"/>
    <w:rsid w:val="004B36CF"/>
    <w:rsid w:val="004B3C42"/>
    <w:rsid w:val="004B3D71"/>
    <w:rsid w:val="004B46F1"/>
    <w:rsid w:val="004B5C66"/>
    <w:rsid w:val="004B6042"/>
    <w:rsid w:val="004B634C"/>
    <w:rsid w:val="004B678A"/>
    <w:rsid w:val="004B6C6A"/>
    <w:rsid w:val="004B7080"/>
    <w:rsid w:val="004B740C"/>
    <w:rsid w:val="004B75DC"/>
    <w:rsid w:val="004B79BF"/>
    <w:rsid w:val="004C049A"/>
    <w:rsid w:val="004C07F5"/>
    <w:rsid w:val="004C1699"/>
    <w:rsid w:val="004C1BFF"/>
    <w:rsid w:val="004C2219"/>
    <w:rsid w:val="004C277E"/>
    <w:rsid w:val="004C3323"/>
    <w:rsid w:val="004C396A"/>
    <w:rsid w:val="004C449B"/>
    <w:rsid w:val="004C45F7"/>
    <w:rsid w:val="004C59C9"/>
    <w:rsid w:val="004C5BE8"/>
    <w:rsid w:val="004C64DE"/>
    <w:rsid w:val="004C6709"/>
    <w:rsid w:val="004C6B9B"/>
    <w:rsid w:val="004C6E7E"/>
    <w:rsid w:val="004C6F87"/>
    <w:rsid w:val="004D1380"/>
    <w:rsid w:val="004D1C98"/>
    <w:rsid w:val="004D1D03"/>
    <w:rsid w:val="004D1D58"/>
    <w:rsid w:val="004D214B"/>
    <w:rsid w:val="004D262C"/>
    <w:rsid w:val="004D272A"/>
    <w:rsid w:val="004D2C28"/>
    <w:rsid w:val="004D322D"/>
    <w:rsid w:val="004D36FD"/>
    <w:rsid w:val="004D3913"/>
    <w:rsid w:val="004D3D80"/>
    <w:rsid w:val="004D3DB7"/>
    <w:rsid w:val="004D434D"/>
    <w:rsid w:val="004D4AEA"/>
    <w:rsid w:val="004D4CF2"/>
    <w:rsid w:val="004D53ED"/>
    <w:rsid w:val="004D584F"/>
    <w:rsid w:val="004D67E5"/>
    <w:rsid w:val="004D6A60"/>
    <w:rsid w:val="004D6E8E"/>
    <w:rsid w:val="004D7645"/>
    <w:rsid w:val="004D7B14"/>
    <w:rsid w:val="004E02B0"/>
    <w:rsid w:val="004E0792"/>
    <w:rsid w:val="004E10B5"/>
    <w:rsid w:val="004E1C93"/>
    <w:rsid w:val="004E1CBA"/>
    <w:rsid w:val="004E1D1A"/>
    <w:rsid w:val="004E258B"/>
    <w:rsid w:val="004E2E91"/>
    <w:rsid w:val="004E2EE8"/>
    <w:rsid w:val="004E318B"/>
    <w:rsid w:val="004E3481"/>
    <w:rsid w:val="004E3970"/>
    <w:rsid w:val="004E3AE2"/>
    <w:rsid w:val="004E3BE5"/>
    <w:rsid w:val="004E423E"/>
    <w:rsid w:val="004E4732"/>
    <w:rsid w:val="004E47E7"/>
    <w:rsid w:val="004E54E5"/>
    <w:rsid w:val="004E5919"/>
    <w:rsid w:val="004E5DB2"/>
    <w:rsid w:val="004E5DF4"/>
    <w:rsid w:val="004E6685"/>
    <w:rsid w:val="004E69D9"/>
    <w:rsid w:val="004E6B04"/>
    <w:rsid w:val="004E6B85"/>
    <w:rsid w:val="004E7A8A"/>
    <w:rsid w:val="004E7B58"/>
    <w:rsid w:val="004F050E"/>
    <w:rsid w:val="004F0F3F"/>
    <w:rsid w:val="004F1442"/>
    <w:rsid w:val="004F16CB"/>
    <w:rsid w:val="004F1A45"/>
    <w:rsid w:val="004F1F31"/>
    <w:rsid w:val="004F2B53"/>
    <w:rsid w:val="004F3EF1"/>
    <w:rsid w:val="004F4565"/>
    <w:rsid w:val="004F4792"/>
    <w:rsid w:val="004F5B28"/>
    <w:rsid w:val="004F5D2E"/>
    <w:rsid w:val="004F68F4"/>
    <w:rsid w:val="004F752C"/>
    <w:rsid w:val="004F762F"/>
    <w:rsid w:val="004F7EE6"/>
    <w:rsid w:val="00500C8B"/>
    <w:rsid w:val="005015BC"/>
    <w:rsid w:val="00501672"/>
    <w:rsid w:val="00501D56"/>
    <w:rsid w:val="005023C9"/>
    <w:rsid w:val="00502537"/>
    <w:rsid w:val="00502915"/>
    <w:rsid w:val="00503426"/>
    <w:rsid w:val="00503F8B"/>
    <w:rsid w:val="005041EA"/>
    <w:rsid w:val="00504816"/>
    <w:rsid w:val="00504998"/>
    <w:rsid w:val="00504B28"/>
    <w:rsid w:val="00504F66"/>
    <w:rsid w:val="0050578A"/>
    <w:rsid w:val="00506837"/>
    <w:rsid w:val="00506B8A"/>
    <w:rsid w:val="00506FA6"/>
    <w:rsid w:val="005072AB"/>
    <w:rsid w:val="00507787"/>
    <w:rsid w:val="00507789"/>
    <w:rsid w:val="00507AF6"/>
    <w:rsid w:val="00510932"/>
    <w:rsid w:val="005116DF"/>
    <w:rsid w:val="00511D21"/>
    <w:rsid w:val="00512C9A"/>
    <w:rsid w:val="005136F9"/>
    <w:rsid w:val="00513A84"/>
    <w:rsid w:val="00513CF7"/>
    <w:rsid w:val="00513E71"/>
    <w:rsid w:val="00513FDE"/>
    <w:rsid w:val="0051446B"/>
    <w:rsid w:val="00514C31"/>
    <w:rsid w:val="005158C5"/>
    <w:rsid w:val="0051602C"/>
    <w:rsid w:val="00516137"/>
    <w:rsid w:val="00516761"/>
    <w:rsid w:val="00516811"/>
    <w:rsid w:val="00516BFA"/>
    <w:rsid w:val="00520364"/>
    <w:rsid w:val="005214DC"/>
    <w:rsid w:val="00521660"/>
    <w:rsid w:val="005223B9"/>
    <w:rsid w:val="005238CE"/>
    <w:rsid w:val="0052503E"/>
    <w:rsid w:val="0052536B"/>
    <w:rsid w:val="00525CBC"/>
    <w:rsid w:val="00526086"/>
    <w:rsid w:val="00526AD6"/>
    <w:rsid w:val="00527388"/>
    <w:rsid w:val="0052755A"/>
    <w:rsid w:val="00527973"/>
    <w:rsid w:val="00530169"/>
    <w:rsid w:val="00530242"/>
    <w:rsid w:val="00530828"/>
    <w:rsid w:val="0053083B"/>
    <w:rsid w:val="005315C1"/>
    <w:rsid w:val="00531B82"/>
    <w:rsid w:val="00532B23"/>
    <w:rsid w:val="00533F66"/>
    <w:rsid w:val="00534D65"/>
    <w:rsid w:val="00535E0A"/>
    <w:rsid w:val="005362DF"/>
    <w:rsid w:val="00536784"/>
    <w:rsid w:val="00536A65"/>
    <w:rsid w:val="0053710A"/>
    <w:rsid w:val="005376FB"/>
    <w:rsid w:val="005377AA"/>
    <w:rsid w:val="00537DDF"/>
    <w:rsid w:val="00537EA3"/>
    <w:rsid w:val="00540124"/>
    <w:rsid w:val="00540588"/>
    <w:rsid w:val="00540888"/>
    <w:rsid w:val="00541279"/>
    <w:rsid w:val="00541306"/>
    <w:rsid w:val="0054301B"/>
    <w:rsid w:val="00543631"/>
    <w:rsid w:val="00543830"/>
    <w:rsid w:val="00543BFD"/>
    <w:rsid w:val="00544821"/>
    <w:rsid w:val="00544837"/>
    <w:rsid w:val="005448B3"/>
    <w:rsid w:val="00545471"/>
    <w:rsid w:val="00545811"/>
    <w:rsid w:val="005459FE"/>
    <w:rsid w:val="00546217"/>
    <w:rsid w:val="00546BFB"/>
    <w:rsid w:val="00546FBF"/>
    <w:rsid w:val="00547653"/>
    <w:rsid w:val="005503B8"/>
    <w:rsid w:val="00550B51"/>
    <w:rsid w:val="00550CA7"/>
    <w:rsid w:val="00551066"/>
    <w:rsid w:val="00551B5B"/>
    <w:rsid w:val="005526CB"/>
    <w:rsid w:val="005527D4"/>
    <w:rsid w:val="00552DC6"/>
    <w:rsid w:val="00552E98"/>
    <w:rsid w:val="00552EA9"/>
    <w:rsid w:val="00553911"/>
    <w:rsid w:val="0055401F"/>
    <w:rsid w:val="00554EDC"/>
    <w:rsid w:val="00554F7D"/>
    <w:rsid w:val="005551C3"/>
    <w:rsid w:val="00555E45"/>
    <w:rsid w:val="00556629"/>
    <w:rsid w:val="00556A3F"/>
    <w:rsid w:val="00556AFD"/>
    <w:rsid w:val="005574CF"/>
    <w:rsid w:val="005604A9"/>
    <w:rsid w:val="005621D8"/>
    <w:rsid w:val="00562897"/>
    <w:rsid w:val="0056356D"/>
    <w:rsid w:val="00564269"/>
    <w:rsid w:val="005643CB"/>
    <w:rsid w:val="00564463"/>
    <w:rsid w:val="00564655"/>
    <w:rsid w:val="00564831"/>
    <w:rsid w:val="0056504B"/>
    <w:rsid w:val="005656CD"/>
    <w:rsid w:val="00566164"/>
    <w:rsid w:val="00566362"/>
    <w:rsid w:val="005666BC"/>
    <w:rsid w:val="00566969"/>
    <w:rsid w:val="0056714F"/>
    <w:rsid w:val="005672DC"/>
    <w:rsid w:val="00567D1E"/>
    <w:rsid w:val="00567DFE"/>
    <w:rsid w:val="00570943"/>
    <w:rsid w:val="00570CB2"/>
    <w:rsid w:val="00571247"/>
    <w:rsid w:val="00571D3E"/>
    <w:rsid w:val="00572184"/>
    <w:rsid w:val="00572915"/>
    <w:rsid w:val="005735A9"/>
    <w:rsid w:val="00573C44"/>
    <w:rsid w:val="0057484C"/>
    <w:rsid w:val="005750A2"/>
    <w:rsid w:val="00575B1A"/>
    <w:rsid w:val="00575BA4"/>
    <w:rsid w:val="00575F3A"/>
    <w:rsid w:val="005760C3"/>
    <w:rsid w:val="005763FF"/>
    <w:rsid w:val="00576972"/>
    <w:rsid w:val="00576B69"/>
    <w:rsid w:val="00577736"/>
    <w:rsid w:val="00577C49"/>
    <w:rsid w:val="00577ED8"/>
    <w:rsid w:val="00581702"/>
    <w:rsid w:val="005826F0"/>
    <w:rsid w:val="005827D4"/>
    <w:rsid w:val="00582873"/>
    <w:rsid w:val="0058306C"/>
    <w:rsid w:val="0058429A"/>
    <w:rsid w:val="005844B5"/>
    <w:rsid w:val="00584AA1"/>
    <w:rsid w:val="00584BF5"/>
    <w:rsid w:val="005855A1"/>
    <w:rsid w:val="00585F71"/>
    <w:rsid w:val="005861E8"/>
    <w:rsid w:val="0058630F"/>
    <w:rsid w:val="00586446"/>
    <w:rsid w:val="00586670"/>
    <w:rsid w:val="00586811"/>
    <w:rsid w:val="00587B19"/>
    <w:rsid w:val="00590BF2"/>
    <w:rsid w:val="00590C6D"/>
    <w:rsid w:val="0059129A"/>
    <w:rsid w:val="00591892"/>
    <w:rsid w:val="00591A61"/>
    <w:rsid w:val="00591ED2"/>
    <w:rsid w:val="00592832"/>
    <w:rsid w:val="00592BE8"/>
    <w:rsid w:val="005944E9"/>
    <w:rsid w:val="00594D28"/>
    <w:rsid w:val="00594FE2"/>
    <w:rsid w:val="005955B6"/>
    <w:rsid w:val="0059574D"/>
    <w:rsid w:val="00595998"/>
    <w:rsid w:val="00595BC8"/>
    <w:rsid w:val="00595E80"/>
    <w:rsid w:val="00595ECF"/>
    <w:rsid w:val="005970BB"/>
    <w:rsid w:val="0059756B"/>
    <w:rsid w:val="005A046B"/>
    <w:rsid w:val="005A0D12"/>
    <w:rsid w:val="005A11BD"/>
    <w:rsid w:val="005A12FB"/>
    <w:rsid w:val="005A1394"/>
    <w:rsid w:val="005A1912"/>
    <w:rsid w:val="005A1C9C"/>
    <w:rsid w:val="005A237D"/>
    <w:rsid w:val="005A2521"/>
    <w:rsid w:val="005A2B70"/>
    <w:rsid w:val="005A34E3"/>
    <w:rsid w:val="005A411D"/>
    <w:rsid w:val="005A422F"/>
    <w:rsid w:val="005A438E"/>
    <w:rsid w:val="005A4543"/>
    <w:rsid w:val="005A46D7"/>
    <w:rsid w:val="005A5EE1"/>
    <w:rsid w:val="005A6A7A"/>
    <w:rsid w:val="005A6ABC"/>
    <w:rsid w:val="005A7A0B"/>
    <w:rsid w:val="005A7DDC"/>
    <w:rsid w:val="005B06CA"/>
    <w:rsid w:val="005B0CA9"/>
    <w:rsid w:val="005B1457"/>
    <w:rsid w:val="005B1EA5"/>
    <w:rsid w:val="005B2D01"/>
    <w:rsid w:val="005B30C6"/>
    <w:rsid w:val="005B41A8"/>
    <w:rsid w:val="005B45CE"/>
    <w:rsid w:val="005B4AB0"/>
    <w:rsid w:val="005B5091"/>
    <w:rsid w:val="005B5380"/>
    <w:rsid w:val="005B56A6"/>
    <w:rsid w:val="005B5A4F"/>
    <w:rsid w:val="005B5BB2"/>
    <w:rsid w:val="005B5E28"/>
    <w:rsid w:val="005B609B"/>
    <w:rsid w:val="005B64B6"/>
    <w:rsid w:val="005B6626"/>
    <w:rsid w:val="005B6649"/>
    <w:rsid w:val="005B6A9C"/>
    <w:rsid w:val="005B7767"/>
    <w:rsid w:val="005B7872"/>
    <w:rsid w:val="005B7DA6"/>
    <w:rsid w:val="005B7DF8"/>
    <w:rsid w:val="005C00BA"/>
    <w:rsid w:val="005C1419"/>
    <w:rsid w:val="005C161E"/>
    <w:rsid w:val="005C17E2"/>
    <w:rsid w:val="005C1F1B"/>
    <w:rsid w:val="005C219A"/>
    <w:rsid w:val="005C2B8A"/>
    <w:rsid w:val="005C323E"/>
    <w:rsid w:val="005C41C6"/>
    <w:rsid w:val="005C444C"/>
    <w:rsid w:val="005C456A"/>
    <w:rsid w:val="005C60B7"/>
    <w:rsid w:val="005C6541"/>
    <w:rsid w:val="005C669C"/>
    <w:rsid w:val="005C6AD2"/>
    <w:rsid w:val="005C6E82"/>
    <w:rsid w:val="005C6E97"/>
    <w:rsid w:val="005C7230"/>
    <w:rsid w:val="005C7589"/>
    <w:rsid w:val="005C75F5"/>
    <w:rsid w:val="005C7FC6"/>
    <w:rsid w:val="005D0B45"/>
    <w:rsid w:val="005D1218"/>
    <w:rsid w:val="005D1994"/>
    <w:rsid w:val="005D199B"/>
    <w:rsid w:val="005D2379"/>
    <w:rsid w:val="005D34B9"/>
    <w:rsid w:val="005D366B"/>
    <w:rsid w:val="005D3A89"/>
    <w:rsid w:val="005D3C36"/>
    <w:rsid w:val="005D4458"/>
    <w:rsid w:val="005D50AC"/>
    <w:rsid w:val="005D5F5F"/>
    <w:rsid w:val="005D626D"/>
    <w:rsid w:val="005D67ED"/>
    <w:rsid w:val="005D67EF"/>
    <w:rsid w:val="005D7039"/>
    <w:rsid w:val="005D7FD5"/>
    <w:rsid w:val="005E03B5"/>
    <w:rsid w:val="005E03BC"/>
    <w:rsid w:val="005E08B2"/>
    <w:rsid w:val="005E1408"/>
    <w:rsid w:val="005E17BE"/>
    <w:rsid w:val="005E1B0B"/>
    <w:rsid w:val="005E1DAB"/>
    <w:rsid w:val="005E1F8B"/>
    <w:rsid w:val="005E20CD"/>
    <w:rsid w:val="005E2D55"/>
    <w:rsid w:val="005E31B0"/>
    <w:rsid w:val="005E3476"/>
    <w:rsid w:val="005E3868"/>
    <w:rsid w:val="005E4141"/>
    <w:rsid w:val="005E44F3"/>
    <w:rsid w:val="005E549E"/>
    <w:rsid w:val="005E582D"/>
    <w:rsid w:val="005E5F4A"/>
    <w:rsid w:val="005E6E21"/>
    <w:rsid w:val="005E7119"/>
    <w:rsid w:val="005E73FD"/>
    <w:rsid w:val="005E7B5B"/>
    <w:rsid w:val="005F03C1"/>
    <w:rsid w:val="005F05A8"/>
    <w:rsid w:val="005F0918"/>
    <w:rsid w:val="005F124B"/>
    <w:rsid w:val="005F293A"/>
    <w:rsid w:val="005F300A"/>
    <w:rsid w:val="005F31CC"/>
    <w:rsid w:val="005F3246"/>
    <w:rsid w:val="005F4049"/>
    <w:rsid w:val="005F46E2"/>
    <w:rsid w:val="005F4ACA"/>
    <w:rsid w:val="005F5489"/>
    <w:rsid w:val="005F5F8F"/>
    <w:rsid w:val="005F6C54"/>
    <w:rsid w:val="005F753C"/>
    <w:rsid w:val="005F75B5"/>
    <w:rsid w:val="005F7A8F"/>
    <w:rsid w:val="00600204"/>
    <w:rsid w:val="00601379"/>
    <w:rsid w:val="006020E6"/>
    <w:rsid w:val="006024B5"/>
    <w:rsid w:val="00602820"/>
    <w:rsid w:val="00602B00"/>
    <w:rsid w:val="00602D6F"/>
    <w:rsid w:val="00603411"/>
    <w:rsid w:val="00603888"/>
    <w:rsid w:val="00603BF5"/>
    <w:rsid w:val="00603D84"/>
    <w:rsid w:val="00603EDF"/>
    <w:rsid w:val="00604067"/>
    <w:rsid w:val="006040EC"/>
    <w:rsid w:val="006042FC"/>
    <w:rsid w:val="00604A8B"/>
    <w:rsid w:val="00605573"/>
    <w:rsid w:val="006056DE"/>
    <w:rsid w:val="0060580E"/>
    <w:rsid w:val="006064FF"/>
    <w:rsid w:val="00606A34"/>
    <w:rsid w:val="00606BB3"/>
    <w:rsid w:val="006070DC"/>
    <w:rsid w:val="006072AE"/>
    <w:rsid w:val="006073F3"/>
    <w:rsid w:val="00607835"/>
    <w:rsid w:val="00607F21"/>
    <w:rsid w:val="0061094E"/>
    <w:rsid w:val="0061172E"/>
    <w:rsid w:val="006125C9"/>
    <w:rsid w:val="006128B3"/>
    <w:rsid w:val="00613BA7"/>
    <w:rsid w:val="00613CEB"/>
    <w:rsid w:val="00613D38"/>
    <w:rsid w:val="00613E42"/>
    <w:rsid w:val="00613EDD"/>
    <w:rsid w:val="00614F12"/>
    <w:rsid w:val="00614FAF"/>
    <w:rsid w:val="00615175"/>
    <w:rsid w:val="00615904"/>
    <w:rsid w:val="00615A8C"/>
    <w:rsid w:val="00615E44"/>
    <w:rsid w:val="00616BEC"/>
    <w:rsid w:val="00616C97"/>
    <w:rsid w:val="0061744E"/>
    <w:rsid w:val="006174E4"/>
    <w:rsid w:val="00617722"/>
    <w:rsid w:val="00617B5E"/>
    <w:rsid w:val="006209E4"/>
    <w:rsid w:val="0062145A"/>
    <w:rsid w:val="00621BA6"/>
    <w:rsid w:val="00621C6F"/>
    <w:rsid w:val="00621DAF"/>
    <w:rsid w:val="00622291"/>
    <w:rsid w:val="006224FA"/>
    <w:rsid w:val="0062303B"/>
    <w:rsid w:val="006230DA"/>
    <w:rsid w:val="006234D0"/>
    <w:rsid w:val="00623C9D"/>
    <w:rsid w:val="00625800"/>
    <w:rsid w:val="00626758"/>
    <w:rsid w:val="00626B74"/>
    <w:rsid w:val="00627831"/>
    <w:rsid w:val="0063017D"/>
    <w:rsid w:val="00630451"/>
    <w:rsid w:val="006304BB"/>
    <w:rsid w:val="00630CB2"/>
    <w:rsid w:val="006310DD"/>
    <w:rsid w:val="006312F8"/>
    <w:rsid w:val="006313AD"/>
    <w:rsid w:val="00631935"/>
    <w:rsid w:val="0063195B"/>
    <w:rsid w:val="006322CD"/>
    <w:rsid w:val="00632963"/>
    <w:rsid w:val="0063345C"/>
    <w:rsid w:val="00633738"/>
    <w:rsid w:val="006341D3"/>
    <w:rsid w:val="00634CD9"/>
    <w:rsid w:val="0063595F"/>
    <w:rsid w:val="00635D8F"/>
    <w:rsid w:val="006364B8"/>
    <w:rsid w:val="0063650B"/>
    <w:rsid w:val="00637585"/>
    <w:rsid w:val="006376F7"/>
    <w:rsid w:val="00640BFD"/>
    <w:rsid w:val="0064152A"/>
    <w:rsid w:val="0064190D"/>
    <w:rsid w:val="00641AF2"/>
    <w:rsid w:val="00641D8B"/>
    <w:rsid w:val="00642289"/>
    <w:rsid w:val="00642560"/>
    <w:rsid w:val="00642726"/>
    <w:rsid w:val="00642BDA"/>
    <w:rsid w:val="0064300C"/>
    <w:rsid w:val="0064351D"/>
    <w:rsid w:val="006435B1"/>
    <w:rsid w:val="00643A67"/>
    <w:rsid w:val="00643C31"/>
    <w:rsid w:val="00643D0C"/>
    <w:rsid w:val="00643ED2"/>
    <w:rsid w:val="0064511C"/>
    <w:rsid w:val="00645125"/>
    <w:rsid w:val="00646411"/>
    <w:rsid w:val="00646634"/>
    <w:rsid w:val="006477F1"/>
    <w:rsid w:val="00647FDF"/>
    <w:rsid w:val="00650958"/>
    <w:rsid w:val="00650AFA"/>
    <w:rsid w:val="006517F5"/>
    <w:rsid w:val="00651BC9"/>
    <w:rsid w:val="00651CF8"/>
    <w:rsid w:val="00651DF3"/>
    <w:rsid w:val="0065238A"/>
    <w:rsid w:val="006526D2"/>
    <w:rsid w:val="00652724"/>
    <w:rsid w:val="00653994"/>
    <w:rsid w:val="0065429A"/>
    <w:rsid w:val="006545A8"/>
    <w:rsid w:val="00654A7A"/>
    <w:rsid w:val="00654D45"/>
    <w:rsid w:val="006553DF"/>
    <w:rsid w:val="00656279"/>
    <w:rsid w:val="006564F5"/>
    <w:rsid w:val="006567AB"/>
    <w:rsid w:val="0065712E"/>
    <w:rsid w:val="00657239"/>
    <w:rsid w:val="00660262"/>
    <w:rsid w:val="00660313"/>
    <w:rsid w:val="00660479"/>
    <w:rsid w:val="006616D8"/>
    <w:rsid w:val="00661F03"/>
    <w:rsid w:val="00662051"/>
    <w:rsid w:val="00662099"/>
    <w:rsid w:val="00662118"/>
    <w:rsid w:val="00662393"/>
    <w:rsid w:val="0066292E"/>
    <w:rsid w:val="0066364E"/>
    <w:rsid w:val="00663BB0"/>
    <w:rsid w:val="00663EF4"/>
    <w:rsid w:val="00665528"/>
    <w:rsid w:val="00665660"/>
    <w:rsid w:val="00665AFF"/>
    <w:rsid w:val="00665B6B"/>
    <w:rsid w:val="00667304"/>
    <w:rsid w:val="00670299"/>
    <w:rsid w:val="00671238"/>
    <w:rsid w:val="006714CA"/>
    <w:rsid w:val="006722B0"/>
    <w:rsid w:val="00672813"/>
    <w:rsid w:val="0067313A"/>
    <w:rsid w:val="006732E6"/>
    <w:rsid w:val="006732F3"/>
    <w:rsid w:val="00673CD6"/>
    <w:rsid w:val="00673D4E"/>
    <w:rsid w:val="00673DCB"/>
    <w:rsid w:val="006748A2"/>
    <w:rsid w:val="00674A44"/>
    <w:rsid w:val="00674E87"/>
    <w:rsid w:val="0067564B"/>
    <w:rsid w:val="00675757"/>
    <w:rsid w:val="00675DE6"/>
    <w:rsid w:val="00675F88"/>
    <w:rsid w:val="0067632C"/>
    <w:rsid w:val="006767E1"/>
    <w:rsid w:val="00676DCA"/>
    <w:rsid w:val="006773D7"/>
    <w:rsid w:val="00680B8D"/>
    <w:rsid w:val="00680E60"/>
    <w:rsid w:val="00681B82"/>
    <w:rsid w:val="00682284"/>
    <w:rsid w:val="00682CB4"/>
    <w:rsid w:val="00683D5C"/>
    <w:rsid w:val="00684077"/>
    <w:rsid w:val="00684BD3"/>
    <w:rsid w:val="00684DE2"/>
    <w:rsid w:val="006853E7"/>
    <w:rsid w:val="0068567A"/>
    <w:rsid w:val="0069031C"/>
    <w:rsid w:val="00690456"/>
    <w:rsid w:val="006905FF"/>
    <w:rsid w:val="00690854"/>
    <w:rsid w:val="00691425"/>
    <w:rsid w:val="00691961"/>
    <w:rsid w:val="00691E72"/>
    <w:rsid w:val="0069283D"/>
    <w:rsid w:val="00692E93"/>
    <w:rsid w:val="00693961"/>
    <w:rsid w:val="00693B88"/>
    <w:rsid w:val="00693BC7"/>
    <w:rsid w:val="00693F83"/>
    <w:rsid w:val="00694822"/>
    <w:rsid w:val="00694DDE"/>
    <w:rsid w:val="0069563D"/>
    <w:rsid w:val="006957BA"/>
    <w:rsid w:val="0069612F"/>
    <w:rsid w:val="00696991"/>
    <w:rsid w:val="00696CAA"/>
    <w:rsid w:val="00697537"/>
    <w:rsid w:val="00697804"/>
    <w:rsid w:val="006A05F6"/>
    <w:rsid w:val="006A0ECD"/>
    <w:rsid w:val="006A1D1F"/>
    <w:rsid w:val="006A237B"/>
    <w:rsid w:val="006A24AD"/>
    <w:rsid w:val="006A3398"/>
    <w:rsid w:val="006A3496"/>
    <w:rsid w:val="006A3D36"/>
    <w:rsid w:val="006A3E6D"/>
    <w:rsid w:val="006A454A"/>
    <w:rsid w:val="006A4747"/>
    <w:rsid w:val="006A4EF2"/>
    <w:rsid w:val="006A4F5E"/>
    <w:rsid w:val="006A6699"/>
    <w:rsid w:val="006A6D77"/>
    <w:rsid w:val="006A70EA"/>
    <w:rsid w:val="006A7149"/>
    <w:rsid w:val="006A72E4"/>
    <w:rsid w:val="006A74B1"/>
    <w:rsid w:val="006A7B35"/>
    <w:rsid w:val="006B011B"/>
    <w:rsid w:val="006B0720"/>
    <w:rsid w:val="006B0B6B"/>
    <w:rsid w:val="006B2039"/>
    <w:rsid w:val="006B2CD5"/>
    <w:rsid w:val="006B48C1"/>
    <w:rsid w:val="006B48E9"/>
    <w:rsid w:val="006B4E5D"/>
    <w:rsid w:val="006B575A"/>
    <w:rsid w:val="006B5A28"/>
    <w:rsid w:val="006B5BA5"/>
    <w:rsid w:val="006B6424"/>
    <w:rsid w:val="006B657B"/>
    <w:rsid w:val="006B6B23"/>
    <w:rsid w:val="006B6BE5"/>
    <w:rsid w:val="006B6CEC"/>
    <w:rsid w:val="006B6D32"/>
    <w:rsid w:val="006B6D72"/>
    <w:rsid w:val="006B736C"/>
    <w:rsid w:val="006B7754"/>
    <w:rsid w:val="006B7875"/>
    <w:rsid w:val="006B79CA"/>
    <w:rsid w:val="006C07D9"/>
    <w:rsid w:val="006C1500"/>
    <w:rsid w:val="006C1A3A"/>
    <w:rsid w:val="006C1EC7"/>
    <w:rsid w:val="006C2732"/>
    <w:rsid w:val="006C30B9"/>
    <w:rsid w:val="006C36B1"/>
    <w:rsid w:val="006C398A"/>
    <w:rsid w:val="006C3A46"/>
    <w:rsid w:val="006C3F58"/>
    <w:rsid w:val="006C40B2"/>
    <w:rsid w:val="006C4186"/>
    <w:rsid w:val="006C46FC"/>
    <w:rsid w:val="006C4D6D"/>
    <w:rsid w:val="006C51E6"/>
    <w:rsid w:val="006C549E"/>
    <w:rsid w:val="006C569D"/>
    <w:rsid w:val="006C56F9"/>
    <w:rsid w:val="006C66B4"/>
    <w:rsid w:val="006C6DD5"/>
    <w:rsid w:val="006C76CF"/>
    <w:rsid w:val="006C7C21"/>
    <w:rsid w:val="006D0679"/>
    <w:rsid w:val="006D0963"/>
    <w:rsid w:val="006D135D"/>
    <w:rsid w:val="006D2A56"/>
    <w:rsid w:val="006D37F2"/>
    <w:rsid w:val="006D42E4"/>
    <w:rsid w:val="006D445E"/>
    <w:rsid w:val="006D4E48"/>
    <w:rsid w:val="006D5448"/>
    <w:rsid w:val="006D6304"/>
    <w:rsid w:val="006D6BA9"/>
    <w:rsid w:val="006D7C18"/>
    <w:rsid w:val="006E04CA"/>
    <w:rsid w:val="006E04E0"/>
    <w:rsid w:val="006E1428"/>
    <w:rsid w:val="006E1685"/>
    <w:rsid w:val="006E1D6A"/>
    <w:rsid w:val="006E22BB"/>
    <w:rsid w:val="006E2744"/>
    <w:rsid w:val="006E3DC6"/>
    <w:rsid w:val="006E3EE8"/>
    <w:rsid w:val="006E4740"/>
    <w:rsid w:val="006E4AB9"/>
    <w:rsid w:val="006E5248"/>
    <w:rsid w:val="006E5326"/>
    <w:rsid w:val="006E5669"/>
    <w:rsid w:val="006E5B61"/>
    <w:rsid w:val="006E5ED3"/>
    <w:rsid w:val="006E60D4"/>
    <w:rsid w:val="006E6647"/>
    <w:rsid w:val="006E6C00"/>
    <w:rsid w:val="006E6EE0"/>
    <w:rsid w:val="006E6F59"/>
    <w:rsid w:val="006E7105"/>
    <w:rsid w:val="006F0343"/>
    <w:rsid w:val="006F07B3"/>
    <w:rsid w:val="006F0CB8"/>
    <w:rsid w:val="006F0D46"/>
    <w:rsid w:val="006F1480"/>
    <w:rsid w:val="006F2394"/>
    <w:rsid w:val="006F2476"/>
    <w:rsid w:val="006F3191"/>
    <w:rsid w:val="006F35FC"/>
    <w:rsid w:val="006F3A0F"/>
    <w:rsid w:val="006F3AC8"/>
    <w:rsid w:val="006F3F34"/>
    <w:rsid w:val="006F4274"/>
    <w:rsid w:val="006F477E"/>
    <w:rsid w:val="006F4D9D"/>
    <w:rsid w:val="006F5150"/>
    <w:rsid w:val="006F5665"/>
    <w:rsid w:val="006F5C2C"/>
    <w:rsid w:val="006F6217"/>
    <w:rsid w:val="006F63B0"/>
    <w:rsid w:val="006F652E"/>
    <w:rsid w:val="006F6610"/>
    <w:rsid w:val="006F6BB1"/>
    <w:rsid w:val="006F76C9"/>
    <w:rsid w:val="00700229"/>
    <w:rsid w:val="007005C1"/>
    <w:rsid w:val="0070153B"/>
    <w:rsid w:val="00703063"/>
    <w:rsid w:val="0070311B"/>
    <w:rsid w:val="007043F8"/>
    <w:rsid w:val="00704567"/>
    <w:rsid w:val="00704D6F"/>
    <w:rsid w:val="00705976"/>
    <w:rsid w:val="00705D65"/>
    <w:rsid w:val="00705F69"/>
    <w:rsid w:val="007061AD"/>
    <w:rsid w:val="00706DF5"/>
    <w:rsid w:val="00706E68"/>
    <w:rsid w:val="007072AC"/>
    <w:rsid w:val="0070793D"/>
    <w:rsid w:val="00707F82"/>
    <w:rsid w:val="00710463"/>
    <w:rsid w:val="00710558"/>
    <w:rsid w:val="00710684"/>
    <w:rsid w:val="007107BF"/>
    <w:rsid w:val="00710C18"/>
    <w:rsid w:val="00711EB6"/>
    <w:rsid w:val="00712674"/>
    <w:rsid w:val="0071466C"/>
    <w:rsid w:val="007147D0"/>
    <w:rsid w:val="00714915"/>
    <w:rsid w:val="0071568D"/>
    <w:rsid w:val="00715957"/>
    <w:rsid w:val="007162B9"/>
    <w:rsid w:val="0071777C"/>
    <w:rsid w:val="0071782C"/>
    <w:rsid w:val="0071788E"/>
    <w:rsid w:val="00717E34"/>
    <w:rsid w:val="00720068"/>
    <w:rsid w:val="00720629"/>
    <w:rsid w:val="007206CD"/>
    <w:rsid w:val="00720812"/>
    <w:rsid w:val="00720950"/>
    <w:rsid w:val="00721C68"/>
    <w:rsid w:val="00722773"/>
    <w:rsid w:val="00722806"/>
    <w:rsid w:val="00723720"/>
    <w:rsid w:val="00723D9D"/>
    <w:rsid w:val="007241D5"/>
    <w:rsid w:val="0072499D"/>
    <w:rsid w:val="007257F7"/>
    <w:rsid w:val="00726190"/>
    <w:rsid w:val="00726742"/>
    <w:rsid w:val="0072706A"/>
    <w:rsid w:val="0072733C"/>
    <w:rsid w:val="007274B9"/>
    <w:rsid w:val="00727912"/>
    <w:rsid w:val="00727AEF"/>
    <w:rsid w:val="007305BA"/>
    <w:rsid w:val="0073092B"/>
    <w:rsid w:val="0073165B"/>
    <w:rsid w:val="0073184F"/>
    <w:rsid w:val="00731C83"/>
    <w:rsid w:val="007321F4"/>
    <w:rsid w:val="00732292"/>
    <w:rsid w:val="007325E5"/>
    <w:rsid w:val="007326AA"/>
    <w:rsid w:val="00733315"/>
    <w:rsid w:val="00733D9B"/>
    <w:rsid w:val="00734268"/>
    <w:rsid w:val="00734520"/>
    <w:rsid w:val="00734546"/>
    <w:rsid w:val="00734577"/>
    <w:rsid w:val="00734A0B"/>
    <w:rsid w:val="00735935"/>
    <w:rsid w:val="00735AD9"/>
    <w:rsid w:val="00735BE7"/>
    <w:rsid w:val="00735E38"/>
    <w:rsid w:val="0073635A"/>
    <w:rsid w:val="00736361"/>
    <w:rsid w:val="007365AE"/>
    <w:rsid w:val="00736809"/>
    <w:rsid w:val="0073684B"/>
    <w:rsid w:val="0073773E"/>
    <w:rsid w:val="007404C7"/>
    <w:rsid w:val="00740E85"/>
    <w:rsid w:val="007410C4"/>
    <w:rsid w:val="00741910"/>
    <w:rsid w:val="007423BE"/>
    <w:rsid w:val="0074385B"/>
    <w:rsid w:val="0074412F"/>
    <w:rsid w:val="00744592"/>
    <w:rsid w:val="00745DC5"/>
    <w:rsid w:val="007467EC"/>
    <w:rsid w:val="00746CD9"/>
    <w:rsid w:val="00746E0E"/>
    <w:rsid w:val="00747A12"/>
    <w:rsid w:val="00747A7E"/>
    <w:rsid w:val="00747EBB"/>
    <w:rsid w:val="00750064"/>
    <w:rsid w:val="007508CC"/>
    <w:rsid w:val="00750908"/>
    <w:rsid w:val="007509C2"/>
    <w:rsid w:val="00750D11"/>
    <w:rsid w:val="007519F9"/>
    <w:rsid w:val="00751D01"/>
    <w:rsid w:val="00752121"/>
    <w:rsid w:val="00752127"/>
    <w:rsid w:val="007522C9"/>
    <w:rsid w:val="00752D1E"/>
    <w:rsid w:val="00752F36"/>
    <w:rsid w:val="00753357"/>
    <w:rsid w:val="007534D8"/>
    <w:rsid w:val="00753EB0"/>
    <w:rsid w:val="00754369"/>
    <w:rsid w:val="007563BF"/>
    <w:rsid w:val="00756984"/>
    <w:rsid w:val="00756A46"/>
    <w:rsid w:val="00756BF4"/>
    <w:rsid w:val="00756F0B"/>
    <w:rsid w:val="00757280"/>
    <w:rsid w:val="00757706"/>
    <w:rsid w:val="00757B29"/>
    <w:rsid w:val="00757C7F"/>
    <w:rsid w:val="00760B3E"/>
    <w:rsid w:val="00761017"/>
    <w:rsid w:val="007620FF"/>
    <w:rsid w:val="007633FB"/>
    <w:rsid w:val="007637B9"/>
    <w:rsid w:val="00763DDA"/>
    <w:rsid w:val="007647DE"/>
    <w:rsid w:val="00764859"/>
    <w:rsid w:val="00764DE5"/>
    <w:rsid w:val="007672AF"/>
    <w:rsid w:val="00767484"/>
    <w:rsid w:val="007676B4"/>
    <w:rsid w:val="007700BF"/>
    <w:rsid w:val="00770210"/>
    <w:rsid w:val="00770ACB"/>
    <w:rsid w:val="007710FA"/>
    <w:rsid w:val="00771414"/>
    <w:rsid w:val="0077164E"/>
    <w:rsid w:val="00771D7D"/>
    <w:rsid w:val="00771DAD"/>
    <w:rsid w:val="007729A6"/>
    <w:rsid w:val="00772C0C"/>
    <w:rsid w:val="00772CE5"/>
    <w:rsid w:val="00772DFB"/>
    <w:rsid w:val="00773518"/>
    <w:rsid w:val="0077367E"/>
    <w:rsid w:val="007736A9"/>
    <w:rsid w:val="00773810"/>
    <w:rsid w:val="00774263"/>
    <w:rsid w:val="007746F0"/>
    <w:rsid w:val="007747E7"/>
    <w:rsid w:val="00774D3D"/>
    <w:rsid w:val="007759EE"/>
    <w:rsid w:val="007760DD"/>
    <w:rsid w:val="007762D8"/>
    <w:rsid w:val="00776379"/>
    <w:rsid w:val="0077724F"/>
    <w:rsid w:val="007774E4"/>
    <w:rsid w:val="00780156"/>
    <w:rsid w:val="007802B9"/>
    <w:rsid w:val="00780495"/>
    <w:rsid w:val="00780B54"/>
    <w:rsid w:val="00780C49"/>
    <w:rsid w:val="00780EB4"/>
    <w:rsid w:val="0078141F"/>
    <w:rsid w:val="00781529"/>
    <w:rsid w:val="00782139"/>
    <w:rsid w:val="0078223E"/>
    <w:rsid w:val="00782EB2"/>
    <w:rsid w:val="0078306D"/>
    <w:rsid w:val="007836F4"/>
    <w:rsid w:val="00783884"/>
    <w:rsid w:val="00784282"/>
    <w:rsid w:val="0078476E"/>
    <w:rsid w:val="00784AA3"/>
    <w:rsid w:val="00785354"/>
    <w:rsid w:val="00785447"/>
    <w:rsid w:val="00785AA5"/>
    <w:rsid w:val="00786200"/>
    <w:rsid w:val="00786B49"/>
    <w:rsid w:val="00786FDF"/>
    <w:rsid w:val="00790194"/>
    <w:rsid w:val="00790410"/>
    <w:rsid w:val="0079090D"/>
    <w:rsid w:val="00790A58"/>
    <w:rsid w:val="00790C0C"/>
    <w:rsid w:val="00791109"/>
    <w:rsid w:val="00791307"/>
    <w:rsid w:val="0079141A"/>
    <w:rsid w:val="007918AD"/>
    <w:rsid w:val="00791BCE"/>
    <w:rsid w:val="00791C34"/>
    <w:rsid w:val="007922BE"/>
    <w:rsid w:val="00792333"/>
    <w:rsid w:val="007925A2"/>
    <w:rsid w:val="0079284C"/>
    <w:rsid w:val="007928B2"/>
    <w:rsid w:val="00792A85"/>
    <w:rsid w:val="00793A9E"/>
    <w:rsid w:val="00793E9B"/>
    <w:rsid w:val="007941ED"/>
    <w:rsid w:val="00794517"/>
    <w:rsid w:val="0079457B"/>
    <w:rsid w:val="00794A68"/>
    <w:rsid w:val="00794C94"/>
    <w:rsid w:val="00795602"/>
    <w:rsid w:val="007957C1"/>
    <w:rsid w:val="007958E9"/>
    <w:rsid w:val="00795C4C"/>
    <w:rsid w:val="007962E6"/>
    <w:rsid w:val="00796886"/>
    <w:rsid w:val="0079756C"/>
    <w:rsid w:val="007975EE"/>
    <w:rsid w:val="007A0393"/>
    <w:rsid w:val="007A0590"/>
    <w:rsid w:val="007A093A"/>
    <w:rsid w:val="007A1B0A"/>
    <w:rsid w:val="007A1E4C"/>
    <w:rsid w:val="007A2987"/>
    <w:rsid w:val="007A3401"/>
    <w:rsid w:val="007A35B7"/>
    <w:rsid w:val="007A4DFD"/>
    <w:rsid w:val="007A54C7"/>
    <w:rsid w:val="007A7B50"/>
    <w:rsid w:val="007A7B8C"/>
    <w:rsid w:val="007A7E61"/>
    <w:rsid w:val="007B0B94"/>
    <w:rsid w:val="007B0D72"/>
    <w:rsid w:val="007B135D"/>
    <w:rsid w:val="007B13F7"/>
    <w:rsid w:val="007B19F4"/>
    <w:rsid w:val="007B23E1"/>
    <w:rsid w:val="007B30E3"/>
    <w:rsid w:val="007B33FB"/>
    <w:rsid w:val="007B35D0"/>
    <w:rsid w:val="007B3B70"/>
    <w:rsid w:val="007B4082"/>
    <w:rsid w:val="007B4964"/>
    <w:rsid w:val="007B4AEC"/>
    <w:rsid w:val="007B4F70"/>
    <w:rsid w:val="007B4FAD"/>
    <w:rsid w:val="007B5617"/>
    <w:rsid w:val="007B5E26"/>
    <w:rsid w:val="007B6154"/>
    <w:rsid w:val="007B6467"/>
    <w:rsid w:val="007B6548"/>
    <w:rsid w:val="007B65E1"/>
    <w:rsid w:val="007B6679"/>
    <w:rsid w:val="007B69B8"/>
    <w:rsid w:val="007B6BD0"/>
    <w:rsid w:val="007B75EA"/>
    <w:rsid w:val="007B76C8"/>
    <w:rsid w:val="007B7830"/>
    <w:rsid w:val="007B79D5"/>
    <w:rsid w:val="007C0483"/>
    <w:rsid w:val="007C09D7"/>
    <w:rsid w:val="007C0D16"/>
    <w:rsid w:val="007C0ED6"/>
    <w:rsid w:val="007C17B1"/>
    <w:rsid w:val="007C2598"/>
    <w:rsid w:val="007C2CA4"/>
    <w:rsid w:val="007C360F"/>
    <w:rsid w:val="007C3F3F"/>
    <w:rsid w:val="007C4828"/>
    <w:rsid w:val="007C4842"/>
    <w:rsid w:val="007C496C"/>
    <w:rsid w:val="007C4C70"/>
    <w:rsid w:val="007C4CAA"/>
    <w:rsid w:val="007C51AA"/>
    <w:rsid w:val="007C5565"/>
    <w:rsid w:val="007C61CF"/>
    <w:rsid w:val="007C650D"/>
    <w:rsid w:val="007C6AC8"/>
    <w:rsid w:val="007C6AF0"/>
    <w:rsid w:val="007C707C"/>
    <w:rsid w:val="007C74DD"/>
    <w:rsid w:val="007C7613"/>
    <w:rsid w:val="007C7CBA"/>
    <w:rsid w:val="007D0C13"/>
    <w:rsid w:val="007D23CC"/>
    <w:rsid w:val="007D28C6"/>
    <w:rsid w:val="007D36EA"/>
    <w:rsid w:val="007D3711"/>
    <w:rsid w:val="007D4055"/>
    <w:rsid w:val="007D472A"/>
    <w:rsid w:val="007D4ABF"/>
    <w:rsid w:val="007D4E7E"/>
    <w:rsid w:val="007D4F1C"/>
    <w:rsid w:val="007D52A9"/>
    <w:rsid w:val="007D6BB4"/>
    <w:rsid w:val="007D6E44"/>
    <w:rsid w:val="007D7440"/>
    <w:rsid w:val="007D7863"/>
    <w:rsid w:val="007D7A3E"/>
    <w:rsid w:val="007D7B18"/>
    <w:rsid w:val="007E0CA8"/>
    <w:rsid w:val="007E1097"/>
    <w:rsid w:val="007E1624"/>
    <w:rsid w:val="007E162F"/>
    <w:rsid w:val="007E20DB"/>
    <w:rsid w:val="007E221B"/>
    <w:rsid w:val="007E2692"/>
    <w:rsid w:val="007E295C"/>
    <w:rsid w:val="007E2BCB"/>
    <w:rsid w:val="007E3174"/>
    <w:rsid w:val="007E37CA"/>
    <w:rsid w:val="007E3D75"/>
    <w:rsid w:val="007E42D9"/>
    <w:rsid w:val="007E42E8"/>
    <w:rsid w:val="007E48B0"/>
    <w:rsid w:val="007E491E"/>
    <w:rsid w:val="007E5104"/>
    <w:rsid w:val="007E667C"/>
    <w:rsid w:val="007E6733"/>
    <w:rsid w:val="007E6E14"/>
    <w:rsid w:val="007E755A"/>
    <w:rsid w:val="007E77CF"/>
    <w:rsid w:val="007E7D0B"/>
    <w:rsid w:val="007E7EF9"/>
    <w:rsid w:val="007F0133"/>
    <w:rsid w:val="007F0598"/>
    <w:rsid w:val="007F062C"/>
    <w:rsid w:val="007F0CCE"/>
    <w:rsid w:val="007F0EAB"/>
    <w:rsid w:val="007F0EDA"/>
    <w:rsid w:val="007F159C"/>
    <w:rsid w:val="007F36AF"/>
    <w:rsid w:val="007F3E53"/>
    <w:rsid w:val="007F3FDC"/>
    <w:rsid w:val="007F4A7B"/>
    <w:rsid w:val="007F5087"/>
    <w:rsid w:val="007F55DD"/>
    <w:rsid w:val="007F5CA4"/>
    <w:rsid w:val="007F5E2E"/>
    <w:rsid w:val="007F6A99"/>
    <w:rsid w:val="007F7066"/>
    <w:rsid w:val="00800C74"/>
    <w:rsid w:val="008015E7"/>
    <w:rsid w:val="00801C20"/>
    <w:rsid w:val="00802641"/>
    <w:rsid w:val="00802B98"/>
    <w:rsid w:val="008040B8"/>
    <w:rsid w:val="00804286"/>
    <w:rsid w:val="00805483"/>
    <w:rsid w:val="00805CF3"/>
    <w:rsid w:val="00805EA5"/>
    <w:rsid w:val="00806444"/>
    <w:rsid w:val="008064EC"/>
    <w:rsid w:val="00806A52"/>
    <w:rsid w:val="00807488"/>
    <w:rsid w:val="00807C07"/>
    <w:rsid w:val="00810DDA"/>
    <w:rsid w:val="00811038"/>
    <w:rsid w:val="008111D3"/>
    <w:rsid w:val="00811B26"/>
    <w:rsid w:val="00811BD7"/>
    <w:rsid w:val="00812112"/>
    <w:rsid w:val="008131FC"/>
    <w:rsid w:val="008140D2"/>
    <w:rsid w:val="00814512"/>
    <w:rsid w:val="00814546"/>
    <w:rsid w:val="00814810"/>
    <w:rsid w:val="00814A76"/>
    <w:rsid w:val="00815109"/>
    <w:rsid w:val="00815E1A"/>
    <w:rsid w:val="00816EA8"/>
    <w:rsid w:val="00817607"/>
    <w:rsid w:val="00817C37"/>
    <w:rsid w:val="00817DEE"/>
    <w:rsid w:val="0082029F"/>
    <w:rsid w:val="00820311"/>
    <w:rsid w:val="00820384"/>
    <w:rsid w:val="008213ED"/>
    <w:rsid w:val="008219C1"/>
    <w:rsid w:val="00821DDA"/>
    <w:rsid w:val="00822263"/>
    <w:rsid w:val="008224DE"/>
    <w:rsid w:val="00822565"/>
    <w:rsid w:val="008238D9"/>
    <w:rsid w:val="00823A63"/>
    <w:rsid w:val="00823AFB"/>
    <w:rsid w:val="008242E5"/>
    <w:rsid w:val="008243EE"/>
    <w:rsid w:val="008245BA"/>
    <w:rsid w:val="008246E6"/>
    <w:rsid w:val="00824F92"/>
    <w:rsid w:val="00825CD1"/>
    <w:rsid w:val="00825E2F"/>
    <w:rsid w:val="00825E84"/>
    <w:rsid w:val="0082692D"/>
    <w:rsid w:val="00827089"/>
    <w:rsid w:val="00830E36"/>
    <w:rsid w:val="00830E95"/>
    <w:rsid w:val="00830EC6"/>
    <w:rsid w:val="00831C96"/>
    <w:rsid w:val="008324C2"/>
    <w:rsid w:val="00832DD3"/>
    <w:rsid w:val="00833177"/>
    <w:rsid w:val="008332C0"/>
    <w:rsid w:val="00833474"/>
    <w:rsid w:val="0083370F"/>
    <w:rsid w:val="00833A60"/>
    <w:rsid w:val="008340CA"/>
    <w:rsid w:val="00834549"/>
    <w:rsid w:val="0083482F"/>
    <w:rsid w:val="00835270"/>
    <w:rsid w:val="00835577"/>
    <w:rsid w:val="00835BFF"/>
    <w:rsid w:val="00835D9C"/>
    <w:rsid w:val="0083661C"/>
    <w:rsid w:val="00836DEE"/>
    <w:rsid w:val="00837289"/>
    <w:rsid w:val="0083730F"/>
    <w:rsid w:val="00837B17"/>
    <w:rsid w:val="00837D22"/>
    <w:rsid w:val="00840AB9"/>
    <w:rsid w:val="00840BD4"/>
    <w:rsid w:val="008418F6"/>
    <w:rsid w:val="00841AF8"/>
    <w:rsid w:val="0084203F"/>
    <w:rsid w:val="008424F8"/>
    <w:rsid w:val="008426E9"/>
    <w:rsid w:val="00842931"/>
    <w:rsid w:val="00842BD7"/>
    <w:rsid w:val="00842CA3"/>
    <w:rsid w:val="0084391E"/>
    <w:rsid w:val="00843B6E"/>
    <w:rsid w:val="00844A34"/>
    <w:rsid w:val="00844A42"/>
    <w:rsid w:val="0084531A"/>
    <w:rsid w:val="00845699"/>
    <w:rsid w:val="00845E46"/>
    <w:rsid w:val="0084799D"/>
    <w:rsid w:val="00850067"/>
    <w:rsid w:val="00850119"/>
    <w:rsid w:val="00850339"/>
    <w:rsid w:val="00850AB2"/>
    <w:rsid w:val="00850C4B"/>
    <w:rsid w:val="00850E8D"/>
    <w:rsid w:val="0085133B"/>
    <w:rsid w:val="008515F4"/>
    <w:rsid w:val="008518A4"/>
    <w:rsid w:val="00851CFF"/>
    <w:rsid w:val="0085248B"/>
    <w:rsid w:val="0085290A"/>
    <w:rsid w:val="00853721"/>
    <w:rsid w:val="00853A44"/>
    <w:rsid w:val="00853D52"/>
    <w:rsid w:val="00854ED7"/>
    <w:rsid w:val="0085561E"/>
    <w:rsid w:val="00855B04"/>
    <w:rsid w:val="00856128"/>
    <w:rsid w:val="008565D8"/>
    <w:rsid w:val="0085660A"/>
    <w:rsid w:val="00856B71"/>
    <w:rsid w:val="00856F5A"/>
    <w:rsid w:val="0085783D"/>
    <w:rsid w:val="0085787C"/>
    <w:rsid w:val="00860262"/>
    <w:rsid w:val="00861639"/>
    <w:rsid w:val="00861657"/>
    <w:rsid w:val="00861A9E"/>
    <w:rsid w:val="00861B3C"/>
    <w:rsid w:val="00862B33"/>
    <w:rsid w:val="00863A89"/>
    <w:rsid w:val="00863B75"/>
    <w:rsid w:val="00863CDC"/>
    <w:rsid w:val="0086456B"/>
    <w:rsid w:val="008647F7"/>
    <w:rsid w:val="00865BAE"/>
    <w:rsid w:val="0086626D"/>
    <w:rsid w:val="0086633C"/>
    <w:rsid w:val="00866419"/>
    <w:rsid w:val="00867625"/>
    <w:rsid w:val="008677F6"/>
    <w:rsid w:val="008702F5"/>
    <w:rsid w:val="008705BE"/>
    <w:rsid w:val="00870A01"/>
    <w:rsid w:val="00871089"/>
    <w:rsid w:val="00871225"/>
    <w:rsid w:val="00871725"/>
    <w:rsid w:val="00871EB7"/>
    <w:rsid w:val="00872177"/>
    <w:rsid w:val="008726B0"/>
    <w:rsid w:val="00873251"/>
    <w:rsid w:val="00873CCF"/>
    <w:rsid w:val="008744FF"/>
    <w:rsid w:val="008746EE"/>
    <w:rsid w:val="00874A7C"/>
    <w:rsid w:val="00874B6F"/>
    <w:rsid w:val="00875513"/>
    <w:rsid w:val="0087561F"/>
    <w:rsid w:val="00875CAB"/>
    <w:rsid w:val="00875DBA"/>
    <w:rsid w:val="00875EA8"/>
    <w:rsid w:val="00876041"/>
    <w:rsid w:val="00876A32"/>
    <w:rsid w:val="00876C96"/>
    <w:rsid w:val="00876CE3"/>
    <w:rsid w:val="008770EE"/>
    <w:rsid w:val="00877925"/>
    <w:rsid w:val="00877DF8"/>
    <w:rsid w:val="0088009D"/>
    <w:rsid w:val="00880233"/>
    <w:rsid w:val="008805C4"/>
    <w:rsid w:val="00880CEC"/>
    <w:rsid w:val="008813CD"/>
    <w:rsid w:val="008816D2"/>
    <w:rsid w:val="00881733"/>
    <w:rsid w:val="008819A9"/>
    <w:rsid w:val="008819C7"/>
    <w:rsid w:val="00881EA5"/>
    <w:rsid w:val="00881FD2"/>
    <w:rsid w:val="008821C7"/>
    <w:rsid w:val="008824DD"/>
    <w:rsid w:val="00882BC9"/>
    <w:rsid w:val="00883458"/>
    <w:rsid w:val="00883931"/>
    <w:rsid w:val="00883A3C"/>
    <w:rsid w:val="00884695"/>
    <w:rsid w:val="008846B7"/>
    <w:rsid w:val="00886373"/>
    <w:rsid w:val="008864F1"/>
    <w:rsid w:val="00886700"/>
    <w:rsid w:val="00886B47"/>
    <w:rsid w:val="00886D31"/>
    <w:rsid w:val="008876BF"/>
    <w:rsid w:val="0088796C"/>
    <w:rsid w:val="00887B43"/>
    <w:rsid w:val="00887F19"/>
    <w:rsid w:val="008902C4"/>
    <w:rsid w:val="008903F6"/>
    <w:rsid w:val="0089084B"/>
    <w:rsid w:val="0089128F"/>
    <w:rsid w:val="008914C2"/>
    <w:rsid w:val="00891D9C"/>
    <w:rsid w:val="00891E91"/>
    <w:rsid w:val="00892124"/>
    <w:rsid w:val="00892219"/>
    <w:rsid w:val="00892911"/>
    <w:rsid w:val="00892964"/>
    <w:rsid w:val="00892F89"/>
    <w:rsid w:val="00893268"/>
    <w:rsid w:val="00893CBF"/>
    <w:rsid w:val="00893DF5"/>
    <w:rsid w:val="00894116"/>
    <w:rsid w:val="0089442E"/>
    <w:rsid w:val="0089483C"/>
    <w:rsid w:val="00894964"/>
    <w:rsid w:val="00894A29"/>
    <w:rsid w:val="008957F1"/>
    <w:rsid w:val="0089588A"/>
    <w:rsid w:val="008969C5"/>
    <w:rsid w:val="00896A1B"/>
    <w:rsid w:val="00896D95"/>
    <w:rsid w:val="008970D8"/>
    <w:rsid w:val="00897236"/>
    <w:rsid w:val="00897CEB"/>
    <w:rsid w:val="008A06C8"/>
    <w:rsid w:val="008A0993"/>
    <w:rsid w:val="008A0EE8"/>
    <w:rsid w:val="008A0EED"/>
    <w:rsid w:val="008A1ECA"/>
    <w:rsid w:val="008A2987"/>
    <w:rsid w:val="008A3EAA"/>
    <w:rsid w:val="008A415A"/>
    <w:rsid w:val="008A45EA"/>
    <w:rsid w:val="008A46A7"/>
    <w:rsid w:val="008A6582"/>
    <w:rsid w:val="008A6647"/>
    <w:rsid w:val="008A6684"/>
    <w:rsid w:val="008A6F6C"/>
    <w:rsid w:val="008A784D"/>
    <w:rsid w:val="008B0193"/>
    <w:rsid w:val="008B03BF"/>
    <w:rsid w:val="008B0509"/>
    <w:rsid w:val="008B0517"/>
    <w:rsid w:val="008B1356"/>
    <w:rsid w:val="008B2344"/>
    <w:rsid w:val="008B2453"/>
    <w:rsid w:val="008B296D"/>
    <w:rsid w:val="008B2E05"/>
    <w:rsid w:val="008B3288"/>
    <w:rsid w:val="008B35DA"/>
    <w:rsid w:val="008B413F"/>
    <w:rsid w:val="008B4B66"/>
    <w:rsid w:val="008B500B"/>
    <w:rsid w:val="008B55B9"/>
    <w:rsid w:val="008B5636"/>
    <w:rsid w:val="008B5A32"/>
    <w:rsid w:val="008B5EEB"/>
    <w:rsid w:val="008B5F93"/>
    <w:rsid w:val="008B6847"/>
    <w:rsid w:val="008B6A75"/>
    <w:rsid w:val="008B6B15"/>
    <w:rsid w:val="008B6DF1"/>
    <w:rsid w:val="008B6E21"/>
    <w:rsid w:val="008B7876"/>
    <w:rsid w:val="008C0B76"/>
    <w:rsid w:val="008C14E2"/>
    <w:rsid w:val="008C17C3"/>
    <w:rsid w:val="008C2B6B"/>
    <w:rsid w:val="008C2E24"/>
    <w:rsid w:val="008C30B6"/>
    <w:rsid w:val="008C35FF"/>
    <w:rsid w:val="008C3869"/>
    <w:rsid w:val="008C3D5B"/>
    <w:rsid w:val="008C3FB2"/>
    <w:rsid w:val="008C49BA"/>
    <w:rsid w:val="008C4E91"/>
    <w:rsid w:val="008C57B9"/>
    <w:rsid w:val="008C581F"/>
    <w:rsid w:val="008C5990"/>
    <w:rsid w:val="008C5CB3"/>
    <w:rsid w:val="008C5E64"/>
    <w:rsid w:val="008C62F4"/>
    <w:rsid w:val="008C6759"/>
    <w:rsid w:val="008C7423"/>
    <w:rsid w:val="008C7864"/>
    <w:rsid w:val="008C7B91"/>
    <w:rsid w:val="008D005A"/>
    <w:rsid w:val="008D0B94"/>
    <w:rsid w:val="008D0D22"/>
    <w:rsid w:val="008D14BD"/>
    <w:rsid w:val="008D18CA"/>
    <w:rsid w:val="008D1C80"/>
    <w:rsid w:val="008D26E0"/>
    <w:rsid w:val="008D29B6"/>
    <w:rsid w:val="008D2D1B"/>
    <w:rsid w:val="008D3070"/>
    <w:rsid w:val="008D3E1E"/>
    <w:rsid w:val="008D4661"/>
    <w:rsid w:val="008D5D69"/>
    <w:rsid w:val="008D6C34"/>
    <w:rsid w:val="008D7CBD"/>
    <w:rsid w:val="008E0DF5"/>
    <w:rsid w:val="008E19F8"/>
    <w:rsid w:val="008E1EA2"/>
    <w:rsid w:val="008E27D5"/>
    <w:rsid w:val="008E280D"/>
    <w:rsid w:val="008E2C56"/>
    <w:rsid w:val="008E30AC"/>
    <w:rsid w:val="008E3820"/>
    <w:rsid w:val="008E39F6"/>
    <w:rsid w:val="008E3AFA"/>
    <w:rsid w:val="008E40CA"/>
    <w:rsid w:val="008E4315"/>
    <w:rsid w:val="008E4381"/>
    <w:rsid w:val="008E447E"/>
    <w:rsid w:val="008E4A6F"/>
    <w:rsid w:val="008E4AD6"/>
    <w:rsid w:val="008E4EC8"/>
    <w:rsid w:val="008E5402"/>
    <w:rsid w:val="008E5D33"/>
    <w:rsid w:val="008E6374"/>
    <w:rsid w:val="008E72E7"/>
    <w:rsid w:val="008E7782"/>
    <w:rsid w:val="008E7926"/>
    <w:rsid w:val="008E7A40"/>
    <w:rsid w:val="008F000B"/>
    <w:rsid w:val="008F0532"/>
    <w:rsid w:val="008F05B1"/>
    <w:rsid w:val="008F0622"/>
    <w:rsid w:val="008F06AC"/>
    <w:rsid w:val="008F0B4E"/>
    <w:rsid w:val="008F0BA0"/>
    <w:rsid w:val="008F1978"/>
    <w:rsid w:val="008F1DB7"/>
    <w:rsid w:val="008F1DD6"/>
    <w:rsid w:val="008F2BC2"/>
    <w:rsid w:val="008F3324"/>
    <w:rsid w:val="008F422E"/>
    <w:rsid w:val="008F446A"/>
    <w:rsid w:val="008F4BB5"/>
    <w:rsid w:val="008F4C07"/>
    <w:rsid w:val="008F568E"/>
    <w:rsid w:val="008F59EE"/>
    <w:rsid w:val="008F5E29"/>
    <w:rsid w:val="008F6117"/>
    <w:rsid w:val="008F6D46"/>
    <w:rsid w:val="008F6D8F"/>
    <w:rsid w:val="008F7BA4"/>
    <w:rsid w:val="008F7F8A"/>
    <w:rsid w:val="0090013A"/>
    <w:rsid w:val="00900612"/>
    <w:rsid w:val="00900BF1"/>
    <w:rsid w:val="00900DE4"/>
    <w:rsid w:val="00901079"/>
    <w:rsid w:val="00901180"/>
    <w:rsid w:val="00901526"/>
    <w:rsid w:val="00901D06"/>
    <w:rsid w:val="00902334"/>
    <w:rsid w:val="009024F8"/>
    <w:rsid w:val="00902718"/>
    <w:rsid w:val="009029DF"/>
    <w:rsid w:val="00903212"/>
    <w:rsid w:val="00903A3D"/>
    <w:rsid w:val="00903AE3"/>
    <w:rsid w:val="00903B47"/>
    <w:rsid w:val="0090412C"/>
    <w:rsid w:val="0090477C"/>
    <w:rsid w:val="00904F30"/>
    <w:rsid w:val="00904F7C"/>
    <w:rsid w:val="00905241"/>
    <w:rsid w:val="00906845"/>
    <w:rsid w:val="0090697E"/>
    <w:rsid w:val="009070B0"/>
    <w:rsid w:val="00907A5D"/>
    <w:rsid w:val="00910B1E"/>
    <w:rsid w:val="00911650"/>
    <w:rsid w:val="00911A60"/>
    <w:rsid w:val="00911C9B"/>
    <w:rsid w:val="00912FE2"/>
    <w:rsid w:val="00912FF9"/>
    <w:rsid w:val="009145D2"/>
    <w:rsid w:val="00914AAB"/>
    <w:rsid w:val="00914BDE"/>
    <w:rsid w:val="00915985"/>
    <w:rsid w:val="009173D5"/>
    <w:rsid w:val="00917788"/>
    <w:rsid w:val="00917A50"/>
    <w:rsid w:val="00917C2B"/>
    <w:rsid w:val="00917E93"/>
    <w:rsid w:val="0092028F"/>
    <w:rsid w:val="0092070E"/>
    <w:rsid w:val="00920837"/>
    <w:rsid w:val="00920A33"/>
    <w:rsid w:val="00920D0C"/>
    <w:rsid w:val="0092114A"/>
    <w:rsid w:val="00921213"/>
    <w:rsid w:val="00921FDA"/>
    <w:rsid w:val="0092215E"/>
    <w:rsid w:val="00922343"/>
    <w:rsid w:val="009236DA"/>
    <w:rsid w:val="00923ED6"/>
    <w:rsid w:val="00924938"/>
    <w:rsid w:val="00924AC1"/>
    <w:rsid w:val="00924B45"/>
    <w:rsid w:val="00924D43"/>
    <w:rsid w:val="00925184"/>
    <w:rsid w:val="0092532F"/>
    <w:rsid w:val="0092595E"/>
    <w:rsid w:val="00925D0C"/>
    <w:rsid w:val="00926256"/>
    <w:rsid w:val="00926638"/>
    <w:rsid w:val="009273F8"/>
    <w:rsid w:val="00927D4E"/>
    <w:rsid w:val="00927D67"/>
    <w:rsid w:val="009302F7"/>
    <w:rsid w:val="009304BA"/>
    <w:rsid w:val="009305EC"/>
    <w:rsid w:val="009310FA"/>
    <w:rsid w:val="009312D4"/>
    <w:rsid w:val="00931C30"/>
    <w:rsid w:val="00932525"/>
    <w:rsid w:val="00933695"/>
    <w:rsid w:val="0093455B"/>
    <w:rsid w:val="00934B44"/>
    <w:rsid w:val="00934FB8"/>
    <w:rsid w:val="00935777"/>
    <w:rsid w:val="009357A0"/>
    <w:rsid w:val="00935F42"/>
    <w:rsid w:val="00936270"/>
    <w:rsid w:val="0093749E"/>
    <w:rsid w:val="00937751"/>
    <w:rsid w:val="00937753"/>
    <w:rsid w:val="00937B1C"/>
    <w:rsid w:val="00937BF4"/>
    <w:rsid w:val="00937C10"/>
    <w:rsid w:val="00937C94"/>
    <w:rsid w:val="00937D52"/>
    <w:rsid w:val="0094096A"/>
    <w:rsid w:val="00940AB6"/>
    <w:rsid w:val="00941294"/>
    <w:rsid w:val="00941A18"/>
    <w:rsid w:val="00942376"/>
    <w:rsid w:val="00943242"/>
    <w:rsid w:val="00943E4F"/>
    <w:rsid w:val="0094417D"/>
    <w:rsid w:val="00944889"/>
    <w:rsid w:val="009458EC"/>
    <w:rsid w:val="00945F02"/>
    <w:rsid w:val="009463D9"/>
    <w:rsid w:val="00946B39"/>
    <w:rsid w:val="009471D6"/>
    <w:rsid w:val="009503E0"/>
    <w:rsid w:val="0095268C"/>
    <w:rsid w:val="009526D4"/>
    <w:rsid w:val="00952FBC"/>
    <w:rsid w:val="00953315"/>
    <w:rsid w:val="00953BC4"/>
    <w:rsid w:val="00953FD7"/>
    <w:rsid w:val="009549D1"/>
    <w:rsid w:val="00956D49"/>
    <w:rsid w:val="00956DA7"/>
    <w:rsid w:val="00957536"/>
    <w:rsid w:val="00960E88"/>
    <w:rsid w:val="00961DBD"/>
    <w:rsid w:val="00961FB0"/>
    <w:rsid w:val="0096250A"/>
    <w:rsid w:val="00962739"/>
    <w:rsid w:val="009628BE"/>
    <w:rsid w:val="00962B3F"/>
    <w:rsid w:val="00962ECA"/>
    <w:rsid w:val="009638BF"/>
    <w:rsid w:val="009647BD"/>
    <w:rsid w:val="0096484D"/>
    <w:rsid w:val="0096537A"/>
    <w:rsid w:val="00965927"/>
    <w:rsid w:val="00966928"/>
    <w:rsid w:val="00966BCF"/>
    <w:rsid w:val="00967255"/>
    <w:rsid w:val="009675F3"/>
    <w:rsid w:val="00967824"/>
    <w:rsid w:val="00970C76"/>
    <w:rsid w:val="00970D94"/>
    <w:rsid w:val="009719F7"/>
    <w:rsid w:val="00971EA3"/>
    <w:rsid w:val="0097211B"/>
    <w:rsid w:val="0097347D"/>
    <w:rsid w:val="0097355D"/>
    <w:rsid w:val="00973E0D"/>
    <w:rsid w:val="009744D2"/>
    <w:rsid w:val="009754D5"/>
    <w:rsid w:val="00975DB7"/>
    <w:rsid w:val="00975F17"/>
    <w:rsid w:val="00977205"/>
    <w:rsid w:val="00980C4C"/>
    <w:rsid w:val="00980F1D"/>
    <w:rsid w:val="0098111F"/>
    <w:rsid w:val="00981D00"/>
    <w:rsid w:val="00982473"/>
    <w:rsid w:val="00982627"/>
    <w:rsid w:val="0098282E"/>
    <w:rsid w:val="009831AC"/>
    <w:rsid w:val="0098323A"/>
    <w:rsid w:val="0098343F"/>
    <w:rsid w:val="00983719"/>
    <w:rsid w:val="00983981"/>
    <w:rsid w:val="00983AF6"/>
    <w:rsid w:val="00983C98"/>
    <w:rsid w:val="00984020"/>
    <w:rsid w:val="0098423E"/>
    <w:rsid w:val="00984BAA"/>
    <w:rsid w:val="00984C7F"/>
    <w:rsid w:val="00985033"/>
    <w:rsid w:val="00985F85"/>
    <w:rsid w:val="00986532"/>
    <w:rsid w:val="00986B67"/>
    <w:rsid w:val="00986E2E"/>
    <w:rsid w:val="00986ED7"/>
    <w:rsid w:val="00986F52"/>
    <w:rsid w:val="00986F87"/>
    <w:rsid w:val="009876CC"/>
    <w:rsid w:val="00987715"/>
    <w:rsid w:val="00990095"/>
    <w:rsid w:val="0099030E"/>
    <w:rsid w:val="0099097E"/>
    <w:rsid w:val="009914B0"/>
    <w:rsid w:val="00991667"/>
    <w:rsid w:val="00991871"/>
    <w:rsid w:val="00991BD7"/>
    <w:rsid w:val="00992F42"/>
    <w:rsid w:val="00993A78"/>
    <w:rsid w:val="00993C88"/>
    <w:rsid w:val="009940BB"/>
    <w:rsid w:val="009947A4"/>
    <w:rsid w:val="00994846"/>
    <w:rsid w:val="00994A3F"/>
    <w:rsid w:val="00994ADB"/>
    <w:rsid w:val="00994AF9"/>
    <w:rsid w:val="00994C7C"/>
    <w:rsid w:val="009962BD"/>
    <w:rsid w:val="00996325"/>
    <w:rsid w:val="009965FF"/>
    <w:rsid w:val="0099674D"/>
    <w:rsid w:val="00996A52"/>
    <w:rsid w:val="009A05EA"/>
    <w:rsid w:val="009A0A87"/>
    <w:rsid w:val="009A0CB8"/>
    <w:rsid w:val="009A0D1D"/>
    <w:rsid w:val="009A0E65"/>
    <w:rsid w:val="009A100A"/>
    <w:rsid w:val="009A1CCC"/>
    <w:rsid w:val="009A29F1"/>
    <w:rsid w:val="009A39E5"/>
    <w:rsid w:val="009A43D1"/>
    <w:rsid w:val="009A4866"/>
    <w:rsid w:val="009A4BF3"/>
    <w:rsid w:val="009A4E89"/>
    <w:rsid w:val="009A5466"/>
    <w:rsid w:val="009A6376"/>
    <w:rsid w:val="009A6D00"/>
    <w:rsid w:val="009A7269"/>
    <w:rsid w:val="009A72E4"/>
    <w:rsid w:val="009A7574"/>
    <w:rsid w:val="009A79A3"/>
    <w:rsid w:val="009A7ECD"/>
    <w:rsid w:val="009B10E8"/>
    <w:rsid w:val="009B13C6"/>
    <w:rsid w:val="009B1511"/>
    <w:rsid w:val="009B1651"/>
    <w:rsid w:val="009B25ED"/>
    <w:rsid w:val="009B2CC8"/>
    <w:rsid w:val="009B3434"/>
    <w:rsid w:val="009B36AB"/>
    <w:rsid w:val="009B3E40"/>
    <w:rsid w:val="009B40F9"/>
    <w:rsid w:val="009B4127"/>
    <w:rsid w:val="009B4DBD"/>
    <w:rsid w:val="009B5486"/>
    <w:rsid w:val="009B54B9"/>
    <w:rsid w:val="009B55A1"/>
    <w:rsid w:val="009B5642"/>
    <w:rsid w:val="009B6400"/>
    <w:rsid w:val="009B6BD0"/>
    <w:rsid w:val="009B7F7F"/>
    <w:rsid w:val="009C0FBA"/>
    <w:rsid w:val="009C16F7"/>
    <w:rsid w:val="009C2E5B"/>
    <w:rsid w:val="009C386F"/>
    <w:rsid w:val="009C430A"/>
    <w:rsid w:val="009C44D2"/>
    <w:rsid w:val="009C450F"/>
    <w:rsid w:val="009C498C"/>
    <w:rsid w:val="009C5159"/>
    <w:rsid w:val="009C5A81"/>
    <w:rsid w:val="009C5E13"/>
    <w:rsid w:val="009C6FFD"/>
    <w:rsid w:val="009C7000"/>
    <w:rsid w:val="009C7875"/>
    <w:rsid w:val="009C7BFD"/>
    <w:rsid w:val="009C7C25"/>
    <w:rsid w:val="009D006B"/>
    <w:rsid w:val="009D05B7"/>
    <w:rsid w:val="009D095E"/>
    <w:rsid w:val="009D1144"/>
    <w:rsid w:val="009D19FA"/>
    <w:rsid w:val="009D2154"/>
    <w:rsid w:val="009D224D"/>
    <w:rsid w:val="009D28AD"/>
    <w:rsid w:val="009D2B07"/>
    <w:rsid w:val="009D2EA3"/>
    <w:rsid w:val="009D5101"/>
    <w:rsid w:val="009D5181"/>
    <w:rsid w:val="009D51A1"/>
    <w:rsid w:val="009D5779"/>
    <w:rsid w:val="009D587C"/>
    <w:rsid w:val="009D5F6F"/>
    <w:rsid w:val="009D6717"/>
    <w:rsid w:val="009D6E1B"/>
    <w:rsid w:val="009D7525"/>
    <w:rsid w:val="009D7DF1"/>
    <w:rsid w:val="009E006A"/>
    <w:rsid w:val="009E13C6"/>
    <w:rsid w:val="009E15AB"/>
    <w:rsid w:val="009E189A"/>
    <w:rsid w:val="009E1FE1"/>
    <w:rsid w:val="009E20D1"/>
    <w:rsid w:val="009E2FCD"/>
    <w:rsid w:val="009E3022"/>
    <w:rsid w:val="009E32B6"/>
    <w:rsid w:val="009E3A33"/>
    <w:rsid w:val="009E3ACE"/>
    <w:rsid w:val="009E4289"/>
    <w:rsid w:val="009E44C2"/>
    <w:rsid w:val="009E49DF"/>
    <w:rsid w:val="009E4AEE"/>
    <w:rsid w:val="009E4FA8"/>
    <w:rsid w:val="009E50E6"/>
    <w:rsid w:val="009E5C19"/>
    <w:rsid w:val="009E60C0"/>
    <w:rsid w:val="009E6F8B"/>
    <w:rsid w:val="009E73A1"/>
    <w:rsid w:val="009E76A8"/>
    <w:rsid w:val="009E78AC"/>
    <w:rsid w:val="009F05AF"/>
    <w:rsid w:val="009F0952"/>
    <w:rsid w:val="009F0B35"/>
    <w:rsid w:val="009F1C03"/>
    <w:rsid w:val="009F2D74"/>
    <w:rsid w:val="009F3206"/>
    <w:rsid w:val="009F399F"/>
    <w:rsid w:val="009F4363"/>
    <w:rsid w:val="009F436A"/>
    <w:rsid w:val="009F4A41"/>
    <w:rsid w:val="00A0013F"/>
    <w:rsid w:val="00A004E5"/>
    <w:rsid w:val="00A007E3"/>
    <w:rsid w:val="00A00897"/>
    <w:rsid w:val="00A008D8"/>
    <w:rsid w:val="00A00968"/>
    <w:rsid w:val="00A00A4C"/>
    <w:rsid w:val="00A01C37"/>
    <w:rsid w:val="00A0264B"/>
    <w:rsid w:val="00A04885"/>
    <w:rsid w:val="00A0490C"/>
    <w:rsid w:val="00A0559C"/>
    <w:rsid w:val="00A05C88"/>
    <w:rsid w:val="00A05DE4"/>
    <w:rsid w:val="00A06CED"/>
    <w:rsid w:val="00A06FD6"/>
    <w:rsid w:val="00A07464"/>
    <w:rsid w:val="00A07710"/>
    <w:rsid w:val="00A07B4A"/>
    <w:rsid w:val="00A07C23"/>
    <w:rsid w:val="00A1000E"/>
    <w:rsid w:val="00A102B0"/>
    <w:rsid w:val="00A10430"/>
    <w:rsid w:val="00A1047D"/>
    <w:rsid w:val="00A10B52"/>
    <w:rsid w:val="00A112A6"/>
    <w:rsid w:val="00A11E28"/>
    <w:rsid w:val="00A121D8"/>
    <w:rsid w:val="00A12460"/>
    <w:rsid w:val="00A1263A"/>
    <w:rsid w:val="00A12718"/>
    <w:rsid w:val="00A12902"/>
    <w:rsid w:val="00A12CF0"/>
    <w:rsid w:val="00A12D69"/>
    <w:rsid w:val="00A13839"/>
    <w:rsid w:val="00A144E1"/>
    <w:rsid w:val="00A14850"/>
    <w:rsid w:val="00A14EDB"/>
    <w:rsid w:val="00A153D5"/>
    <w:rsid w:val="00A156AB"/>
    <w:rsid w:val="00A15BB4"/>
    <w:rsid w:val="00A15E3D"/>
    <w:rsid w:val="00A165B3"/>
    <w:rsid w:val="00A1677F"/>
    <w:rsid w:val="00A16CD7"/>
    <w:rsid w:val="00A16DB3"/>
    <w:rsid w:val="00A17BC1"/>
    <w:rsid w:val="00A204FE"/>
    <w:rsid w:val="00A20F3C"/>
    <w:rsid w:val="00A21902"/>
    <w:rsid w:val="00A21B74"/>
    <w:rsid w:val="00A2228D"/>
    <w:rsid w:val="00A226D3"/>
    <w:rsid w:val="00A23D77"/>
    <w:rsid w:val="00A24164"/>
    <w:rsid w:val="00A2438E"/>
    <w:rsid w:val="00A24998"/>
    <w:rsid w:val="00A24A26"/>
    <w:rsid w:val="00A2541F"/>
    <w:rsid w:val="00A2578E"/>
    <w:rsid w:val="00A25E2B"/>
    <w:rsid w:val="00A264EB"/>
    <w:rsid w:val="00A2657B"/>
    <w:rsid w:val="00A265DB"/>
    <w:rsid w:val="00A26C8C"/>
    <w:rsid w:val="00A27DB9"/>
    <w:rsid w:val="00A30F4A"/>
    <w:rsid w:val="00A31418"/>
    <w:rsid w:val="00A31E42"/>
    <w:rsid w:val="00A320CE"/>
    <w:rsid w:val="00A3229F"/>
    <w:rsid w:val="00A32A9F"/>
    <w:rsid w:val="00A335BC"/>
    <w:rsid w:val="00A33A24"/>
    <w:rsid w:val="00A33FE9"/>
    <w:rsid w:val="00A34255"/>
    <w:rsid w:val="00A342FC"/>
    <w:rsid w:val="00A349B3"/>
    <w:rsid w:val="00A356B3"/>
    <w:rsid w:val="00A35C75"/>
    <w:rsid w:val="00A37783"/>
    <w:rsid w:val="00A37F87"/>
    <w:rsid w:val="00A400F9"/>
    <w:rsid w:val="00A40638"/>
    <w:rsid w:val="00A40A94"/>
    <w:rsid w:val="00A40CA4"/>
    <w:rsid w:val="00A41ED7"/>
    <w:rsid w:val="00A430D8"/>
    <w:rsid w:val="00A43156"/>
    <w:rsid w:val="00A432A0"/>
    <w:rsid w:val="00A43671"/>
    <w:rsid w:val="00A43EBE"/>
    <w:rsid w:val="00A44008"/>
    <w:rsid w:val="00A441BF"/>
    <w:rsid w:val="00A442F9"/>
    <w:rsid w:val="00A44756"/>
    <w:rsid w:val="00A44915"/>
    <w:rsid w:val="00A44AC7"/>
    <w:rsid w:val="00A45546"/>
    <w:rsid w:val="00A46105"/>
    <w:rsid w:val="00A47471"/>
    <w:rsid w:val="00A474A5"/>
    <w:rsid w:val="00A47AA5"/>
    <w:rsid w:val="00A47BCE"/>
    <w:rsid w:val="00A50C9D"/>
    <w:rsid w:val="00A51BC1"/>
    <w:rsid w:val="00A52EBE"/>
    <w:rsid w:val="00A536A5"/>
    <w:rsid w:val="00A54089"/>
    <w:rsid w:val="00A54A24"/>
    <w:rsid w:val="00A54A69"/>
    <w:rsid w:val="00A54B4D"/>
    <w:rsid w:val="00A54E05"/>
    <w:rsid w:val="00A555F2"/>
    <w:rsid w:val="00A55D91"/>
    <w:rsid w:val="00A56167"/>
    <w:rsid w:val="00A5738A"/>
    <w:rsid w:val="00A5771B"/>
    <w:rsid w:val="00A60544"/>
    <w:rsid w:val="00A607C3"/>
    <w:rsid w:val="00A60A33"/>
    <w:rsid w:val="00A60A73"/>
    <w:rsid w:val="00A60AC8"/>
    <w:rsid w:val="00A626CB"/>
    <w:rsid w:val="00A63125"/>
    <w:rsid w:val="00A63143"/>
    <w:rsid w:val="00A63E7E"/>
    <w:rsid w:val="00A646E8"/>
    <w:rsid w:val="00A64AA1"/>
    <w:rsid w:val="00A6500F"/>
    <w:rsid w:val="00A6566F"/>
    <w:rsid w:val="00A66C32"/>
    <w:rsid w:val="00A66FDF"/>
    <w:rsid w:val="00A6748E"/>
    <w:rsid w:val="00A70C48"/>
    <w:rsid w:val="00A714E5"/>
    <w:rsid w:val="00A72F59"/>
    <w:rsid w:val="00A73310"/>
    <w:rsid w:val="00A73AB7"/>
    <w:rsid w:val="00A73B22"/>
    <w:rsid w:val="00A73C81"/>
    <w:rsid w:val="00A74979"/>
    <w:rsid w:val="00A74A5E"/>
    <w:rsid w:val="00A74E37"/>
    <w:rsid w:val="00A75BFE"/>
    <w:rsid w:val="00A76AE8"/>
    <w:rsid w:val="00A76B1B"/>
    <w:rsid w:val="00A7701C"/>
    <w:rsid w:val="00A7723D"/>
    <w:rsid w:val="00A77315"/>
    <w:rsid w:val="00A77574"/>
    <w:rsid w:val="00A77AC6"/>
    <w:rsid w:val="00A80357"/>
    <w:rsid w:val="00A80AE9"/>
    <w:rsid w:val="00A80B9D"/>
    <w:rsid w:val="00A80F6D"/>
    <w:rsid w:val="00A822FA"/>
    <w:rsid w:val="00A823C5"/>
    <w:rsid w:val="00A82592"/>
    <w:rsid w:val="00A82C2F"/>
    <w:rsid w:val="00A838B0"/>
    <w:rsid w:val="00A83C9C"/>
    <w:rsid w:val="00A83FF5"/>
    <w:rsid w:val="00A84290"/>
    <w:rsid w:val="00A8490E"/>
    <w:rsid w:val="00A84A85"/>
    <w:rsid w:val="00A84E19"/>
    <w:rsid w:val="00A85342"/>
    <w:rsid w:val="00A8635F"/>
    <w:rsid w:val="00A8656A"/>
    <w:rsid w:val="00A866E5"/>
    <w:rsid w:val="00A86B8E"/>
    <w:rsid w:val="00A87458"/>
    <w:rsid w:val="00A87B16"/>
    <w:rsid w:val="00A87F71"/>
    <w:rsid w:val="00A87FD5"/>
    <w:rsid w:val="00A9078E"/>
    <w:rsid w:val="00A91311"/>
    <w:rsid w:val="00A919D8"/>
    <w:rsid w:val="00A91A00"/>
    <w:rsid w:val="00A9277C"/>
    <w:rsid w:val="00A93496"/>
    <w:rsid w:val="00A93779"/>
    <w:rsid w:val="00A93A5B"/>
    <w:rsid w:val="00A93B86"/>
    <w:rsid w:val="00A941FB"/>
    <w:rsid w:val="00A949B0"/>
    <w:rsid w:val="00A94C48"/>
    <w:rsid w:val="00A951AC"/>
    <w:rsid w:val="00A954EF"/>
    <w:rsid w:val="00A95B97"/>
    <w:rsid w:val="00A95EC2"/>
    <w:rsid w:val="00A96483"/>
    <w:rsid w:val="00A9692E"/>
    <w:rsid w:val="00A97137"/>
    <w:rsid w:val="00A97307"/>
    <w:rsid w:val="00A976E2"/>
    <w:rsid w:val="00A97DA8"/>
    <w:rsid w:val="00AA0000"/>
    <w:rsid w:val="00AA03AC"/>
    <w:rsid w:val="00AA063D"/>
    <w:rsid w:val="00AA1A24"/>
    <w:rsid w:val="00AA2BC5"/>
    <w:rsid w:val="00AA2EA5"/>
    <w:rsid w:val="00AA3247"/>
    <w:rsid w:val="00AA3A12"/>
    <w:rsid w:val="00AA40F7"/>
    <w:rsid w:val="00AA5CA1"/>
    <w:rsid w:val="00AA7050"/>
    <w:rsid w:val="00AA714C"/>
    <w:rsid w:val="00AA72C1"/>
    <w:rsid w:val="00AA7616"/>
    <w:rsid w:val="00AA78EB"/>
    <w:rsid w:val="00AA7921"/>
    <w:rsid w:val="00AA7F8F"/>
    <w:rsid w:val="00AB0528"/>
    <w:rsid w:val="00AB12AF"/>
    <w:rsid w:val="00AB16FD"/>
    <w:rsid w:val="00AB19F2"/>
    <w:rsid w:val="00AB2FF1"/>
    <w:rsid w:val="00AB30AA"/>
    <w:rsid w:val="00AB33E3"/>
    <w:rsid w:val="00AB355E"/>
    <w:rsid w:val="00AB3958"/>
    <w:rsid w:val="00AB3D2B"/>
    <w:rsid w:val="00AB4045"/>
    <w:rsid w:val="00AB4799"/>
    <w:rsid w:val="00AB4AFF"/>
    <w:rsid w:val="00AB4F68"/>
    <w:rsid w:val="00AB5BE7"/>
    <w:rsid w:val="00AB6265"/>
    <w:rsid w:val="00AB68BD"/>
    <w:rsid w:val="00AB7549"/>
    <w:rsid w:val="00AB7767"/>
    <w:rsid w:val="00AB7C8F"/>
    <w:rsid w:val="00AC0B3E"/>
    <w:rsid w:val="00AC1642"/>
    <w:rsid w:val="00AC19D4"/>
    <w:rsid w:val="00AC25E8"/>
    <w:rsid w:val="00AC27A5"/>
    <w:rsid w:val="00AC2A26"/>
    <w:rsid w:val="00AC2B62"/>
    <w:rsid w:val="00AC2B82"/>
    <w:rsid w:val="00AC2E0B"/>
    <w:rsid w:val="00AC2F79"/>
    <w:rsid w:val="00AC3143"/>
    <w:rsid w:val="00AC3494"/>
    <w:rsid w:val="00AC3802"/>
    <w:rsid w:val="00AC40B4"/>
    <w:rsid w:val="00AC43B7"/>
    <w:rsid w:val="00AC5320"/>
    <w:rsid w:val="00AC565B"/>
    <w:rsid w:val="00AC6522"/>
    <w:rsid w:val="00AC6BC3"/>
    <w:rsid w:val="00AC6E20"/>
    <w:rsid w:val="00AC7A4C"/>
    <w:rsid w:val="00AD0295"/>
    <w:rsid w:val="00AD0354"/>
    <w:rsid w:val="00AD0824"/>
    <w:rsid w:val="00AD0D55"/>
    <w:rsid w:val="00AD0E50"/>
    <w:rsid w:val="00AD1650"/>
    <w:rsid w:val="00AD19DC"/>
    <w:rsid w:val="00AD4A73"/>
    <w:rsid w:val="00AD54BD"/>
    <w:rsid w:val="00AD565F"/>
    <w:rsid w:val="00AD742F"/>
    <w:rsid w:val="00AD74D1"/>
    <w:rsid w:val="00AE04C3"/>
    <w:rsid w:val="00AE11CD"/>
    <w:rsid w:val="00AE1895"/>
    <w:rsid w:val="00AE1D92"/>
    <w:rsid w:val="00AE1DD1"/>
    <w:rsid w:val="00AE260F"/>
    <w:rsid w:val="00AE2908"/>
    <w:rsid w:val="00AE2BAC"/>
    <w:rsid w:val="00AE2CF6"/>
    <w:rsid w:val="00AE391A"/>
    <w:rsid w:val="00AE3AA5"/>
    <w:rsid w:val="00AE3D0A"/>
    <w:rsid w:val="00AE47A8"/>
    <w:rsid w:val="00AE515A"/>
    <w:rsid w:val="00AE5329"/>
    <w:rsid w:val="00AE5FA5"/>
    <w:rsid w:val="00AE620C"/>
    <w:rsid w:val="00AE638E"/>
    <w:rsid w:val="00AE6AE8"/>
    <w:rsid w:val="00AE6C75"/>
    <w:rsid w:val="00AE7C2D"/>
    <w:rsid w:val="00AF08AE"/>
    <w:rsid w:val="00AF0951"/>
    <w:rsid w:val="00AF1081"/>
    <w:rsid w:val="00AF1E42"/>
    <w:rsid w:val="00AF2CAF"/>
    <w:rsid w:val="00AF48CF"/>
    <w:rsid w:val="00AF5CCB"/>
    <w:rsid w:val="00AF67ED"/>
    <w:rsid w:val="00AF689F"/>
    <w:rsid w:val="00AF74DD"/>
    <w:rsid w:val="00B011A5"/>
    <w:rsid w:val="00B01B9B"/>
    <w:rsid w:val="00B01BB6"/>
    <w:rsid w:val="00B01F11"/>
    <w:rsid w:val="00B02F73"/>
    <w:rsid w:val="00B03182"/>
    <w:rsid w:val="00B031F0"/>
    <w:rsid w:val="00B03509"/>
    <w:rsid w:val="00B035BA"/>
    <w:rsid w:val="00B04447"/>
    <w:rsid w:val="00B04634"/>
    <w:rsid w:val="00B06050"/>
    <w:rsid w:val="00B06917"/>
    <w:rsid w:val="00B06AB5"/>
    <w:rsid w:val="00B06C0F"/>
    <w:rsid w:val="00B07684"/>
    <w:rsid w:val="00B100FD"/>
    <w:rsid w:val="00B10396"/>
    <w:rsid w:val="00B119D2"/>
    <w:rsid w:val="00B11A0A"/>
    <w:rsid w:val="00B122DB"/>
    <w:rsid w:val="00B12D44"/>
    <w:rsid w:val="00B13230"/>
    <w:rsid w:val="00B13536"/>
    <w:rsid w:val="00B14AB4"/>
    <w:rsid w:val="00B153CC"/>
    <w:rsid w:val="00B15BE6"/>
    <w:rsid w:val="00B16A3C"/>
    <w:rsid w:val="00B170B7"/>
    <w:rsid w:val="00B176D2"/>
    <w:rsid w:val="00B20544"/>
    <w:rsid w:val="00B20779"/>
    <w:rsid w:val="00B2095A"/>
    <w:rsid w:val="00B22961"/>
    <w:rsid w:val="00B22C21"/>
    <w:rsid w:val="00B22F3A"/>
    <w:rsid w:val="00B23203"/>
    <w:rsid w:val="00B238F7"/>
    <w:rsid w:val="00B23A63"/>
    <w:rsid w:val="00B23BF4"/>
    <w:rsid w:val="00B23CDC"/>
    <w:rsid w:val="00B23FE1"/>
    <w:rsid w:val="00B253AE"/>
    <w:rsid w:val="00B25FF6"/>
    <w:rsid w:val="00B26173"/>
    <w:rsid w:val="00B266FC"/>
    <w:rsid w:val="00B274ED"/>
    <w:rsid w:val="00B27F74"/>
    <w:rsid w:val="00B302F9"/>
    <w:rsid w:val="00B30995"/>
    <w:rsid w:val="00B30CEC"/>
    <w:rsid w:val="00B310EB"/>
    <w:rsid w:val="00B31BBD"/>
    <w:rsid w:val="00B31C74"/>
    <w:rsid w:val="00B32507"/>
    <w:rsid w:val="00B329D3"/>
    <w:rsid w:val="00B3350D"/>
    <w:rsid w:val="00B3392F"/>
    <w:rsid w:val="00B339A4"/>
    <w:rsid w:val="00B33FDE"/>
    <w:rsid w:val="00B34054"/>
    <w:rsid w:val="00B3441D"/>
    <w:rsid w:val="00B34E0B"/>
    <w:rsid w:val="00B34E51"/>
    <w:rsid w:val="00B359C4"/>
    <w:rsid w:val="00B35F79"/>
    <w:rsid w:val="00B3698B"/>
    <w:rsid w:val="00B36F84"/>
    <w:rsid w:val="00B373B0"/>
    <w:rsid w:val="00B374D1"/>
    <w:rsid w:val="00B3754F"/>
    <w:rsid w:val="00B37739"/>
    <w:rsid w:val="00B37EB4"/>
    <w:rsid w:val="00B402FC"/>
    <w:rsid w:val="00B40771"/>
    <w:rsid w:val="00B41046"/>
    <w:rsid w:val="00B41483"/>
    <w:rsid w:val="00B419E6"/>
    <w:rsid w:val="00B41F50"/>
    <w:rsid w:val="00B42966"/>
    <w:rsid w:val="00B4365A"/>
    <w:rsid w:val="00B44546"/>
    <w:rsid w:val="00B4487D"/>
    <w:rsid w:val="00B44C20"/>
    <w:rsid w:val="00B451DD"/>
    <w:rsid w:val="00B4530D"/>
    <w:rsid w:val="00B45CDB"/>
    <w:rsid w:val="00B45DFD"/>
    <w:rsid w:val="00B460B0"/>
    <w:rsid w:val="00B462FD"/>
    <w:rsid w:val="00B468F3"/>
    <w:rsid w:val="00B47120"/>
    <w:rsid w:val="00B50B25"/>
    <w:rsid w:val="00B510C7"/>
    <w:rsid w:val="00B518D2"/>
    <w:rsid w:val="00B52CC6"/>
    <w:rsid w:val="00B52D2D"/>
    <w:rsid w:val="00B52F5D"/>
    <w:rsid w:val="00B543BC"/>
    <w:rsid w:val="00B54D7A"/>
    <w:rsid w:val="00B553FE"/>
    <w:rsid w:val="00B55D17"/>
    <w:rsid w:val="00B56108"/>
    <w:rsid w:val="00B56201"/>
    <w:rsid w:val="00B566D3"/>
    <w:rsid w:val="00B5675A"/>
    <w:rsid w:val="00B5690E"/>
    <w:rsid w:val="00B5771D"/>
    <w:rsid w:val="00B578B6"/>
    <w:rsid w:val="00B60247"/>
    <w:rsid w:val="00B6066B"/>
    <w:rsid w:val="00B60D93"/>
    <w:rsid w:val="00B61000"/>
    <w:rsid w:val="00B612D8"/>
    <w:rsid w:val="00B6165D"/>
    <w:rsid w:val="00B61E77"/>
    <w:rsid w:val="00B61EC4"/>
    <w:rsid w:val="00B61F06"/>
    <w:rsid w:val="00B63378"/>
    <w:rsid w:val="00B63615"/>
    <w:rsid w:val="00B63B0F"/>
    <w:rsid w:val="00B63F6F"/>
    <w:rsid w:val="00B64524"/>
    <w:rsid w:val="00B6470A"/>
    <w:rsid w:val="00B6531D"/>
    <w:rsid w:val="00B65334"/>
    <w:rsid w:val="00B659A4"/>
    <w:rsid w:val="00B65A26"/>
    <w:rsid w:val="00B66406"/>
    <w:rsid w:val="00B66435"/>
    <w:rsid w:val="00B664EF"/>
    <w:rsid w:val="00B66582"/>
    <w:rsid w:val="00B667F1"/>
    <w:rsid w:val="00B670B0"/>
    <w:rsid w:val="00B6791E"/>
    <w:rsid w:val="00B70625"/>
    <w:rsid w:val="00B709DE"/>
    <w:rsid w:val="00B70BE1"/>
    <w:rsid w:val="00B70DA6"/>
    <w:rsid w:val="00B70E9B"/>
    <w:rsid w:val="00B7122B"/>
    <w:rsid w:val="00B71346"/>
    <w:rsid w:val="00B71DCB"/>
    <w:rsid w:val="00B720F2"/>
    <w:rsid w:val="00B72A62"/>
    <w:rsid w:val="00B72C50"/>
    <w:rsid w:val="00B738A1"/>
    <w:rsid w:val="00B73D1F"/>
    <w:rsid w:val="00B73E4D"/>
    <w:rsid w:val="00B742A9"/>
    <w:rsid w:val="00B74AF9"/>
    <w:rsid w:val="00B75302"/>
    <w:rsid w:val="00B755FF"/>
    <w:rsid w:val="00B75674"/>
    <w:rsid w:val="00B75D49"/>
    <w:rsid w:val="00B75DE3"/>
    <w:rsid w:val="00B76337"/>
    <w:rsid w:val="00B76D19"/>
    <w:rsid w:val="00B773E0"/>
    <w:rsid w:val="00B77732"/>
    <w:rsid w:val="00B77CBF"/>
    <w:rsid w:val="00B807FD"/>
    <w:rsid w:val="00B8219E"/>
    <w:rsid w:val="00B8229C"/>
    <w:rsid w:val="00B8283F"/>
    <w:rsid w:val="00B82C55"/>
    <w:rsid w:val="00B82F19"/>
    <w:rsid w:val="00B831A4"/>
    <w:rsid w:val="00B85005"/>
    <w:rsid w:val="00B851A9"/>
    <w:rsid w:val="00B85325"/>
    <w:rsid w:val="00B86A85"/>
    <w:rsid w:val="00B87166"/>
    <w:rsid w:val="00B8790F"/>
    <w:rsid w:val="00B87927"/>
    <w:rsid w:val="00B87D1A"/>
    <w:rsid w:val="00B9052F"/>
    <w:rsid w:val="00B9065F"/>
    <w:rsid w:val="00B9095E"/>
    <w:rsid w:val="00B90CB9"/>
    <w:rsid w:val="00B930B2"/>
    <w:rsid w:val="00B9390D"/>
    <w:rsid w:val="00B93923"/>
    <w:rsid w:val="00B93EBF"/>
    <w:rsid w:val="00B94DFE"/>
    <w:rsid w:val="00B954D6"/>
    <w:rsid w:val="00BA051B"/>
    <w:rsid w:val="00BA087F"/>
    <w:rsid w:val="00BA10E4"/>
    <w:rsid w:val="00BA14AB"/>
    <w:rsid w:val="00BA1BD4"/>
    <w:rsid w:val="00BA26A2"/>
    <w:rsid w:val="00BA2D69"/>
    <w:rsid w:val="00BA2EF8"/>
    <w:rsid w:val="00BA30B6"/>
    <w:rsid w:val="00BA33DA"/>
    <w:rsid w:val="00BA3580"/>
    <w:rsid w:val="00BA3687"/>
    <w:rsid w:val="00BA3A41"/>
    <w:rsid w:val="00BA4434"/>
    <w:rsid w:val="00BA46FB"/>
    <w:rsid w:val="00BA4E3F"/>
    <w:rsid w:val="00BA6128"/>
    <w:rsid w:val="00BA6206"/>
    <w:rsid w:val="00BA7877"/>
    <w:rsid w:val="00BA7BE7"/>
    <w:rsid w:val="00BB02CD"/>
    <w:rsid w:val="00BB04A8"/>
    <w:rsid w:val="00BB0658"/>
    <w:rsid w:val="00BB0A1F"/>
    <w:rsid w:val="00BB0BD8"/>
    <w:rsid w:val="00BB105D"/>
    <w:rsid w:val="00BB114F"/>
    <w:rsid w:val="00BB1532"/>
    <w:rsid w:val="00BB266E"/>
    <w:rsid w:val="00BB268C"/>
    <w:rsid w:val="00BB296D"/>
    <w:rsid w:val="00BB4748"/>
    <w:rsid w:val="00BB5737"/>
    <w:rsid w:val="00BB58FC"/>
    <w:rsid w:val="00BB6387"/>
    <w:rsid w:val="00BB6E7D"/>
    <w:rsid w:val="00BB7DE5"/>
    <w:rsid w:val="00BC082D"/>
    <w:rsid w:val="00BC084E"/>
    <w:rsid w:val="00BC1779"/>
    <w:rsid w:val="00BC17A2"/>
    <w:rsid w:val="00BC19E7"/>
    <w:rsid w:val="00BC1F66"/>
    <w:rsid w:val="00BC2895"/>
    <w:rsid w:val="00BC291B"/>
    <w:rsid w:val="00BC44F4"/>
    <w:rsid w:val="00BC4729"/>
    <w:rsid w:val="00BC5446"/>
    <w:rsid w:val="00BC54F4"/>
    <w:rsid w:val="00BC5F12"/>
    <w:rsid w:val="00BC6A44"/>
    <w:rsid w:val="00BC7370"/>
    <w:rsid w:val="00BD07BD"/>
    <w:rsid w:val="00BD086C"/>
    <w:rsid w:val="00BD1230"/>
    <w:rsid w:val="00BD13EA"/>
    <w:rsid w:val="00BD17FF"/>
    <w:rsid w:val="00BD2192"/>
    <w:rsid w:val="00BD2553"/>
    <w:rsid w:val="00BD309E"/>
    <w:rsid w:val="00BD316F"/>
    <w:rsid w:val="00BD3614"/>
    <w:rsid w:val="00BD48F3"/>
    <w:rsid w:val="00BD56AE"/>
    <w:rsid w:val="00BD62C9"/>
    <w:rsid w:val="00BD6979"/>
    <w:rsid w:val="00BD6EE2"/>
    <w:rsid w:val="00BD6F6A"/>
    <w:rsid w:val="00BD71EF"/>
    <w:rsid w:val="00BD7A15"/>
    <w:rsid w:val="00BD7BCE"/>
    <w:rsid w:val="00BD7D02"/>
    <w:rsid w:val="00BD7F8F"/>
    <w:rsid w:val="00BE0275"/>
    <w:rsid w:val="00BE02EB"/>
    <w:rsid w:val="00BE0474"/>
    <w:rsid w:val="00BE120D"/>
    <w:rsid w:val="00BE18ED"/>
    <w:rsid w:val="00BE1CAE"/>
    <w:rsid w:val="00BE1FF4"/>
    <w:rsid w:val="00BE25C0"/>
    <w:rsid w:val="00BE2BD8"/>
    <w:rsid w:val="00BE2DDA"/>
    <w:rsid w:val="00BE343B"/>
    <w:rsid w:val="00BE3F09"/>
    <w:rsid w:val="00BE4579"/>
    <w:rsid w:val="00BE52A1"/>
    <w:rsid w:val="00BE5C24"/>
    <w:rsid w:val="00BE5E0C"/>
    <w:rsid w:val="00BE5FF4"/>
    <w:rsid w:val="00BE613E"/>
    <w:rsid w:val="00BE684D"/>
    <w:rsid w:val="00BE70FB"/>
    <w:rsid w:val="00BE71A1"/>
    <w:rsid w:val="00BE73D4"/>
    <w:rsid w:val="00BE799E"/>
    <w:rsid w:val="00BF05D6"/>
    <w:rsid w:val="00BF0FD5"/>
    <w:rsid w:val="00BF136D"/>
    <w:rsid w:val="00BF1589"/>
    <w:rsid w:val="00BF16EA"/>
    <w:rsid w:val="00BF16F8"/>
    <w:rsid w:val="00BF1B3D"/>
    <w:rsid w:val="00BF1B9D"/>
    <w:rsid w:val="00BF26AE"/>
    <w:rsid w:val="00BF2729"/>
    <w:rsid w:val="00BF2B50"/>
    <w:rsid w:val="00BF2C34"/>
    <w:rsid w:val="00BF3912"/>
    <w:rsid w:val="00BF3C60"/>
    <w:rsid w:val="00BF546F"/>
    <w:rsid w:val="00BF55BA"/>
    <w:rsid w:val="00BF5623"/>
    <w:rsid w:val="00BF6102"/>
    <w:rsid w:val="00BF61FF"/>
    <w:rsid w:val="00BF6402"/>
    <w:rsid w:val="00BF642B"/>
    <w:rsid w:val="00BF6431"/>
    <w:rsid w:val="00BF7778"/>
    <w:rsid w:val="00BF7B9F"/>
    <w:rsid w:val="00BF7DA6"/>
    <w:rsid w:val="00C00161"/>
    <w:rsid w:val="00C00583"/>
    <w:rsid w:val="00C006B6"/>
    <w:rsid w:val="00C01551"/>
    <w:rsid w:val="00C01853"/>
    <w:rsid w:val="00C01D47"/>
    <w:rsid w:val="00C03072"/>
    <w:rsid w:val="00C031BD"/>
    <w:rsid w:val="00C035CB"/>
    <w:rsid w:val="00C03B36"/>
    <w:rsid w:val="00C046DE"/>
    <w:rsid w:val="00C04B89"/>
    <w:rsid w:val="00C04F81"/>
    <w:rsid w:val="00C0585B"/>
    <w:rsid w:val="00C059B1"/>
    <w:rsid w:val="00C06401"/>
    <w:rsid w:val="00C0696C"/>
    <w:rsid w:val="00C0724B"/>
    <w:rsid w:val="00C07ABF"/>
    <w:rsid w:val="00C07D4F"/>
    <w:rsid w:val="00C100EA"/>
    <w:rsid w:val="00C10F54"/>
    <w:rsid w:val="00C11C1E"/>
    <w:rsid w:val="00C12258"/>
    <w:rsid w:val="00C1300E"/>
    <w:rsid w:val="00C13455"/>
    <w:rsid w:val="00C16229"/>
    <w:rsid w:val="00C169B3"/>
    <w:rsid w:val="00C17179"/>
    <w:rsid w:val="00C17229"/>
    <w:rsid w:val="00C17ADF"/>
    <w:rsid w:val="00C17B0B"/>
    <w:rsid w:val="00C17C48"/>
    <w:rsid w:val="00C17FD5"/>
    <w:rsid w:val="00C20B58"/>
    <w:rsid w:val="00C20DFF"/>
    <w:rsid w:val="00C2189F"/>
    <w:rsid w:val="00C21C82"/>
    <w:rsid w:val="00C21F5A"/>
    <w:rsid w:val="00C2201D"/>
    <w:rsid w:val="00C220EF"/>
    <w:rsid w:val="00C231A6"/>
    <w:rsid w:val="00C244E6"/>
    <w:rsid w:val="00C24FB9"/>
    <w:rsid w:val="00C263D7"/>
    <w:rsid w:val="00C2693A"/>
    <w:rsid w:val="00C3012F"/>
    <w:rsid w:val="00C3077E"/>
    <w:rsid w:val="00C30948"/>
    <w:rsid w:val="00C30D13"/>
    <w:rsid w:val="00C30E1C"/>
    <w:rsid w:val="00C30EB7"/>
    <w:rsid w:val="00C31D92"/>
    <w:rsid w:val="00C31E03"/>
    <w:rsid w:val="00C32182"/>
    <w:rsid w:val="00C32D9D"/>
    <w:rsid w:val="00C33471"/>
    <w:rsid w:val="00C339F1"/>
    <w:rsid w:val="00C33B5B"/>
    <w:rsid w:val="00C34056"/>
    <w:rsid w:val="00C34825"/>
    <w:rsid w:val="00C36611"/>
    <w:rsid w:val="00C36B37"/>
    <w:rsid w:val="00C374AC"/>
    <w:rsid w:val="00C37641"/>
    <w:rsid w:val="00C37A8B"/>
    <w:rsid w:val="00C40143"/>
    <w:rsid w:val="00C4020F"/>
    <w:rsid w:val="00C4025C"/>
    <w:rsid w:val="00C40572"/>
    <w:rsid w:val="00C40A08"/>
    <w:rsid w:val="00C40F64"/>
    <w:rsid w:val="00C41F5F"/>
    <w:rsid w:val="00C4269D"/>
    <w:rsid w:val="00C4436D"/>
    <w:rsid w:val="00C443DF"/>
    <w:rsid w:val="00C44D13"/>
    <w:rsid w:val="00C45870"/>
    <w:rsid w:val="00C45B2E"/>
    <w:rsid w:val="00C45E56"/>
    <w:rsid w:val="00C4665F"/>
    <w:rsid w:val="00C4672C"/>
    <w:rsid w:val="00C46D14"/>
    <w:rsid w:val="00C4750F"/>
    <w:rsid w:val="00C47E0D"/>
    <w:rsid w:val="00C47F87"/>
    <w:rsid w:val="00C504DD"/>
    <w:rsid w:val="00C506AF"/>
    <w:rsid w:val="00C50F98"/>
    <w:rsid w:val="00C514A8"/>
    <w:rsid w:val="00C51834"/>
    <w:rsid w:val="00C52F5D"/>
    <w:rsid w:val="00C53301"/>
    <w:rsid w:val="00C5377E"/>
    <w:rsid w:val="00C54232"/>
    <w:rsid w:val="00C54F5D"/>
    <w:rsid w:val="00C55144"/>
    <w:rsid w:val="00C557A1"/>
    <w:rsid w:val="00C5607D"/>
    <w:rsid w:val="00C56137"/>
    <w:rsid w:val="00C5628B"/>
    <w:rsid w:val="00C56664"/>
    <w:rsid w:val="00C56C1D"/>
    <w:rsid w:val="00C56D6B"/>
    <w:rsid w:val="00C572B3"/>
    <w:rsid w:val="00C57582"/>
    <w:rsid w:val="00C579A7"/>
    <w:rsid w:val="00C616A1"/>
    <w:rsid w:val="00C616C3"/>
    <w:rsid w:val="00C61AB5"/>
    <w:rsid w:val="00C62063"/>
    <w:rsid w:val="00C62688"/>
    <w:rsid w:val="00C62746"/>
    <w:rsid w:val="00C627F6"/>
    <w:rsid w:val="00C62B40"/>
    <w:rsid w:val="00C62F92"/>
    <w:rsid w:val="00C63825"/>
    <w:rsid w:val="00C63E0D"/>
    <w:rsid w:val="00C641DC"/>
    <w:rsid w:val="00C646BB"/>
    <w:rsid w:val="00C64741"/>
    <w:rsid w:val="00C647C8"/>
    <w:rsid w:val="00C6522E"/>
    <w:rsid w:val="00C65966"/>
    <w:rsid w:val="00C65B6D"/>
    <w:rsid w:val="00C66355"/>
    <w:rsid w:val="00C665DC"/>
    <w:rsid w:val="00C66A2B"/>
    <w:rsid w:val="00C66F70"/>
    <w:rsid w:val="00C66FE3"/>
    <w:rsid w:val="00C67215"/>
    <w:rsid w:val="00C701BD"/>
    <w:rsid w:val="00C70B8C"/>
    <w:rsid w:val="00C70EE9"/>
    <w:rsid w:val="00C71045"/>
    <w:rsid w:val="00C716BF"/>
    <w:rsid w:val="00C71B20"/>
    <w:rsid w:val="00C71D50"/>
    <w:rsid w:val="00C72079"/>
    <w:rsid w:val="00C735DB"/>
    <w:rsid w:val="00C73A40"/>
    <w:rsid w:val="00C75553"/>
    <w:rsid w:val="00C7596B"/>
    <w:rsid w:val="00C7634F"/>
    <w:rsid w:val="00C7642F"/>
    <w:rsid w:val="00C767C6"/>
    <w:rsid w:val="00C76F26"/>
    <w:rsid w:val="00C81B1C"/>
    <w:rsid w:val="00C81CA7"/>
    <w:rsid w:val="00C827A3"/>
    <w:rsid w:val="00C82D0C"/>
    <w:rsid w:val="00C832B4"/>
    <w:rsid w:val="00C8389B"/>
    <w:rsid w:val="00C84483"/>
    <w:rsid w:val="00C8519C"/>
    <w:rsid w:val="00C856D5"/>
    <w:rsid w:val="00C8581A"/>
    <w:rsid w:val="00C85B95"/>
    <w:rsid w:val="00C86408"/>
    <w:rsid w:val="00C86965"/>
    <w:rsid w:val="00C8721B"/>
    <w:rsid w:val="00C8753F"/>
    <w:rsid w:val="00C87543"/>
    <w:rsid w:val="00C90791"/>
    <w:rsid w:val="00C90928"/>
    <w:rsid w:val="00C918A4"/>
    <w:rsid w:val="00C91C28"/>
    <w:rsid w:val="00C91C37"/>
    <w:rsid w:val="00C920CF"/>
    <w:rsid w:val="00C935E0"/>
    <w:rsid w:val="00C942E0"/>
    <w:rsid w:val="00C94ECE"/>
    <w:rsid w:val="00C94FCE"/>
    <w:rsid w:val="00C951DE"/>
    <w:rsid w:val="00C955A2"/>
    <w:rsid w:val="00C955F1"/>
    <w:rsid w:val="00C95840"/>
    <w:rsid w:val="00C95C2C"/>
    <w:rsid w:val="00C95CF1"/>
    <w:rsid w:val="00C95E3F"/>
    <w:rsid w:val="00C9701F"/>
    <w:rsid w:val="00C97D17"/>
    <w:rsid w:val="00CA1787"/>
    <w:rsid w:val="00CA2E8F"/>
    <w:rsid w:val="00CA3282"/>
    <w:rsid w:val="00CA3936"/>
    <w:rsid w:val="00CA39B1"/>
    <w:rsid w:val="00CA4171"/>
    <w:rsid w:val="00CA511B"/>
    <w:rsid w:val="00CA5380"/>
    <w:rsid w:val="00CA5A4C"/>
    <w:rsid w:val="00CA6140"/>
    <w:rsid w:val="00CA64FB"/>
    <w:rsid w:val="00CA6716"/>
    <w:rsid w:val="00CA6C77"/>
    <w:rsid w:val="00CA7A93"/>
    <w:rsid w:val="00CB03A6"/>
    <w:rsid w:val="00CB0465"/>
    <w:rsid w:val="00CB0CC5"/>
    <w:rsid w:val="00CB0F29"/>
    <w:rsid w:val="00CB10C0"/>
    <w:rsid w:val="00CB165C"/>
    <w:rsid w:val="00CB1A17"/>
    <w:rsid w:val="00CB1FDB"/>
    <w:rsid w:val="00CB2095"/>
    <w:rsid w:val="00CB2DD2"/>
    <w:rsid w:val="00CB3A8D"/>
    <w:rsid w:val="00CB52DB"/>
    <w:rsid w:val="00CB6148"/>
    <w:rsid w:val="00CB68D0"/>
    <w:rsid w:val="00CB6C6C"/>
    <w:rsid w:val="00CB6DBB"/>
    <w:rsid w:val="00CB757F"/>
    <w:rsid w:val="00CB7845"/>
    <w:rsid w:val="00CC0CA9"/>
    <w:rsid w:val="00CC0CCA"/>
    <w:rsid w:val="00CC0E43"/>
    <w:rsid w:val="00CC13C8"/>
    <w:rsid w:val="00CC1AA6"/>
    <w:rsid w:val="00CC2705"/>
    <w:rsid w:val="00CC2C70"/>
    <w:rsid w:val="00CC2FDA"/>
    <w:rsid w:val="00CC3318"/>
    <w:rsid w:val="00CC3B48"/>
    <w:rsid w:val="00CC3FF3"/>
    <w:rsid w:val="00CC4524"/>
    <w:rsid w:val="00CC4AD1"/>
    <w:rsid w:val="00CC4DCF"/>
    <w:rsid w:val="00CC5310"/>
    <w:rsid w:val="00CC5CC3"/>
    <w:rsid w:val="00CC62EB"/>
    <w:rsid w:val="00CC674F"/>
    <w:rsid w:val="00CC6C69"/>
    <w:rsid w:val="00CC79C4"/>
    <w:rsid w:val="00CC7E2E"/>
    <w:rsid w:val="00CD1072"/>
    <w:rsid w:val="00CD12DE"/>
    <w:rsid w:val="00CD1C14"/>
    <w:rsid w:val="00CD39E7"/>
    <w:rsid w:val="00CD47E1"/>
    <w:rsid w:val="00CD52DB"/>
    <w:rsid w:val="00CD5CC7"/>
    <w:rsid w:val="00CD60A3"/>
    <w:rsid w:val="00CD6F6E"/>
    <w:rsid w:val="00CD7CC6"/>
    <w:rsid w:val="00CE0335"/>
    <w:rsid w:val="00CE04DD"/>
    <w:rsid w:val="00CE0EDE"/>
    <w:rsid w:val="00CE12F9"/>
    <w:rsid w:val="00CE193C"/>
    <w:rsid w:val="00CE1D7F"/>
    <w:rsid w:val="00CE2AED"/>
    <w:rsid w:val="00CE2BBD"/>
    <w:rsid w:val="00CE3297"/>
    <w:rsid w:val="00CE36B9"/>
    <w:rsid w:val="00CE3849"/>
    <w:rsid w:val="00CE40C1"/>
    <w:rsid w:val="00CE4135"/>
    <w:rsid w:val="00CE473F"/>
    <w:rsid w:val="00CE4CA0"/>
    <w:rsid w:val="00CE5218"/>
    <w:rsid w:val="00CE5D45"/>
    <w:rsid w:val="00CE6073"/>
    <w:rsid w:val="00CE7278"/>
    <w:rsid w:val="00CE7932"/>
    <w:rsid w:val="00CE7E01"/>
    <w:rsid w:val="00CF0666"/>
    <w:rsid w:val="00CF07BA"/>
    <w:rsid w:val="00CF0889"/>
    <w:rsid w:val="00CF119C"/>
    <w:rsid w:val="00CF1628"/>
    <w:rsid w:val="00CF18E3"/>
    <w:rsid w:val="00CF2199"/>
    <w:rsid w:val="00CF2C4E"/>
    <w:rsid w:val="00CF30DF"/>
    <w:rsid w:val="00CF3BF7"/>
    <w:rsid w:val="00CF4E5E"/>
    <w:rsid w:val="00CF6103"/>
    <w:rsid w:val="00CF6111"/>
    <w:rsid w:val="00CF6439"/>
    <w:rsid w:val="00CF78FE"/>
    <w:rsid w:val="00CF7DFA"/>
    <w:rsid w:val="00D009F8"/>
    <w:rsid w:val="00D00AA8"/>
    <w:rsid w:val="00D00CC4"/>
    <w:rsid w:val="00D02148"/>
    <w:rsid w:val="00D02B26"/>
    <w:rsid w:val="00D03673"/>
    <w:rsid w:val="00D0395B"/>
    <w:rsid w:val="00D0432B"/>
    <w:rsid w:val="00D04343"/>
    <w:rsid w:val="00D04CBB"/>
    <w:rsid w:val="00D0547B"/>
    <w:rsid w:val="00D057E0"/>
    <w:rsid w:val="00D05AD7"/>
    <w:rsid w:val="00D06305"/>
    <w:rsid w:val="00D06320"/>
    <w:rsid w:val="00D07892"/>
    <w:rsid w:val="00D07ED7"/>
    <w:rsid w:val="00D1246B"/>
    <w:rsid w:val="00D13562"/>
    <w:rsid w:val="00D13AC7"/>
    <w:rsid w:val="00D1408C"/>
    <w:rsid w:val="00D149DE"/>
    <w:rsid w:val="00D14DB8"/>
    <w:rsid w:val="00D161B5"/>
    <w:rsid w:val="00D173F6"/>
    <w:rsid w:val="00D174A1"/>
    <w:rsid w:val="00D17C5B"/>
    <w:rsid w:val="00D2018C"/>
    <w:rsid w:val="00D2044E"/>
    <w:rsid w:val="00D205C1"/>
    <w:rsid w:val="00D20B64"/>
    <w:rsid w:val="00D20FF7"/>
    <w:rsid w:val="00D21DA9"/>
    <w:rsid w:val="00D222DC"/>
    <w:rsid w:val="00D22ACF"/>
    <w:rsid w:val="00D23A11"/>
    <w:rsid w:val="00D23E3F"/>
    <w:rsid w:val="00D242BC"/>
    <w:rsid w:val="00D244A7"/>
    <w:rsid w:val="00D2450E"/>
    <w:rsid w:val="00D24881"/>
    <w:rsid w:val="00D255D5"/>
    <w:rsid w:val="00D269B5"/>
    <w:rsid w:val="00D306E1"/>
    <w:rsid w:val="00D30769"/>
    <w:rsid w:val="00D30B5F"/>
    <w:rsid w:val="00D32BF1"/>
    <w:rsid w:val="00D32E85"/>
    <w:rsid w:val="00D33879"/>
    <w:rsid w:val="00D33C91"/>
    <w:rsid w:val="00D33DFA"/>
    <w:rsid w:val="00D349FD"/>
    <w:rsid w:val="00D35170"/>
    <w:rsid w:val="00D35349"/>
    <w:rsid w:val="00D35DD0"/>
    <w:rsid w:val="00D36F00"/>
    <w:rsid w:val="00D37E11"/>
    <w:rsid w:val="00D37FF3"/>
    <w:rsid w:val="00D400D3"/>
    <w:rsid w:val="00D4053D"/>
    <w:rsid w:val="00D40678"/>
    <w:rsid w:val="00D4075A"/>
    <w:rsid w:val="00D41300"/>
    <w:rsid w:val="00D4162D"/>
    <w:rsid w:val="00D41C71"/>
    <w:rsid w:val="00D42347"/>
    <w:rsid w:val="00D438C7"/>
    <w:rsid w:val="00D43DE7"/>
    <w:rsid w:val="00D43EF9"/>
    <w:rsid w:val="00D444F6"/>
    <w:rsid w:val="00D454EC"/>
    <w:rsid w:val="00D45C91"/>
    <w:rsid w:val="00D46727"/>
    <w:rsid w:val="00D46A7A"/>
    <w:rsid w:val="00D47114"/>
    <w:rsid w:val="00D477BC"/>
    <w:rsid w:val="00D50CF8"/>
    <w:rsid w:val="00D50E74"/>
    <w:rsid w:val="00D50F6F"/>
    <w:rsid w:val="00D51A19"/>
    <w:rsid w:val="00D51C3F"/>
    <w:rsid w:val="00D51D37"/>
    <w:rsid w:val="00D51DF4"/>
    <w:rsid w:val="00D53BF5"/>
    <w:rsid w:val="00D54012"/>
    <w:rsid w:val="00D54CC8"/>
    <w:rsid w:val="00D54E2B"/>
    <w:rsid w:val="00D54F2F"/>
    <w:rsid w:val="00D55926"/>
    <w:rsid w:val="00D55993"/>
    <w:rsid w:val="00D55C27"/>
    <w:rsid w:val="00D55D86"/>
    <w:rsid w:val="00D562D6"/>
    <w:rsid w:val="00D57936"/>
    <w:rsid w:val="00D57BA4"/>
    <w:rsid w:val="00D57BD1"/>
    <w:rsid w:val="00D60068"/>
    <w:rsid w:val="00D6021F"/>
    <w:rsid w:val="00D60B8B"/>
    <w:rsid w:val="00D60C01"/>
    <w:rsid w:val="00D61638"/>
    <w:rsid w:val="00D6235B"/>
    <w:rsid w:val="00D62DAD"/>
    <w:rsid w:val="00D6313B"/>
    <w:rsid w:val="00D63567"/>
    <w:rsid w:val="00D64A6B"/>
    <w:rsid w:val="00D65910"/>
    <w:rsid w:val="00D65A5B"/>
    <w:rsid w:val="00D6656A"/>
    <w:rsid w:val="00D66ED1"/>
    <w:rsid w:val="00D66F27"/>
    <w:rsid w:val="00D67634"/>
    <w:rsid w:val="00D67981"/>
    <w:rsid w:val="00D67B87"/>
    <w:rsid w:val="00D67BF7"/>
    <w:rsid w:val="00D67F53"/>
    <w:rsid w:val="00D705CB"/>
    <w:rsid w:val="00D70BFB"/>
    <w:rsid w:val="00D70D42"/>
    <w:rsid w:val="00D7123B"/>
    <w:rsid w:val="00D71994"/>
    <w:rsid w:val="00D71BF1"/>
    <w:rsid w:val="00D71CA9"/>
    <w:rsid w:val="00D71D5B"/>
    <w:rsid w:val="00D71FF1"/>
    <w:rsid w:val="00D722FF"/>
    <w:rsid w:val="00D72AC5"/>
    <w:rsid w:val="00D73180"/>
    <w:rsid w:val="00D732EE"/>
    <w:rsid w:val="00D73445"/>
    <w:rsid w:val="00D73760"/>
    <w:rsid w:val="00D739D0"/>
    <w:rsid w:val="00D73EBE"/>
    <w:rsid w:val="00D7461B"/>
    <w:rsid w:val="00D74642"/>
    <w:rsid w:val="00D75219"/>
    <w:rsid w:val="00D75404"/>
    <w:rsid w:val="00D75A9F"/>
    <w:rsid w:val="00D7619B"/>
    <w:rsid w:val="00D764C1"/>
    <w:rsid w:val="00D76675"/>
    <w:rsid w:val="00D7668D"/>
    <w:rsid w:val="00D779D0"/>
    <w:rsid w:val="00D814E9"/>
    <w:rsid w:val="00D81585"/>
    <w:rsid w:val="00D81B56"/>
    <w:rsid w:val="00D82A08"/>
    <w:rsid w:val="00D82CBA"/>
    <w:rsid w:val="00D831EB"/>
    <w:rsid w:val="00D83C16"/>
    <w:rsid w:val="00D846D2"/>
    <w:rsid w:val="00D847E4"/>
    <w:rsid w:val="00D84D48"/>
    <w:rsid w:val="00D85B9C"/>
    <w:rsid w:val="00D86A2A"/>
    <w:rsid w:val="00D86C80"/>
    <w:rsid w:val="00D86DE1"/>
    <w:rsid w:val="00D871E4"/>
    <w:rsid w:val="00D87B8E"/>
    <w:rsid w:val="00D906BF"/>
    <w:rsid w:val="00D908AA"/>
    <w:rsid w:val="00D90980"/>
    <w:rsid w:val="00D90BAB"/>
    <w:rsid w:val="00D90D9D"/>
    <w:rsid w:val="00D915F6"/>
    <w:rsid w:val="00D9176A"/>
    <w:rsid w:val="00D91960"/>
    <w:rsid w:val="00D919C0"/>
    <w:rsid w:val="00D91FFB"/>
    <w:rsid w:val="00D922EB"/>
    <w:rsid w:val="00D92D8A"/>
    <w:rsid w:val="00D92F7B"/>
    <w:rsid w:val="00D93023"/>
    <w:rsid w:val="00D93486"/>
    <w:rsid w:val="00D9354C"/>
    <w:rsid w:val="00D93950"/>
    <w:rsid w:val="00D9418C"/>
    <w:rsid w:val="00D94990"/>
    <w:rsid w:val="00D94EED"/>
    <w:rsid w:val="00D94F99"/>
    <w:rsid w:val="00D9525D"/>
    <w:rsid w:val="00D9550A"/>
    <w:rsid w:val="00D95D6F"/>
    <w:rsid w:val="00D96620"/>
    <w:rsid w:val="00D96C39"/>
    <w:rsid w:val="00D96EBC"/>
    <w:rsid w:val="00D97F23"/>
    <w:rsid w:val="00D97F6D"/>
    <w:rsid w:val="00D97FAA"/>
    <w:rsid w:val="00DA0BC7"/>
    <w:rsid w:val="00DA178C"/>
    <w:rsid w:val="00DA2CC8"/>
    <w:rsid w:val="00DA3E78"/>
    <w:rsid w:val="00DA4427"/>
    <w:rsid w:val="00DA486E"/>
    <w:rsid w:val="00DA4F29"/>
    <w:rsid w:val="00DA5CBF"/>
    <w:rsid w:val="00DA6439"/>
    <w:rsid w:val="00DA646C"/>
    <w:rsid w:val="00DA7204"/>
    <w:rsid w:val="00DA771E"/>
    <w:rsid w:val="00DA7BFC"/>
    <w:rsid w:val="00DB0D0C"/>
    <w:rsid w:val="00DB0D4F"/>
    <w:rsid w:val="00DB1006"/>
    <w:rsid w:val="00DB20BE"/>
    <w:rsid w:val="00DB2152"/>
    <w:rsid w:val="00DB3B95"/>
    <w:rsid w:val="00DB4619"/>
    <w:rsid w:val="00DB4620"/>
    <w:rsid w:val="00DB4693"/>
    <w:rsid w:val="00DB4988"/>
    <w:rsid w:val="00DB5BDD"/>
    <w:rsid w:val="00DB661D"/>
    <w:rsid w:val="00DB670B"/>
    <w:rsid w:val="00DB68CD"/>
    <w:rsid w:val="00DB6BAB"/>
    <w:rsid w:val="00DB6C6C"/>
    <w:rsid w:val="00DB6FEB"/>
    <w:rsid w:val="00DB75C0"/>
    <w:rsid w:val="00DB76BF"/>
    <w:rsid w:val="00DC0035"/>
    <w:rsid w:val="00DC006F"/>
    <w:rsid w:val="00DC0B8F"/>
    <w:rsid w:val="00DC0F7C"/>
    <w:rsid w:val="00DC12F1"/>
    <w:rsid w:val="00DC189F"/>
    <w:rsid w:val="00DC1EAB"/>
    <w:rsid w:val="00DC2903"/>
    <w:rsid w:val="00DC2DE2"/>
    <w:rsid w:val="00DC2DF0"/>
    <w:rsid w:val="00DC2E3D"/>
    <w:rsid w:val="00DC3054"/>
    <w:rsid w:val="00DC315C"/>
    <w:rsid w:val="00DC3293"/>
    <w:rsid w:val="00DC3CF5"/>
    <w:rsid w:val="00DC3FC9"/>
    <w:rsid w:val="00DC4148"/>
    <w:rsid w:val="00DC416B"/>
    <w:rsid w:val="00DC44A8"/>
    <w:rsid w:val="00DC4C7D"/>
    <w:rsid w:val="00DC4FEB"/>
    <w:rsid w:val="00DC5160"/>
    <w:rsid w:val="00DC5898"/>
    <w:rsid w:val="00DC660C"/>
    <w:rsid w:val="00DC6656"/>
    <w:rsid w:val="00DC6690"/>
    <w:rsid w:val="00DC66B8"/>
    <w:rsid w:val="00DC6B94"/>
    <w:rsid w:val="00DC7136"/>
    <w:rsid w:val="00DC73C7"/>
    <w:rsid w:val="00DC752D"/>
    <w:rsid w:val="00DC7E01"/>
    <w:rsid w:val="00DD0832"/>
    <w:rsid w:val="00DD1AAC"/>
    <w:rsid w:val="00DD1F1F"/>
    <w:rsid w:val="00DD1F44"/>
    <w:rsid w:val="00DD216D"/>
    <w:rsid w:val="00DD2C0D"/>
    <w:rsid w:val="00DD2C6D"/>
    <w:rsid w:val="00DD303B"/>
    <w:rsid w:val="00DD3342"/>
    <w:rsid w:val="00DD3B34"/>
    <w:rsid w:val="00DD4A9F"/>
    <w:rsid w:val="00DD520A"/>
    <w:rsid w:val="00DD5666"/>
    <w:rsid w:val="00DD62B6"/>
    <w:rsid w:val="00DD6508"/>
    <w:rsid w:val="00DD6F1F"/>
    <w:rsid w:val="00DE086F"/>
    <w:rsid w:val="00DE12D7"/>
    <w:rsid w:val="00DE1826"/>
    <w:rsid w:val="00DE1E5A"/>
    <w:rsid w:val="00DE1FD5"/>
    <w:rsid w:val="00DE207E"/>
    <w:rsid w:val="00DE241C"/>
    <w:rsid w:val="00DE2C9A"/>
    <w:rsid w:val="00DE3521"/>
    <w:rsid w:val="00DE3763"/>
    <w:rsid w:val="00DE3B74"/>
    <w:rsid w:val="00DE4007"/>
    <w:rsid w:val="00DE41DE"/>
    <w:rsid w:val="00DE4740"/>
    <w:rsid w:val="00DE4C52"/>
    <w:rsid w:val="00DE4CB7"/>
    <w:rsid w:val="00DE516F"/>
    <w:rsid w:val="00DE5689"/>
    <w:rsid w:val="00DE570F"/>
    <w:rsid w:val="00DE57A2"/>
    <w:rsid w:val="00DE57A3"/>
    <w:rsid w:val="00DE5A9E"/>
    <w:rsid w:val="00DE6AF1"/>
    <w:rsid w:val="00DF015E"/>
    <w:rsid w:val="00DF07E9"/>
    <w:rsid w:val="00DF1676"/>
    <w:rsid w:val="00DF1F4F"/>
    <w:rsid w:val="00DF24A6"/>
    <w:rsid w:val="00DF2920"/>
    <w:rsid w:val="00DF3D76"/>
    <w:rsid w:val="00DF4340"/>
    <w:rsid w:val="00DF440E"/>
    <w:rsid w:val="00DF48A5"/>
    <w:rsid w:val="00DF48C1"/>
    <w:rsid w:val="00DF4927"/>
    <w:rsid w:val="00DF532D"/>
    <w:rsid w:val="00DF5481"/>
    <w:rsid w:val="00DF5D42"/>
    <w:rsid w:val="00DF6337"/>
    <w:rsid w:val="00DF6519"/>
    <w:rsid w:val="00DF66C4"/>
    <w:rsid w:val="00DF69D1"/>
    <w:rsid w:val="00DF70E2"/>
    <w:rsid w:val="00DF750A"/>
    <w:rsid w:val="00DF7631"/>
    <w:rsid w:val="00DF7A48"/>
    <w:rsid w:val="00DF7B59"/>
    <w:rsid w:val="00DF7EF7"/>
    <w:rsid w:val="00DF7F9C"/>
    <w:rsid w:val="00E00786"/>
    <w:rsid w:val="00E008EB"/>
    <w:rsid w:val="00E00DE3"/>
    <w:rsid w:val="00E0148F"/>
    <w:rsid w:val="00E0186A"/>
    <w:rsid w:val="00E019D3"/>
    <w:rsid w:val="00E01EA7"/>
    <w:rsid w:val="00E02969"/>
    <w:rsid w:val="00E02E88"/>
    <w:rsid w:val="00E05118"/>
    <w:rsid w:val="00E05C95"/>
    <w:rsid w:val="00E067D6"/>
    <w:rsid w:val="00E06EF1"/>
    <w:rsid w:val="00E0705A"/>
    <w:rsid w:val="00E07A0B"/>
    <w:rsid w:val="00E07CA2"/>
    <w:rsid w:val="00E101AB"/>
    <w:rsid w:val="00E1054B"/>
    <w:rsid w:val="00E10742"/>
    <w:rsid w:val="00E10769"/>
    <w:rsid w:val="00E10E81"/>
    <w:rsid w:val="00E10F64"/>
    <w:rsid w:val="00E111EB"/>
    <w:rsid w:val="00E1188D"/>
    <w:rsid w:val="00E119A4"/>
    <w:rsid w:val="00E119DA"/>
    <w:rsid w:val="00E11C97"/>
    <w:rsid w:val="00E11CF0"/>
    <w:rsid w:val="00E12329"/>
    <w:rsid w:val="00E12704"/>
    <w:rsid w:val="00E1327A"/>
    <w:rsid w:val="00E137E6"/>
    <w:rsid w:val="00E13F89"/>
    <w:rsid w:val="00E14432"/>
    <w:rsid w:val="00E14495"/>
    <w:rsid w:val="00E14D0C"/>
    <w:rsid w:val="00E151F3"/>
    <w:rsid w:val="00E152FF"/>
    <w:rsid w:val="00E154D7"/>
    <w:rsid w:val="00E156CB"/>
    <w:rsid w:val="00E15DD0"/>
    <w:rsid w:val="00E16D0B"/>
    <w:rsid w:val="00E175F9"/>
    <w:rsid w:val="00E2002A"/>
    <w:rsid w:val="00E20862"/>
    <w:rsid w:val="00E20E0C"/>
    <w:rsid w:val="00E21541"/>
    <w:rsid w:val="00E21970"/>
    <w:rsid w:val="00E245AC"/>
    <w:rsid w:val="00E24F99"/>
    <w:rsid w:val="00E26379"/>
    <w:rsid w:val="00E263DD"/>
    <w:rsid w:val="00E2660B"/>
    <w:rsid w:val="00E26905"/>
    <w:rsid w:val="00E27069"/>
    <w:rsid w:val="00E273AD"/>
    <w:rsid w:val="00E2758E"/>
    <w:rsid w:val="00E305CD"/>
    <w:rsid w:val="00E30742"/>
    <w:rsid w:val="00E30D7A"/>
    <w:rsid w:val="00E33333"/>
    <w:rsid w:val="00E336C9"/>
    <w:rsid w:val="00E34306"/>
    <w:rsid w:val="00E344E4"/>
    <w:rsid w:val="00E34A10"/>
    <w:rsid w:val="00E34B9E"/>
    <w:rsid w:val="00E3557E"/>
    <w:rsid w:val="00E35665"/>
    <w:rsid w:val="00E3584D"/>
    <w:rsid w:val="00E359AA"/>
    <w:rsid w:val="00E36CE0"/>
    <w:rsid w:val="00E37019"/>
    <w:rsid w:val="00E3761D"/>
    <w:rsid w:val="00E3778C"/>
    <w:rsid w:val="00E406A0"/>
    <w:rsid w:val="00E40DA8"/>
    <w:rsid w:val="00E4110A"/>
    <w:rsid w:val="00E4261B"/>
    <w:rsid w:val="00E429B7"/>
    <w:rsid w:val="00E42C50"/>
    <w:rsid w:val="00E43FFC"/>
    <w:rsid w:val="00E447F7"/>
    <w:rsid w:val="00E469C8"/>
    <w:rsid w:val="00E46F10"/>
    <w:rsid w:val="00E47393"/>
    <w:rsid w:val="00E474C9"/>
    <w:rsid w:val="00E47B21"/>
    <w:rsid w:val="00E47E64"/>
    <w:rsid w:val="00E50172"/>
    <w:rsid w:val="00E502DD"/>
    <w:rsid w:val="00E50FC4"/>
    <w:rsid w:val="00E51221"/>
    <w:rsid w:val="00E513D6"/>
    <w:rsid w:val="00E51AFC"/>
    <w:rsid w:val="00E52493"/>
    <w:rsid w:val="00E5266C"/>
    <w:rsid w:val="00E5316C"/>
    <w:rsid w:val="00E53546"/>
    <w:rsid w:val="00E54675"/>
    <w:rsid w:val="00E54709"/>
    <w:rsid w:val="00E55178"/>
    <w:rsid w:val="00E551AE"/>
    <w:rsid w:val="00E55323"/>
    <w:rsid w:val="00E553C4"/>
    <w:rsid w:val="00E55478"/>
    <w:rsid w:val="00E559AA"/>
    <w:rsid w:val="00E56976"/>
    <w:rsid w:val="00E60892"/>
    <w:rsid w:val="00E60B9F"/>
    <w:rsid w:val="00E611A1"/>
    <w:rsid w:val="00E61923"/>
    <w:rsid w:val="00E61FAA"/>
    <w:rsid w:val="00E63287"/>
    <w:rsid w:val="00E63FFD"/>
    <w:rsid w:val="00E64555"/>
    <w:rsid w:val="00E648DA"/>
    <w:rsid w:val="00E65167"/>
    <w:rsid w:val="00E6555F"/>
    <w:rsid w:val="00E65A07"/>
    <w:rsid w:val="00E65D6A"/>
    <w:rsid w:val="00E662B7"/>
    <w:rsid w:val="00E67915"/>
    <w:rsid w:val="00E67CF0"/>
    <w:rsid w:val="00E701EB"/>
    <w:rsid w:val="00E703F1"/>
    <w:rsid w:val="00E70401"/>
    <w:rsid w:val="00E70456"/>
    <w:rsid w:val="00E704A7"/>
    <w:rsid w:val="00E705A7"/>
    <w:rsid w:val="00E7109D"/>
    <w:rsid w:val="00E71B79"/>
    <w:rsid w:val="00E71C0F"/>
    <w:rsid w:val="00E71FC5"/>
    <w:rsid w:val="00E72C80"/>
    <w:rsid w:val="00E73A0A"/>
    <w:rsid w:val="00E73D80"/>
    <w:rsid w:val="00E743F4"/>
    <w:rsid w:val="00E7474B"/>
    <w:rsid w:val="00E747DE"/>
    <w:rsid w:val="00E74FCE"/>
    <w:rsid w:val="00E764E0"/>
    <w:rsid w:val="00E767C6"/>
    <w:rsid w:val="00E77095"/>
    <w:rsid w:val="00E801FA"/>
    <w:rsid w:val="00E81942"/>
    <w:rsid w:val="00E82C57"/>
    <w:rsid w:val="00E8315D"/>
    <w:rsid w:val="00E8337E"/>
    <w:rsid w:val="00E83710"/>
    <w:rsid w:val="00E83884"/>
    <w:rsid w:val="00E83A43"/>
    <w:rsid w:val="00E84B5E"/>
    <w:rsid w:val="00E85614"/>
    <w:rsid w:val="00E85678"/>
    <w:rsid w:val="00E85D6F"/>
    <w:rsid w:val="00E86028"/>
    <w:rsid w:val="00E86050"/>
    <w:rsid w:val="00E86BFE"/>
    <w:rsid w:val="00E87F75"/>
    <w:rsid w:val="00E90A98"/>
    <w:rsid w:val="00E90B96"/>
    <w:rsid w:val="00E91546"/>
    <w:rsid w:val="00E91C90"/>
    <w:rsid w:val="00E91F29"/>
    <w:rsid w:val="00E925CE"/>
    <w:rsid w:val="00E947EA"/>
    <w:rsid w:val="00E94D9A"/>
    <w:rsid w:val="00E94E53"/>
    <w:rsid w:val="00E95D38"/>
    <w:rsid w:val="00E95DB9"/>
    <w:rsid w:val="00E95DD1"/>
    <w:rsid w:val="00E96731"/>
    <w:rsid w:val="00E9792E"/>
    <w:rsid w:val="00E97EB5"/>
    <w:rsid w:val="00EA0024"/>
    <w:rsid w:val="00EA0187"/>
    <w:rsid w:val="00EA025C"/>
    <w:rsid w:val="00EA0379"/>
    <w:rsid w:val="00EA08BA"/>
    <w:rsid w:val="00EA13FD"/>
    <w:rsid w:val="00EA16C0"/>
    <w:rsid w:val="00EA35B3"/>
    <w:rsid w:val="00EA39D5"/>
    <w:rsid w:val="00EA3B4E"/>
    <w:rsid w:val="00EA3D72"/>
    <w:rsid w:val="00EA414A"/>
    <w:rsid w:val="00EA41CE"/>
    <w:rsid w:val="00EA4C91"/>
    <w:rsid w:val="00EA53D2"/>
    <w:rsid w:val="00EA5604"/>
    <w:rsid w:val="00EA6588"/>
    <w:rsid w:val="00EA7DFF"/>
    <w:rsid w:val="00EB0D4F"/>
    <w:rsid w:val="00EB1DE2"/>
    <w:rsid w:val="00EB1F14"/>
    <w:rsid w:val="00EB24DD"/>
    <w:rsid w:val="00EB2812"/>
    <w:rsid w:val="00EB29FB"/>
    <w:rsid w:val="00EB302F"/>
    <w:rsid w:val="00EB3563"/>
    <w:rsid w:val="00EB6A2E"/>
    <w:rsid w:val="00EB6AC5"/>
    <w:rsid w:val="00EB7CD2"/>
    <w:rsid w:val="00EC0065"/>
    <w:rsid w:val="00EC0E80"/>
    <w:rsid w:val="00EC1F66"/>
    <w:rsid w:val="00EC2DD8"/>
    <w:rsid w:val="00EC3E57"/>
    <w:rsid w:val="00EC46AF"/>
    <w:rsid w:val="00EC5ACF"/>
    <w:rsid w:val="00EC5BD1"/>
    <w:rsid w:val="00EC64C0"/>
    <w:rsid w:val="00EC6557"/>
    <w:rsid w:val="00EC69B4"/>
    <w:rsid w:val="00EC7894"/>
    <w:rsid w:val="00EC7B0C"/>
    <w:rsid w:val="00EC7CB6"/>
    <w:rsid w:val="00ED017F"/>
    <w:rsid w:val="00ED1449"/>
    <w:rsid w:val="00ED1672"/>
    <w:rsid w:val="00ED182F"/>
    <w:rsid w:val="00ED1CED"/>
    <w:rsid w:val="00ED1F67"/>
    <w:rsid w:val="00ED263E"/>
    <w:rsid w:val="00ED2B4D"/>
    <w:rsid w:val="00ED35F0"/>
    <w:rsid w:val="00ED41A6"/>
    <w:rsid w:val="00ED4EFE"/>
    <w:rsid w:val="00ED525E"/>
    <w:rsid w:val="00ED720E"/>
    <w:rsid w:val="00ED751B"/>
    <w:rsid w:val="00ED7E26"/>
    <w:rsid w:val="00EE0D7D"/>
    <w:rsid w:val="00EE1BA6"/>
    <w:rsid w:val="00EE1E31"/>
    <w:rsid w:val="00EE21BB"/>
    <w:rsid w:val="00EE24D8"/>
    <w:rsid w:val="00EE255F"/>
    <w:rsid w:val="00EE2C16"/>
    <w:rsid w:val="00EE3476"/>
    <w:rsid w:val="00EE44A3"/>
    <w:rsid w:val="00EE4606"/>
    <w:rsid w:val="00EE4BFF"/>
    <w:rsid w:val="00EE5068"/>
    <w:rsid w:val="00EE5884"/>
    <w:rsid w:val="00EE7D0B"/>
    <w:rsid w:val="00EE7D20"/>
    <w:rsid w:val="00EE7FCB"/>
    <w:rsid w:val="00EF0295"/>
    <w:rsid w:val="00EF10A7"/>
    <w:rsid w:val="00EF1D32"/>
    <w:rsid w:val="00EF1FD9"/>
    <w:rsid w:val="00EF22F6"/>
    <w:rsid w:val="00EF2ED0"/>
    <w:rsid w:val="00EF3702"/>
    <w:rsid w:val="00EF4786"/>
    <w:rsid w:val="00EF4B63"/>
    <w:rsid w:val="00EF6247"/>
    <w:rsid w:val="00EF62E2"/>
    <w:rsid w:val="00EF6A2A"/>
    <w:rsid w:val="00EF6C44"/>
    <w:rsid w:val="00EF70D7"/>
    <w:rsid w:val="00EF7E7E"/>
    <w:rsid w:val="00F005B7"/>
    <w:rsid w:val="00F0088D"/>
    <w:rsid w:val="00F031A7"/>
    <w:rsid w:val="00F03240"/>
    <w:rsid w:val="00F035B5"/>
    <w:rsid w:val="00F03928"/>
    <w:rsid w:val="00F042E1"/>
    <w:rsid w:val="00F049E0"/>
    <w:rsid w:val="00F05671"/>
    <w:rsid w:val="00F0628B"/>
    <w:rsid w:val="00F066B2"/>
    <w:rsid w:val="00F06840"/>
    <w:rsid w:val="00F06DE3"/>
    <w:rsid w:val="00F072DA"/>
    <w:rsid w:val="00F072DC"/>
    <w:rsid w:val="00F07C55"/>
    <w:rsid w:val="00F07CFA"/>
    <w:rsid w:val="00F1031A"/>
    <w:rsid w:val="00F10693"/>
    <w:rsid w:val="00F10F62"/>
    <w:rsid w:val="00F1180F"/>
    <w:rsid w:val="00F11AB8"/>
    <w:rsid w:val="00F11B2A"/>
    <w:rsid w:val="00F11B36"/>
    <w:rsid w:val="00F11BE1"/>
    <w:rsid w:val="00F11C55"/>
    <w:rsid w:val="00F12898"/>
    <w:rsid w:val="00F12C23"/>
    <w:rsid w:val="00F13294"/>
    <w:rsid w:val="00F13AA6"/>
    <w:rsid w:val="00F13CC8"/>
    <w:rsid w:val="00F13D96"/>
    <w:rsid w:val="00F13F04"/>
    <w:rsid w:val="00F15523"/>
    <w:rsid w:val="00F15B41"/>
    <w:rsid w:val="00F15BD0"/>
    <w:rsid w:val="00F161B4"/>
    <w:rsid w:val="00F16A18"/>
    <w:rsid w:val="00F17AB8"/>
    <w:rsid w:val="00F17AEF"/>
    <w:rsid w:val="00F17B1D"/>
    <w:rsid w:val="00F2055D"/>
    <w:rsid w:val="00F2103D"/>
    <w:rsid w:val="00F21646"/>
    <w:rsid w:val="00F21679"/>
    <w:rsid w:val="00F23575"/>
    <w:rsid w:val="00F239B9"/>
    <w:rsid w:val="00F23D38"/>
    <w:rsid w:val="00F24230"/>
    <w:rsid w:val="00F245D3"/>
    <w:rsid w:val="00F25981"/>
    <w:rsid w:val="00F25EC5"/>
    <w:rsid w:val="00F25FFA"/>
    <w:rsid w:val="00F26374"/>
    <w:rsid w:val="00F2652C"/>
    <w:rsid w:val="00F268E5"/>
    <w:rsid w:val="00F26C51"/>
    <w:rsid w:val="00F26EB8"/>
    <w:rsid w:val="00F26F84"/>
    <w:rsid w:val="00F27008"/>
    <w:rsid w:val="00F272CF"/>
    <w:rsid w:val="00F276E5"/>
    <w:rsid w:val="00F301C9"/>
    <w:rsid w:val="00F3031B"/>
    <w:rsid w:val="00F303A9"/>
    <w:rsid w:val="00F313F3"/>
    <w:rsid w:val="00F3207C"/>
    <w:rsid w:val="00F321B8"/>
    <w:rsid w:val="00F3241C"/>
    <w:rsid w:val="00F32E49"/>
    <w:rsid w:val="00F333BE"/>
    <w:rsid w:val="00F33897"/>
    <w:rsid w:val="00F33C53"/>
    <w:rsid w:val="00F33FF6"/>
    <w:rsid w:val="00F34727"/>
    <w:rsid w:val="00F353BA"/>
    <w:rsid w:val="00F354B1"/>
    <w:rsid w:val="00F360F6"/>
    <w:rsid w:val="00F365D6"/>
    <w:rsid w:val="00F36BEB"/>
    <w:rsid w:val="00F36EB9"/>
    <w:rsid w:val="00F3726E"/>
    <w:rsid w:val="00F373AB"/>
    <w:rsid w:val="00F373D9"/>
    <w:rsid w:val="00F37B2E"/>
    <w:rsid w:val="00F40503"/>
    <w:rsid w:val="00F4051C"/>
    <w:rsid w:val="00F409D1"/>
    <w:rsid w:val="00F41370"/>
    <w:rsid w:val="00F42B4D"/>
    <w:rsid w:val="00F434EF"/>
    <w:rsid w:val="00F45566"/>
    <w:rsid w:val="00F45A9B"/>
    <w:rsid w:val="00F45C08"/>
    <w:rsid w:val="00F468E8"/>
    <w:rsid w:val="00F46E03"/>
    <w:rsid w:val="00F46FEE"/>
    <w:rsid w:val="00F47330"/>
    <w:rsid w:val="00F4787B"/>
    <w:rsid w:val="00F47F21"/>
    <w:rsid w:val="00F50554"/>
    <w:rsid w:val="00F50847"/>
    <w:rsid w:val="00F50B7C"/>
    <w:rsid w:val="00F51166"/>
    <w:rsid w:val="00F51274"/>
    <w:rsid w:val="00F52084"/>
    <w:rsid w:val="00F521C7"/>
    <w:rsid w:val="00F52F59"/>
    <w:rsid w:val="00F5370A"/>
    <w:rsid w:val="00F53F7A"/>
    <w:rsid w:val="00F546E7"/>
    <w:rsid w:val="00F54A9F"/>
    <w:rsid w:val="00F54E26"/>
    <w:rsid w:val="00F5568C"/>
    <w:rsid w:val="00F55869"/>
    <w:rsid w:val="00F55FCA"/>
    <w:rsid w:val="00F562A4"/>
    <w:rsid w:val="00F56F18"/>
    <w:rsid w:val="00F575D8"/>
    <w:rsid w:val="00F602EB"/>
    <w:rsid w:val="00F608CD"/>
    <w:rsid w:val="00F61805"/>
    <w:rsid w:val="00F6196F"/>
    <w:rsid w:val="00F61CA3"/>
    <w:rsid w:val="00F61F1D"/>
    <w:rsid w:val="00F6304E"/>
    <w:rsid w:val="00F63189"/>
    <w:rsid w:val="00F633E3"/>
    <w:rsid w:val="00F633EA"/>
    <w:rsid w:val="00F63490"/>
    <w:rsid w:val="00F64E36"/>
    <w:rsid w:val="00F64F27"/>
    <w:rsid w:val="00F651D8"/>
    <w:rsid w:val="00F6559D"/>
    <w:rsid w:val="00F658A4"/>
    <w:rsid w:val="00F65FDF"/>
    <w:rsid w:val="00F66A1D"/>
    <w:rsid w:val="00F675C4"/>
    <w:rsid w:val="00F70075"/>
    <w:rsid w:val="00F70077"/>
    <w:rsid w:val="00F709AC"/>
    <w:rsid w:val="00F71026"/>
    <w:rsid w:val="00F71066"/>
    <w:rsid w:val="00F7154E"/>
    <w:rsid w:val="00F71569"/>
    <w:rsid w:val="00F7248B"/>
    <w:rsid w:val="00F72555"/>
    <w:rsid w:val="00F72D50"/>
    <w:rsid w:val="00F72F83"/>
    <w:rsid w:val="00F734EA"/>
    <w:rsid w:val="00F7394B"/>
    <w:rsid w:val="00F73C11"/>
    <w:rsid w:val="00F74CCF"/>
    <w:rsid w:val="00F75071"/>
    <w:rsid w:val="00F751F5"/>
    <w:rsid w:val="00F76FB4"/>
    <w:rsid w:val="00F775DF"/>
    <w:rsid w:val="00F778AE"/>
    <w:rsid w:val="00F80402"/>
    <w:rsid w:val="00F804DC"/>
    <w:rsid w:val="00F805E5"/>
    <w:rsid w:val="00F80E4A"/>
    <w:rsid w:val="00F81686"/>
    <w:rsid w:val="00F817F7"/>
    <w:rsid w:val="00F81AC2"/>
    <w:rsid w:val="00F823F2"/>
    <w:rsid w:val="00F8278C"/>
    <w:rsid w:val="00F82EA2"/>
    <w:rsid w:val="00F83C71"/>
    <w:rsid w:val="00F84424"/>
    <w:rsid w:val="00F844B6"/>
    <w:rsid w:val="00F8599D"/>
    <w:rsid w:val="00F8698B"/>
    <w:rsid w:val="00F86B94"/>
    <w:rsid w:val="00F86E56"/>
    <w:rsid w:val="00F87023"/>
    <w:rsid w:val="00F871C1"/>
    <w:rsid w:val="00F87471"/>
    <w:rsid w:val="00F87E83"/>
    <w:rsid w:val="00F90112"/>
    <w:rsid w:val="00F905EB"/>
    <w:rsid w:val="00F91836"/>
    <w:rsid w:val="00F91C7B"/>
    <w:rsid w:val="00F92248"/>
    <w:rsid w:val="00F92658"/>
    <w:rsid w:val="00F93090"/>
    <w:rsid w:val="00F93638"/>
    <w:rsid w:val="00F93E22"/>
    <w:rsid w:val="00F95834"/>
    <w:rsid w:val="00F95C13"/>
    <w:rsid w:val="00F95DD0"/>
    <w:rsid w:val="00F97369"/>
    <w:rsid w:val="00F976A3"/>
    <w:rsid w:val="00F97A96"/>
    <w:rsid w:val="00FA0AAB"/>
    <w:rsid w:val="00FA0F39"/>
    <w:rsid w:val="00FA1FAB"/>
    <w:rsid w:val="00FA3126"/>
    <w:rsid w:val="00FA34E2"/>
    <w:rsid w:val="00FA3582"/>
    <w:rsid w:val="00FA3C87"/>
    <w:rsid w:val="00FA5061"/>
    <w:rsid w:val="00FA5712"/>
    <w:rsid w:val="00FA6288"/>
    <w:rsid w:val="00FA68EE"/>
    <w:rsid w:val="00FA6EA9"/>
    <w:rsid w:val="00FA6F4E"/>
    <w:rsid w:val="00FA7715"/>
    <w:rsid w:val="00FA7B99"/>
    <w:rsid w:val="00FB09CC"/>
    <w:rsid w:val="00FB0AB1"/>
    <w:rsid w:val="00FB0B77"/>
    <w:rsid w:val="00FB0BC4"/>
    <w:rsid w:val="00FB10AD"/>
    <w:rsid w:val="00FB2669"/>
    <w:rsid w:val="00FB2681"/>
    <w:rsid w:val="00FB2FAF"/>
    <w:rsid w:val="00FB3D7F"/>
    <w:rsid w:val="00FB406C"/>
    <w:rsid w:val="00FB430C"/>
    <w:rsid w:val="00FB4ABC"/>
    <w:rsid w:val="00FB5B2C"/>
    <w:rsid w:val="00FB6B3D"/>
    <w:rsid w:val="00FB7AB8"/>
    <w:rsid w:val="00FB7D86"/>
    <w:rsid w:val="00FC0DC6"/>
    <w:rsid w:val="00FC2469"/>
    <w:rsid w:val="00FC263C"/>
    <w:rsid w:val="00FC40D7"/>
    <w:rsid w:val="00FC4481"/>
    <w:rsid w:val="00FC5E52"/>
    <w:rsid w:val="00FC6094"/>
    <w:rsid w:val="00FC60BB"/>
    <w:rsid w:val="00FC6F37"/>
    <w:rsid w:val="00FC7B39"/>
    <w:rsid w:val="00FD046E"/>
    <w:rsid w:val="00FD05EC"/>
    <w:rsid w:val="00FD0A10"/>
    <w:rsid w:val="00FD101D"/>
    <w:rsid w:val="00FD1067"/>
    <w:rsid w:val="00FD2396"/>
    <w:rsid w:val="00FD2D42"/>
    <w:rsid w:val="00FD30E0"/>
    <w:rsid w:val="00FD3694"/>
    <w:rsid w:val="00FD4A78"/>
    <w:rsid w:val="00FD4ACF"/>
    <w:rsid w:val="00FD5B07"/>
    <w:rsid w:val="00FD5DC7"/>
    <w:rsid w:val="00FD5F97"/>
    <w:rsid w:val="00FD6992"/>
    <w:rsid w:val="00FD6C7A"/>
    <w:rsid w:val="00FD6DA6"/>
    <w:rsid w:val="00FD6E5B"/>
    <w:rsid w:val="00FD7AF5"/>
    <w:rsid w:val="00FD7CA9"/>
    <w:rsid w:val="00FE05E7"/>
    <w:rsid w:val="00FE12BF"/>
    <w:rsid w:val="00FE14AE"/>
    <w:rsid w:val="00FE2AC3"/>
    <w:rsid w:val="00FE2B7D"/>
    <w:rsid w:val="00FE2B89"/>
    <w:rsid w:val="00FE3B2B"/>
    <w:rsid w:val="00FE4434"/>
    <w:rsid w:val="00FE4C7E"/>
    <w:rsid w:val="00FE52D3"/>
    <w:rsid w:val="00FE572F"/>
    <w:rsid w:val="00FE589F"/>
    <w:rsid w:val="00FE5C75"/>
    <w:rsid w:val="00FE5CFB"/>
    <w:rsid w:val="00FE6818"/>
    <w:rsid w:val="00FE7258"/>
    <w:rsid w:val="00FE78A7"/>
    <w:rsid w:val="00FF0943"/>
    <w:rsid w:val="00FF0E58"/>
    <w:rsid w:val="00FF1D3C"/>
    <w:rsid w:val="00FF20A9"/>
    <w:rsid w:val="00FF2394"/>
    <w:rsid w:val="00FF272F"/>
    <w:rsid w:val="00FF3357"/>
    <w:rsid w:val="00FF3C70"/>
    <w:rsid w:val="00FF3C8D"/>
    <w:rsid w:val="00FF3D77"/>
    <w:rsid w:val="00FF411D"/>
    <w:rsid w:val="00FF45D7"/>
    <w:rsid w:val="00FF464B"/>
    <w:rsid w:val="00FF465B"/>
    <w:rsid w:val="00FF47A5"/>
    <w:rsid w:val="00FF57E6"/>
    <w:rsid w:val="00FF5FDF"/>
    <w:rsid w:val="00FF6B01"/>
    <w:rsid w:val="00FF6CE1"/>
    <w:rsid w:val="00FF7835"/>
    <w:rsid w:val="00FF798D"/>
    <w:rsid w:val="00FF7A89"/>
    <w:rsid w:val="00FF7CF5"/>
    <w:rsid w:val="00FF7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3DB7D6E1"/>
  <w15:docId w15:val="{27B38289-546A-4DAF-9006-A55E5354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99"/>
    <w:qFormat/>
    <w:rsid w:val="0093455B"/>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Heading1">
    <w:name w:val="heading 1"/>
    <w:basedOn w:val="Normal"/>
    <w:next w:val="Normal"/>
    <w:link w:val="Heading1Char"/>
    <w:qFormat/>
    <w:rsid w:val="009E010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5D29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8219C1"/>
    <w:pPr>
      <w:keepNext/>
      <w:keepLines/>
      <w:widowControl/>
      <w:autoSpaceDE/>
      <w:autoSpaceDN/>
      <w:adjustRightInd/>
      <w:spacing w:before="40" w:line="259"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8219C1"/>
    <w:pPr>
      <w:keepNext/>
      <w:keepLines/>
      <w:widowControl/>
      <w:autoSpaceDE/>
      <w:autoSpaceDN/>
      <w:adjustRightInd/>
      <w:spacing w:before="120" w:after="240"/>
      <w:outlineLvl w:val="3"/>
    </w:pPr>
    <w:rPr>
      <w:rFonts w:ascii="Times New Roman" w:eastAsia="Times New Roman" w:hAnsi="Times New Roman" w:cs="Times New Roman"/>
      <w:b/>
      <w:bCs/>
      <w:i/>
      <w:color w:val="auto"/>
      <w:szCs w:val="28"/>
    </w:rPr>
  </w:style>
  <w:style w:type="paragraph" w:styleId="Heading5">
    <w:name w:val="heading 5"/>
    <w:basedOn w:val="Normal"/>
    <w:next w:val="Normal"/>
    <w:link w:val="Heading5Char"/>
    <w:qFormat/>
    <w:rsid w:val="008219C1"/>
    <w:pPr>
      <w:keepNext/>
      <w:widowControl/>
      <w:autoSpaceDE/>
      <w:autoSpaceDN/>
      <w:adjustRightInd/>
      <w:outlineLvl w:val="4"/>
    </w:pPr>
    <w:rPr>
      <w:rFonts w:ascii="Times New Roman" w:eastAsia="Times New Roman" w:hAnsi="Times New Roman" w:cs="Times New Roman"/>
      <w:b/>
      <w:bCs/>
      <w:color w:val="auto"/>
      <w:u w:val="single"/>
    </w:rPr>
  </w:style>
  <w:style w:type="paragraph" w:styleId="Heading9">
    <w:name w:val="heading 9"/>
    <w:basedOn w:val="Normal"/>
    <w:next w:val="Normal"/>
    <w:link w:val="Heading9Char"/>
    <w:qFormat/>
    <w:rsid w:val="008219C1"/>
    <w:pPr>
      <w:widowControl/>
      <w:autoSpaceDE/>
      <w:autoSpaceDN/>
      <w:adjustRightInd/>
      <w:spacing w:before="240" w:after="60"/>
      <w:outlineLvl w:val="8"/>
    </w:pPr>
    <w:rPr>
      <w:rFonts w:eastAsia="Times New Roman"/>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2">
    <w:name w:val="Style2"/>
    <w:basedOn w:val="DefaultParagraphFont"/>
    <w:uiPriority w:val="1"/>
    <w:rsid w:val="00BF20B1"/>
    <w:rPr>
      <w:rFonts w:asciiTheme="minorHAnsi" w:hAnsiTheme="minorHAnsi"/>
      <w:sz w:val="18"/>
    </w:rPr>
  </w:style>
  <w:style w:type="paragraph" w:styleId="BodyText">
    <w:name w:val="Body Text"/>
    <w:basedOn w:val="Normal"/>
    <w:link w:val="BodyTextChar"/>
    <w:unhideWhenUsed/>
    <w:qFormat/>
    <w:rsid w:val="00AB11CA"/>
    <w:pPr>
      <w:autoSpaceDE/>
      <w:autoSpaceDN/>
      <w:adjustRightInd/>
      <w:ind w:left="980"/>
    </w:pPr>
    <w:rPr>
      <w:rFonts w:ascii="Times New Roman" w:eastAsia="Times New Roman" w:hAnsi="Times New Roman" w:cstheme="minorBidi"/>
      <w:b/>
      <w:bCs/>
      <w:color w:val="auto"/>
    </w:rPr>
  </w:style>
  <w:style w:type="character" w:customStyle="1" w:styleId="BodyTextChar">
    <w:name w:val="Body Text Char"/>
    <w:basedOn w:val="DefaultParagraphFont"/>
    <w:link w:val="BodyText"/>
    <w:rsid w:val="00AB11CA"/>
    <w:rPr>
      <w:rFonts w:ascii="Times New Roman" w:eastAsia="Times New Roman" w:hAnsi="Times New Roman"/>
      <w:b/>
      <w:bCs/>
      <w:sz w:val="24"/>
      <w:szCs w:val="24"/>
    </w:rPr>
  </w:style>
  <w:style w:type="table" w:styleId="TableGrid">
    <w:name w:val="Table Grid"/>
    <w:basedOn w:val="TableNormal"/>
    <w:uiPriority w:val="59"/>
    <w:rsid w:val="00AB1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B11CA"/>
    <w:rPr>
      <w:sz w:val="20"/>
      <w:szCs w:val="20"/>
    </w:rPr>
  </w:style>
  <w:style w:type="character" w:customStyle="1" w:styleId="CommentTextChar">
    <w:name w:val="Comment Text Char"/>
    <w:basedOn w:val="DefaultParagraphFont"/>
    <w:link w:val="CommentText"/>
    <w:uiPriority w:val="99"/>
    <w:rsid w:val="00AB11CA"/>
    <w:rPr>
      <w:rFonts w:ascii="Arial" w:eastAsiaTheme="minorEastAsia" w:hAnsi="Arial" w:cs="Arial"/>
      <w:color w:val="000000"/>
      <w:sz w:val="20"/>
      <w:szCs w:val="20"/>
    </w:rPr>
  </w:style>
  <w:style w:type="character" w:styleId="CommentReference">
    <w:name w:val="annotation reference"/>
    <w:basedOn w:val="DefaultParagraphFont"/>
    <w:uiPriority w:val="99"/>
    <w:unhideWhenUsed/>
    <w:rsid w:val="00AB11CA"/>
    <w:rPr>
      <w:sz w:val="16"/>
      <w:szCs w:val="16"/>
    </w:rPr>
  </w:style>
  <w:style w:type="paragraph" w:styleId="BalloonText">
    <w:name w:val="Balloon Text"/>
    <w:basedOn w:val="Normal"/>
    <w:link w:val="BalloonTextChar"/>
    <w:semiHidden/>
    <w:unhideWhenUsed/>
    <w:rsid w:val="00AB11CA"/>
    <w:rPr>
      <w:rFonts w:ascii="Tahoma" w:hAnsi="Tahoma" w:cs="Tahoma"/>
      <w:sz w:val="16"/>
      <w:szCs w:val="16"/>
    </w:rPr>
  </w:style>
  <w:style w:type="character" w:customStyle="1" w:styleId="BalloonTextChar">
    <w:name w:val="Balloon Text Char"/>
    <w:basedOn w:val="DefaultParagraphFont"/>
    <w:link w:val="BalloonText"/>
    <w:semiHidden/>
    <w:rsid w:val="00AB11CA"/>
    <w:rPr>
      <w:rFonts w:ascii="Tahoma" w:eastAsiaTheme="minorEastAsia" w:hAnsi="Tahoma" w:cs="Tahoma"/>
      <w:color w:val="000000"/>
      <w:sz w:val="16"/>
      <w:szCs w:val="16"/>
    </w:rPr>
  </w:style>
  <w:style w:type="table" w:customStyle="1" w:styleId="TableGrid1">
    <w:name w:val="Table Grid1"/>
    <w:basedOn w:val="TableNormal"/>
    <w:rsid w:val="008740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011F2"/>
    <w:pPr>
      <w:tabs>
        <w:tab w:val="center" w:pos="4680"/>
        <w:tab w:val="right" w:pos="9360"/>
      </w:tabs>
    </w:pPr>
  </w:style>
  <w:style w:type="character" w:customStyle="1" w:styleId="HeaderChar">
    <w:name w:val="Header Char"/>
    <w:basedOn w:val="DefaultParagraphFont"/>
    <w:link w:val="Header"/>
    <w:rsid w:val="00F011F2"/>
    <w:rPr>
      <w:rFonts w:ascii="Arial" w:eastAsiaTheme="minorEastAsia" w:hAnsi="Arial" w:cs="Arial"/>
      <w:color w:val="000000"/>
      <w:sz w:val="24"/>
      <w:szCs w:val="24"/>
    </w:rPr>
  </w:style>
  <w:style w:type="paragraph" w:styleId="Footer">
    <w:name w:val="footer"/>
    <w:basedOn w:val="Normal"/>
    <w:link w:val="FooterChar"/>
    <w:uiPriority w:val="99"/>
    <w:unhideWhenUsed/>
    <w:rsid w:val="00F011F2"/>
    <w:pPr>
      <w:tabs>
        <w:tab w:val="center" w:pos="4680"/>
        <w:tab w:val="right" w:pos="9360"/>
      </w:tabs>
    </w:pPr>
  </w:style>
  <w:style w:type="character" w:customStyle="1" w:styleId="FooterChar">
    <w:name w:val="Footer Char"/>
    <w:basedOn w:val="DefaultParagraphFont"/>
    <w:link w:val="Footer"/>
    <w:uiPriority w:val="99"/>
    <w:rsid w:val="00F011F2"/>
    <w:rPr>
      <w:rFonts w:ascii="Arial" w:eastAsiaTheme="minorEastAsia" w:hAnsi="Arial" w:cs="Arial"/>
      <w:color w:val="000000"/>
      <w:sz w:val="24"/>
      <w:szCs w:val="24"/>
    </w:rPr>
  </w:style>
  <w:style w:type="paragraph" w:styleId="NoSpacing">
    <w:name w:val="No Spacing"/>
    <w:link w:val="NoSpacingChar"/>
    <w:uiPriority w:val="1"/>
    <w:qFormat/>
    <w:rsid w:val="005D2961"/>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5D2961"/>
    <w:pPr>
      <w:ind w:left="720"/>
      <w:contextualSpacing/>
    </w:pPr>
  </w:style>
  <w:style w:type="character" w:customStyle="1" w:styleId="Heading2Char">
    <w:name w:val="Heading 2 Char"/>
    <w:basedOn w:val="DefaultParagraphFont"/>
    <w:link w:val="Heading2"/>
    <w:rsid w:val="005D2961"/>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2A68DE"/>
    <w:rPr>
      <w:color w:val="808080"/>
    </w:rPr>
  </w:style>
  <w:style w:type="table" w:customStyle="1" w:styleId="TableGrid2">
    <w:name w:val="Table Grid2"/>
    <w:basedOn w:val="TableNormal"/>
    <w:next w:val="TableGrid"/>
    <w:uiPriority w:val="39"/>
    <w:rsid w:val="00565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E010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E0108"/>
    <w:pPr>
      <w:widowControl/>
      <w:autoSpaceDE/>
      <w:autoSpaceDN/>
      <w:adjustRightInd/>
      <w:spacing w:line="259" w:lineRule="auto"/>
      <w:outlineLvl w:val="9"/>
    </w:pPr>
  </w:style>
  <w:style w:type="paragraph" w:styleId="TOC1">
    <w:name w:val="toc 1"/>
    <w:basedOn w:val="Normal"/>
    <w:next w:val="Normal"/>
    <w:uiPriority w:val="39"/>
    <w:unhideWhenUsed/>
    <w:rsid w:val="00CF6439"/>
    <w:pPr>
      <w:tabs>
        <w:tab w:val="left" w:pos="440"/>
        <w:tab w:val="right" w:leader="dot" w:pos="9350"/>
      </w:tabs>
      <w:spacing w:after="100"/>
    </w:pPr>
    <w:rPr>
      <w:rFonts w:ascii="Calibri" w:eastAsia="Times New Roman" w:hAnsi="Calibri"/>
      <w:b/>
      <w:caps/>
      <w:noProof/>
    </w:rPr>
  </w:style>
  <w:style w:type="paragraph" w:styleId="TOC2">
    <w:name w:val="toc 2"/>
    <w:basedOn w:val="Normal"/>
    <w:next w:val="Normal"/>
    <w:autoRedefine/>
    <w:uiPriority w:val="39"/>
    <w:unhideWhenUsed/>
    <w:rsid w:val="00D50CF8"/>
    <w:pPr>
      <w:tabs>
        <w:tab w:val="left" w:pos="450"/>
        <w:tab w:val="right" w:leader="dot" w:pos="9350"/>
      </w:tabs>
      <w:spacing w:after="100"/>
      <w:ind w:left="540" w:hanging="90"/>
    </w:pPr>
    <w:rPr>
      <w:rFonts w:ascii="Calibri" w:hAnsi="Calibri"/>
      <w:bCs/>
      <w:noProof/>
      <w:color w:val="auto"/>
    </w:rPr>
  </w:style>
  <w:style w:type="character" w:styleId="Hyperlink">
    <w:name w:val="Hyperlink"/>
    <w:basedOn w:val="DefaultParagraphFont"/>
    <w:uiPriority w:val="99"/>
    <w:unhideWhenUsed/>
    <w:rsid w:val="00900BF1"/>
    <w:rPr>
      <w:i/>
      <w:sz w:val="22"/>
      <w:szCs w:val="22"/>
    </w:rPr>
  </w:style>
  <w:style w:type="paragraph" w:styleId="TOC3">
    <w:name w:val="toc 3"/>
    <w:basedOn w:val="Normal"/>
    <w:next w:val="Normal"/>
    <w:autoRedefine/>
    <w:uiPriority w:val="39"/>
    <w:unhideWhenUsed/>
    <w:rsid w:val="009868E5"/>
    <w:pPr>
      <w:widowControl/>
      <w:autoSpaceDE/>
      <w:autoSpaceDN/>
      <w:adjustRightInd/>
      <w:spacing w:after="100" w:line="259" w:lineRule="auto"/>
      <w:ind w:left="440"/>
    </w:pPr>
    <w:rPr>
      <w:rFonts w:asciiTheme="minorHAnsi" w:hAnsiTheme="minorHAnsi" w:cs="Times New Roman"/>
      <w:color w:val="auto"/>
      <w:sz w:val="22"/>
      <w:szCs w:val="22"/>
    </w:rPr>
  </w:style>
  <w:style w:type="paragraph" w:styleId="IntenseQuote">
    <w:name w:val="Intense Quote"/>
    <w:basedOn w:val="Normal"/>
    <w:next w:val="Normal"/>
    <w:link w:val="IntenseQuoteChar"/>
    <w:uiPriority w:val="30"/>
    <w:qFormat/>
    <w:rsid w:val="00F24EC5"/>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F24EC5"/>
    <w:rPr>
      <w:rFonts w:ascii="Arial" w:eastAsiaTheme="minorEastAsia" w:hAnsi="Arial" w:cs="Arial"/>
      <w:i/>
      <w:iCs/>
      <w:color w:val="FF0000"/>
      <w:sz w:val="24"/>
      <w:szCs w:val="24"/>
    </w:rPr>
  </w:style>
  <w:style w:type="paragraph" w:styleId="Quote">
    <w:name w:val="Quote"/>
    <w:basedOn w:val="Normal"/>
    <w:next w:val="Normal"/>
    <w:link w:val="QuoteChar"/>
    <w:uiPriority w:val="29"/>
    <w:qFormat/>
    <w:rsid w:val="00F24EC5"/>
    <w:pPr>
      <w:spacing w:before="200" w:after="160"/>
      <w:ind w:left="864" w:right="864"/>
      <w:jc w:val="center"/>
    </w:pPr>
    <w:rPr>
      <w:i/>
      <w:iCs/>
      <w:color w:val="FF0000"/>
    </w:rPr>
  </w:style>
  <w:style w:type="character" w:customStyle="1" w:styleId="QuoteChar">
    <w:name w:val="Quote Char"/>
    <w:basedOn w:val="DefaultParagraphFont"/>
    <w:link w:val="Quote"/>
    <w:uiPriority w:val="29"/>
    <w:rsid w:val="00F24EC5"/>
    <w:rPr>
      <w:rFonts w:ascii="Arial" w:eastAsiaTheme="minorEastAsia" w:hAnsi="Arial" w:cs="Arial"/>
      <w:i/>
      <w:iCs/>
      <w:color w:val="FF0000"/>
      <w:sz w:val="24"/>
      <w:szCs w:val="24"/>
    </w:rPr>
  </w:style>
  <w:style w:type="paragraph" w:customStyle="1" w:styleId="Style1">
    <w:name w:val="Style1"/>
    <w:basedOn w:val="TOC2"/>
    <w:uiPriority w:val="99"/>
    <w:rsid w:val="001D39B6"/>
    <w:rPr>
      <w:i/>
      <w:color w:val="FF0000"/>
    </w:rPr>
  </w:style>
  <w:style w:type="paragraph" w:customStyle="1" w:styleId="Style3">
    <w:name w:val="Style3"/>
    <w:basedOn w:val="TOC2"/>
    <w:uiPriority w:val="99"/>
    <w:qFormat/>
    <w:rsid w:val="001D39B6"/>
    <w:rPr>
      <w:i/>
      <w:color w:val="FF0000"/>
    </w:rPr>
  </w:style>
  <w:style w:type="paragraph" w:customStyle="1" w:styleId="Normal0">
    <w:name w:val="Normal_0"/>
    <w:qFormat/>
  </w:style>
  <w:style w:type="paragraph" w:customStyle="1" w:styleId="Normal1">
    <w:name w:val="Normal_1"/>
    <w:qFormat/>
  </w:style>
  <w:style w:type="paragraph" w:customStyle="1" w:styleId="Normal2">
    <w:name w:val="Normal_2"/>
    <w:qFormat/>
  </w:style>
  <w:style w:type="paragraph" w:customStyle="1" w:styleId="Normal3">
    <w:name w:val="Normal_3"/>
    <w:qFormat/>
  </w:style>
  <w:style w:type="paragraph" w:customStyle="1" w:styleId="Normal4">
    <w:name w:val="Normal_4"/>
    <w:qFormat/>
  </w:style>
  <w:style w:type="paragraph" w:customStyle="1" w:styleId="Normal5">
    <w:name w:val="Normal_5"/>
    <w:qFormat/>
  </w:style>
  <w:style w:type="paragraph" w:customStyle="1" w:styleId="Normal6">
    <w:name w:val="Normal_6"/>
    <w:qFormat/>
  </w:style>
  <w:style w:type="paragraph" w:customStyle="1" w:styleId="Normal7">
    <w:name w:val="Normal_7"/>
    <w:qFormat/>
  </w:style>
  <w:style w:type="paragraph" w:customStyle="1" w:styleId="Normal8">
    <w:name w:val="Normal_8"/>
    <w:qFormat/>
  </w:style>
  <w:style w:type="paragraph" w:customStyle="1" w:styleId="Normal9">
    <w:name w:val="Normal_9"/>
    <w:qFormat/>
  </w:style>
  <w:style w:type="paragraph" w:customStyle="1" w:styleId="Normal10">
    <w:name w:val="Normal_10"/>
    <w:qFormat/>
  </w:style>
  <w:style w:type="paragraph" w:customStyle="1" w:styleId="Normal11">
    <w:name w:val="Normal_11"/>
    <w:qFormat/>
  </w:style>
  <w:style w:type="paragraph" w:customStyle="1" w:styleId="Normal12">
    <w:name w:val="Normal_12"/>
    <w:qFormat/>
  </w:style>
  <w:style w:type="paragraph" w:customStyle="1" w:styleId="Normal13">
    <w:name w:val="Normal_13"/>
    <w:qFormat/>
  </w:style>
  <w:style w:type="paragraph" w:customStyle="1" w:styleId="Normal14">
    <w:name w:val="Normal_14"/>
    <w:qFormat/>
  </w:style>
  <w:style w:type="paragraph" w:customStyle="1" w:styleId="Normal15">
    <w:name w:val="Normal_15"/>
    <w:qFormat/>
  </w:style>
  <w:style w:type="paragraph" w:customStyle="1" w:styleId="Normal16">
    <w:name w:val="Normal_16"/>
    <w:qFormat/>
  </w:style>
  <w:style w:type="paragraph" w:customStyle="1" w:styleId="Normal17">
    <w:name w:val="Normal_17"/>
    <w:qFormat/>
  </w:style>
  <w:style w:type="paragraph" w:customStyle="1" w:styleId="Normal18">
    <w:name w:val="Normal_18"/>
    <w:qFormat/>
  </w:style>
  <w:style w:type="paragraph" w:customStyle="1" w:styleId="Normal19">
    <w:name w:val="Normal_19"/>
    <w:qFormat/>
  </w:style>
  <w:style w:type="paragraph" w:customStyle="1" w:styleId="Normal20">
    <w:name w:val="Normal_20"/>
    <w:qFormat/>
  </w:style>
  <w:style w:type="paragraph" w:customStyle="1" w:styleId="Normal21">
    <w:name w:val="Normal_21"/>
    <w:qFormat/>
  </w:style>
  <w:style w:type="paragraph" w:customStyle="1" w:styleId="Normal22">
    <w:name w:val="Normal_22"/>
    <w:qFormat/>
  </w:style>
  <w:style w:type="paragraph" w:customStyle="1" w:styleId="Normal23">
    <w:name w:val="Normal_23"/>
    <w:qFormat/>
  </w:style>
  <w:style w:type="paragraph" w:customStyle="1" w:styleId="Normal24">
    <w:name w:val="Normal_24"/>
    <w:qFormat/>
  </w:style>
  <w:style w:type="paragraph" w:customStyle="1" w:styleId="Normal25">
    <w:name w:val="Normal_25"/>
    <w:qFormat/>
  </w:style>
  <w:style w:type="paragraph" w:customStyle="1" w:styleId="Normal26">
    <w:name w:val="Normal_26"/>
    <w:qFormat/>
  </w:style>
  <w:style w:type="paragraph" w:customStyle="1" w:styleId="Normal27">
    <w:name w:val="Normal_27"/>
    <w:qFormat/>
  </w:style>
  <w:style w:type="paragraph" w:customStyle="1" w:styleId="Normal28">
    <w:name w:val="Normal_28"/>
    <w:qFormat/>
  </w:style>
  <w:style w:type="paragraph" w:customStyle="1" w:styleId="Normal29">
    <w:name w:val="Normal_29"/>
    <w:qFormat/>
  </w:style>
  <w:style w:type="paragraph" w:customStyle="1" w:styleId="Normal30">
    <w:name w:val="Normal_30"/>
    <w:qFormat/>
  </w:style>
  <w:style w:type="paragraph" w:customStyle="1" w:styleId="Normal31">
    <w:name w:val="Normal_31"/>
    <w:qFormat/>
  </w:style>
  <w:style w:type="paragraph" w:customStyle="1" w:styleId="Normal32">
    <w:name w:val="Normal_32"/>
    <w:qFormat/>
  </w:style>
  <w:style w:type="paragraph" w:customStyle="1" w:styleId="Normal33">
    <w:name w:val="Normal_33"/>
    <w:qFormat/>
  </w:style>
  <w:style w:type="paragraph" w:customStyle="1" w:styleId="Normal34">
    <w:name w:val="Normal_34"/>
    <w:qFormat/>
  </w:style>
  <w:style w:type="paragraph" w:customStyle="1" w:styleId="Normal35">
    <w:name w:val="Normal_35"/>
    <w:qFormat/>
  </w:style>
  <w:style w:type="paragraph" w:customStyle="1" w:styleId="Normal36">
    <w:name w:val="Normal_36"/>
    <w:qFormat/>
  </w:style>
  <w:style w:type="paragraph" w:customStyle="1" w:styleId="Normal37">
    <w:name w:val="Normal_37"/>
    <w:qFormat/>
  </w:style>
  <w:style w:type="paragraph" w:customStyle="1" w:styleId="Normal38">
    <w:name w:val="Normal_38"/>
    <w:qFormat/>
  </w:style>
  <w:style w:type="paragraph" w:customStyle="1" w:styleId="Normal39">
    <w:name w:val="Normal_39"/>
    <w:qFormat/>
  </w:style>
  <w:style w:type="paragraph" w:customStyle="1" w:styleId="Normal40">
    <w:name w:val="Normal_40"/>
    <w:qFormat/>
  </w:style>
  <w:style w:type="paragraph" w:customStyle="1" w:styleId="Normal41">
    <w:name w:val="Normal_41"/>
    <w:qFormat/>
  </w:style>
  <w:style w:type="paragraph" w:customStyle="1" w:styleId="Normal42">
    <w:name w:val="Normal_42"/>
    <w:qFormat/>
  </w:style>
  <w:style w:type="paragraph" w:customStyle="1" w:styleId="Normal43">
    <w:name w:val="Normal_43"/>
    <w:qFormat/>
  </w:style>
  <w:style w:type="paragraph" w:customStyle="1" w:styleId="Normal44">
    <w:name w:val="Normal_44"/>
    <w:qFormat/>
  </w:style>
  <w:style w:type="paragraph" w:customStyle="1" w:styleId="Normal45">
    <w:name w:val="Normal_45"/>
    <w:qFormat/>
  </w:style>
  <w:style w:type="paragraph" w:customStyle="1" w:styleId="Normal46">
    <w:name w:val="Normal_46"/>
    <w:qFormat/>
  </w:style>
  <w:style w:type="paragraph" w:customStyle="1" w:styleId="Normal47">
    <w:name w:val="Normal_47"/>
    <w:qFormat/>
  </w:style>
  <w:style w:type="paragraph" w:customStyle="1" w:styleId="Normal48">
    <w:name w:val="Normal_48"/>
    <w:qFormat/>
  </w:style>
  <w:style w:type="paragraph" w:customStyle="1" w:styleId="Normal49">
    <w:name w:val="Normal_49"/>
    <w:qFormat/>
  </w:style>
  <w:style w:type="paragraph" w:customStyle="1" w:styleId="Normal50">
    <w:name w:val="Normal_50"/>
    <w:qFormat/>
  </w:style>
  <w:style w:type="paragraph" w:customStyle="1" w:styleId="Normal51">
    <w:name w:val="Normal_51"/>
    <w:qFormat/>
  </w:style>
  <w:style w:type="paragraph" w:customStyle="1" w:styleId="Normal52">
    <w:name w:val="Normal_52"/>
    <w:qFormat/>
  </w:style>
  <w:style w:type="paragraph" w:customStyle="1" w:styleId="Normal53">
    <w:name w:val="Normal_53"/>
    <w:qFormat/>
  </w:style>
  <w:style w:type="paragraph" w:customStyle="1" w:styleId="Normal54">
    <w:name w:val="Normal_54"/>
    <w:qFormat/>
  </w:style>
  <w:style w:type="paragraph" w:customStyle="1" w:styleId="Normal55">
    <w:name w:val="Normal_55"/>
    <w:qFormat/>
  </w:style>
  <w:style w:type="paragraph" w:customStyle="1" w:styleId="Normal56">
    <w:name w:val="Normal_56"/>
    <w:qFormat/>
  </w:style>
  <w:style w:type="paragraph" w:customStyle="1" w:styleId="Normal57">
    <w:name w:val="Normal_57"/>
    <w:qFormat/>
  </w:style>
  <w:style w:type="paragraph" w:customStyle="1" w:styleId="Normal58">
    <w:name w:val="Normal_58"/>
    <w:qFormat/>
  </w:style>
  <w:style w:type="paragraph" w:customStyle="1" w:styleId="Normal59">
    <w:name w:val="Normal_59"/>
    <w:qFormat/>
  </w:style>
  <w:style w:type="paragraph" w:customStyle="1" w:styleId="Normal60">
    <w:name w:val="Normal_60"/>
    <w:qFormat/>
  </w:style>
  <w:style w:type="paragraph" w:customStyle="1" w:styleId="Normal61">
    <w:name w:val="Normal_61"/>
    <w:qFormat/>
  </w:style>
  <w:style w:type="paragraph" w:customStyle="1" w:styleId="Normal62">
    <w:name w:val="Normal_62"/>
    <w:qFormat/>
  </w:style>
  <w:style w:type="paragraph" w:customStyle="1" w:styleId="Normal63">
    <w:name w:val="Normal_63"/>
    <w:qFormat/>
  </w:style>
  <w:style w:type="paragraph" w:customStyle="1" w:styleId="Normal202">
    <w:name w:val="Normal_202"/>
    <w:uiPriority w:val="99"/>
    <w:qFormat/>
    <w:rsid w:val="006A6699"/>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4">
    <w:name w:val="Table Grid_4"/>
    <w:basedOn w:val="TableNormal"/>
    <w:uiPriority w:val="39"/>
    <w:rsid w:val="006A6699"/>
    <w:pPr>
      <w:spacing w:after="0" w:line="240" w:lineRule="auto"/>
    </w:pPr>
    <w:rPr>
      <w:rFonts w:ascii="Arial" w:eastAsiaTheme="minorEastAsia"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03">
    <w:name w:val="Normal_203"/>
    <w:uiPriority w:val="99"/>
    <w:qFormat/>
    <w:rsid w:val="006A6699"/>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Normal204">
    <w:name w:val="Normal_204"/>
    <w:uiPriority w:val="99"/>
    <w:qFormat/>
    <w:rsid w:val="006A6699"/>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Normal205">
    <w:name w:val="Normal_205"/>
    <w:uiPriority w:val="99"/>
    <w:qFormat/>
    <w:rsid w:val="006A6699"/>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5">
    <w:name w:val="Table Grid_5"/>
    <w:basedOn w:val="TableNormal"/>
    <w:uiPriority w:val="39"/>
    <w:rsid w:val="006A6699"/>
    <w:pPr>
      <w:spacing w:after="0" w:line="240" w:lineRule="auto"/>
    </w:pPr>
    <w:rPr>
      <w:rFonts w:ascii="Arial" w:eastAsiaTheme="minorEastAsia"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06">
    <w:name w:val="Normal_206"/>
    <w:uiPriority w:val="99"/>
    <w:qFormat/>
    <w:rsid w:val="006A6699"/>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Normal207">
    <w:name w:val="Normal_207"/>
    <w:uiPriority w:val="99"/>
    <w:qFormat/>
    <w:rsid w:val="006A6699"/>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Normal237">
    <w:name w:val="Normal_237"/>
    <w:uiPriority w:val="99"/>
    <w:qFormat/>
    <w:rsid w:val="006A6699"/>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14">
    <w:name w:val="Table Grid_14"/>
    <w:basedOn w:val="TableNormal"/>
    <w:uiPriority w:val="39"/>
    <w:rsid w:val="006A6699"/>
    <w:pPr>
      <w:spacing w:after="0" w:line="240" w:lineRule="auto"/>
    </w:pPr>
    <w:rPr>
      <w:rFonts w:ascii="Arial" w:eastAsiaTheme="minorEastAsia"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39">
    <w:name w:val="Normal_239"/>
    <w:uiPriority w:val="99"/>
    <w:qFormat/>
    <w:rsid w:val="006A6699"/>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20">
    <w:name w:val="Table Grid2_0"/>
    <w:basedOn w:val="TableNormal"/>
    <w:next w:val="TableNormal"/>
    <w:uiPriority w:val="39"/>
    <w:rsid w:val="006A6699"/>
    <w:pPr>
      <w:spacing w:after="0" w:line="240" w:lineRule="auto"/>
    </w:pPr>
    <w:rPr>
      <w:rFonts w:ascii="Arial" w:eastAsiaTheme="minorEastAsia"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41">
    <w:name w:val="Normal_241"/>
    <w:uiPriority w:val="99"/>
    <w:qFormat/>
    <w:rsid w:val="006A6699"/>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16">
    <w:name w:val="Table Grid_16"/>
    <w:basedOn w:val="TableNormal"/>
    <w:uiPriority w:val="39"/>
    <w:rsid w:val="006A6699"/>
    <w:pPr>
      <w:spacing w:after="0" w:line="240" w:lineRule="auto"/>
    </w:pPr>
    <w:rPr>
      <w:rFonts w:ascii="Arial" w:eastAsiaTheme="minorEastAsia"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kNormal">
    <w:name w:val="BankNormal"/>
    <w:basedOn w:val="Normal"/>
    <w:link w:val="BankNormalChar"/>
    <w:rsid w:val="006F3A0F"/>
    <w:pPr>
      <w:widowControl/>
      <w:autoSpaceDE/>
      <w:autoSpaceDN/>
      <w:adjustRightInd/>
      <w:spacing w:after="240"/>
    </w:pPr>
    <w:rPr>
      <w:rFonts w:ascii="Times New Roman" w:eastAsia="Times New Roman" w:hAnsi="Times New Roman" w:cs="Times New Roman"/>
      <w:color w:val="auto"/>
      <w:szCs w:val="20"/>
    </w:rPr>
  </w:style>
  <w:style w:type="table" w:customStyle="1" w:styleId="TableGrid3">
    <w:name w:val="Table Grid3"/>
    <w:basedOn w:val="TableNormal"/>
    <w:next w:val="TableGrid"/>
    <w:uiPriority w:val="59"/>
    <w:rsid w:val="006F3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164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9E50E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9C5E1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9C5E1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9C5E1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16"/>
    <w:basedOn w:val="TableNormal"/>
    <w:next w:val="TableGrid"/>
    <w:uiPriority w:val="39"/>
    <w:rsid w:val="00F871C1"/>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rsid w:val="00F45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C30B6"/>
  </w:style>
  <w:style w:type="table" w:customStyle="1" w:styleId="TableGrid50">
    <w:name w:val="Table Grid5"/>
    <w:basedOn w:val="TableNormal"/>
    <w:next w:val="TableGrid"/>
    <w:uiPriority w:val="39"/>
    <w:rsid w:val="00793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93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3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93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04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
    <w:basedOn w:val="TableNormal"/>
    <w:next w:val="TableGrid"/>
    <w:uiPriority w:val="39"/>
    <w:rsid w:val="00304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304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C56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1C61AC"/>
    <w:rPr>
      <w:rFonts w:ascii="Arial" w:eastAsiaTheme="minorEastAsia" w:hAnsi="Arial" w:cs="Arial"/>
      <w:color w:val="000000"/>
      <w:sz w:val="24"/>
      <w:szCs w:val="24"/>
    </w:rPr>
  </w:style>
  <w:style w:type="paragraph" w:styleId="CommentSubject">
    <w:name w:val="annotation subject"/>
    <w:basedOn w:val="CommentText"/>
    <w:next w:val="CommentText"/>
    <w:link w:val="CommentSubjectChar"/>
    <w:unhideWhenUsed/>
    <w:rsid w:val="00876CE3"/>
    <w:rPr>
      <w:b/>
      <w:bCs/>
    </w:rPr>
  </w:style>
  <w:style w:type="character" w:customStyle="1" w:styleId="CommentSubjectChar">
    <w:name w:val="Comment Subject Char"/>
    <w:basedOn w:val="CommentTextChar"/>
    <w:link w:val="CommentSubject"/>
    <w:rsid w:val="00876CE3"/>
    <w:rPr>
      <w:rFonts w:ascii="Arial" w:eastAsiaTheme="minorEastAsia" w:hAnsi="Arial" w:cs="Arial"/>
      <w:b/>
      <w:bCs/>
      <w:color w:val="000000"/>
      <w:sz w:val="20"/>
      <w:szCs w:val="20"/>
    </w:rPr>
  </w:style>
  <w:style w:type="table" w:customStyle="1" w:styleId="TableGrid311">
    <w:name w:val="Table Grid311"/>
    <w:basedOn w:val="TableNormal"/>
    <w:next w:val="TableGrid"/>
    <w:uiPriority w:val="39"/>
    <w:rsid w:val="00134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A12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996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996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32">
    <w:name w:val="Normal_232"/>
    <w:uiPriority w:val="99"/>
    <w:qFormat/>
    <w:rsid w:val="0099674D"/>
    <w:pPr>
      <w:widowControl w:val="0"/>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22">
    <w:name w:val="Table Grid22"/>
    <w:basedOn w:val="TableNormal"/>
    <w:next w:val="TableGrid"/>
    <w:uiPriority w:val="39"/>
    <w:rsid w:val="00996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996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A7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75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8B6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 2"/>
    <w:basedOn w:val="Normal"/>
    <w:rsid w:val="00061265"/>
    <w:pPr>
      <w:adjustRightInd/>
      <w:spacing w:before="216" w:line="276" w:lineRule="exact"/>
      <w:jc w:val="both"/>
    </w:pPr>
    <w:rPr>
      <w:rFonts w:ascii="Times New Roman" w:eastAsia="Times New Roman" w:hAnsi="Times New Roman" w:cs="Times New Roman"/>
      <w:color w:val="auto"/>
    </w:rPr>
  </w:style>
  <w:style w:type="paragraph" w:customStyle="1" w:styleId="Normal314">
    <w:name w:val="Normal_314"/>
    <w:uiPriority w:val="99"/>
    <w:qFormat/>
    <w:rsid w:val="00370EC4"/>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Normal102">
    <w:name w:val="Normal_102"/>
    <w:uiPriority w:val="99"/>
    <w:qFormat/>
    <w:rsid w:val="004E3970"/>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42">
    <w:name w:val="Table Grid_42"/>
    <w:basedOn w:val="TableNormal"/>
    <w:uiPriority w:val="39"/>
    <w:rsid w:val="004E3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E0335"/>
    <w:rPr>
      <w:color w:val="605E5C"/>
      <w:shd w:val="clear" w:color="auto" w:fill="E1DFDD"/>
    </w:rPr>
  </w:style>
  <w:style w:type="character" w:customStyle="1" w:styleId="1">
    <w:name w:val="Основной текст1"/>
    <w:basedOn w:val="DefaultParagraphFont"/>
    <w:rsid w:val="00A2657B"/>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61">
    <w:name w:val="Основной текст61"/>
    <w:basedOn w:val="DefaultParagraphFont"/>
    <w:rsid w:val="00A2657B"/>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65">
    <w:name w:val="Основной текст65"/>
    <w:basedOn w:val="DefaultParagraphFont"/>
    <w:rsid w:val="00A2657B"/>
    <w:rPr>
      <w:rFonts w:ascii="Times New Roman" w:eastAsia="Times New Roman" w:hAnsi="Times New Roman" w:cs="Times New Roman"/>
      <w:b w:val="0"/>
      <w:bCs w:val="0"/>
      <w:i w:val="0"/>
      <w:iCs w:val="0"/>
      <w:smallCaps w:val="0"/>
      <w:strike w:val="0"/>
      <w:spacing w:val="0"/>
      <w:sz w:val="20"/>
      <w:szCs w:val="20"/>
      <w:shd w:val="clear" w:color="auto" w:fill="FFFFFF"/>
    </w:rPr>
  </w:style>
  <w:style w:type="paragraph" w:styleId="FootnoteText">
    <w:name w:val="footnote text"/>
    <w:aliases w:val="FOOTNOTES,fn,footnote text,single space,AD,ADB,Boston 10,Footnote Text Char1,Footnote Text Char1 Char Char,Footnote Text Char1 Char Char Char Char,Footnote Text Char2 Char,Footnote Text Char2 Char Char Char,Fußnotentext Char,Geneva 9,f,ft"/>
    <w:basedOn w:val="Normal"/>
    <w:link w:val="FootnoteTextChar"/>
    <w:unhideWhenUsed/>
    <w:qFormat/>
    <w:rsid w:val="005223B9"/>
    <w:pPr>
      <w:widowControl/>
      <w:autoSpaceDE/>
      <w:autoSpaceDN/>
      <w:adjustRightInd/>
      <w:spacing w:after="160" w:line="259" w:lineRule="auto"/>
    </w:pPr>
    <w:rPr>
      <w:rFonts w:ascii="Calibri" w:eastAsia="Calibri" w:hAnsi="Calibri" w:cs="Times New Roman"/>
      <w:color w:val="auto"/>
      <w:sz w:val="20"/>
      <w:szCs w:val="20"/>
    </w:rPr>
  </w:style>
  <w:style w:type="character" w:customStyle="1" w:styleId="FootnoteTextChar">
    <w:name w:val="Footnote Text Char"/>
    <w:aliases w:val="FOOTNOTES Char,fn Char,footnote text Char,single space Char,AD Char,ADB Char,Boston 10 Char,Footnote Text Char1 Char,Footnote Text Char1 Char Char Char,Footnote Text Char1 Char Char Char Char Char,Footnote Text Char2 Char Char,f Char"/>
    <w:basedOn w:val="DefaultParagraphFont"/>
    <w:link w:val="FootnoteText"/>
    <w:rsid w:val="005223B9"/>
    <w:rPr>
      <w:rFonts w:ascii="Calibri" w:eastAsia="Calibri" w:hAnsi="Calibri" w:cs="Times New Roman"/>
      <w:sz w:val="20"/>
      <w:szCs w:val="20"/>
    </w:rPr>
  </w:style>
  <w:style w:type="character" w:styleId="FootnoteReference">
    <w:name w:val="footnote reference"/>
    <w:aliases w:val=" BVI fnr,16 Point,BVI fnr,Ciae niinee 1,Footnote Reference Number,Footnote Reference_LVL6,Footnote Reference_LVL61,Footnote Reference_LVL62,Footnote Reference_LVL63,Footnote Reference_LVL64,Superscript 6 Point,fr,ftref,Знак сноски 1"/>
    <w:link w:val="Char2"/>
    <w:uiPriority w:val="99"/>
    <w:unhideWhenUsed/>
    <w:qFormat/>
    <w:rsid w:val="005223B9"/>
    <w:rPr>
      <w:vertAlign w:val="superscript"/>
    </w:rPr>
  </w:style>
  <w:style w:type="paragraph" w:customStyle="1" w:styleId="Char2">
    <w:name w:val="Char2"/>
    <w:basedOn w:val="Normal"/>
    <w:link w:val="FootnoteReference"/>
    <w:uiPriority w:val="99"/>
    <w:rsid w:val="005223B9"/>
    <w:pPr>
      <w:widowControl/>
      <w:autoSpaceDE/>
      <w:autoSpaceDN/>
      <w:adjustRightInd/>
      <w:spacing w:after="160" w:line="240" w:lineRule="exact"/>
      <w:jc w:val="both"/>
    </w:pPr>
    <w:rPr>
      <w:rFonts w:asciiTheme="minorHAnsi" w:eastAsiaTheme="minorHAnsi" w:hAnsiTheme="minorHAnsi" w:cstheme="minorBidi"/>
      <w:color w:val="auto"/>
      <w:sz w:val="22"/>
      <w:szCs w:val="22"/>
      <w:vertAlign w:val="superscript"/>
    </w:rPr>
  </w:style>
  <w:style w:type="paragraph" w:styleId="Caption">
    <w:name w:val="caption"/>
    <w:basedOn w:val="Normal"/>
    <w:next w:val="Normal"/>
    <w:link w:val="CaptionChar"/>
    <w:uiPriority w:val="99"/>
    <w:unhideWhenUsed/>
    <w:qFormat/>
    <w:rsid w:val="005223B9"/>
    <w:pPr>
      <w:widowControl/>
      <w:autoSpaceDE/>
      <w:autoSpaceDN/>
      <w:adjustRightInd/>
      <w:spacing w:after="200"/>
    </w:pPr>
    <w:rPr>
      <w:rFonts w:asciiTheme="minorHAnsi" w:eastAsiaTheme="minorHAnsi" w:hAnsiTheme="minorHAnsi" w:cstheme="minorBidi"/>
      <w:i/>
      <w:iCs/>
      <w:color w:val="44546A" w:themeColor="text2"/>
      <w:sz w:val="18"/>
      <w:szCs w:val="18"/>
    </w:rPr>
  </w:style>
  <w:style w:type="character" w:customStyle="1" w:styleId="NoSpacingChar">
    <w:name w:val="No Spacing Char"/>
    <w:basedOn w:val="DefaultParagraphFont"/>
    <w:link w:val="NoSpacing"/>
    <w:uiPriority w:val="1"/>
    <w:rsid w:val="009638BF"/>
    <w:rPr>
      <w:rFonts w:ascii="Arial" w:eastAsiaTheme="minorEastAsia" w:hAnsi="Arial" w:cs="Arial"/>
      <w:color w:val="000000"/>
      <w:sz w:val="24"/>
      <w:szCs w:val="24"/>
    </w:rPr>
  </w:style>
  <w:style w:type="paragraph" w:customStyle="1" w:styleId="PDSHeading2">
    <w:name w:val="PDS Heading 2"/>
    <w:next w:val="Normal"/>
    <w:rsid w:val="00393ACF"/>
    <w:pPr>
      <w:keepNext/>
      <w:numPr>
        <w:ilvl w:val="1"/>
        <w:numId w:val="7"/>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93ACF"/>
    <w:pPr>
      <w:keepNext/>
      <w:numPr>
        <w:numId w:val="7"/>
      </w:numPr>
      <w:spacing w:after="0" w:line="240" w:lineRule="auto"/>
      <w:outlineLvl w:val="0"/>
    </w:pPr>
    <w:rPr>
      <w:rFonts w:ascii="Times New Roman" w:eastAsia="Times New Roman" w:hAnsi="Times New Roman" w:cs="Times New Roman"/>
      <w:b/>
      <w:caps/>
      <w:sz w:val="24"/>
      <w:szCs w:val="20"/>
    </w:rPr>
  </w:style>
  <w:style w:type="paragraph" w:styleId="NormalWeb">
    <w:name w:val="Normal (Web)"/>
    <w:basedOn w:val="Normal"/>
    <w:uiPriority w:val="99"/>
    <w:unhideWhenUsed/>
    <w:rsid w:val="00897236"/>
    <w:pPr>
      <w:widowControl/>
      <w:autoSpaceDE/>
      <w:autoSpaceDN/>
      <w:adjustRightInd/>
      <w:spacing w:before="100" w:beforeAutospacing="1" w:after="100" w:afterAutospacing="1"/>
    </w:pPr>
    <w:rPr>
      <w:rFonts w:ascii="Times New Roman" w:hAnsi="Times New Roman" w:cs="Times New Roman"/>
      <w:color w:val="auto"/>
    </w:rPr>
  </w:style>
  <w:style w:type="paragraph" w:customStyle="1" w:styleId="Default">
    <w:name w:val="Default"/>
    <w:rsid w:val="00070C1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rsid w:val="008219C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8219C1"/>
    <w:rPr>
      <w:rFonts w:ascii="Times New Roman" w:eastAsia="Times New Roman" w:hAnsi="Times New Roman" w:cs="Times New Roman"/>
      <w:b/>
      <w:bCs/>
      <w:i/>
      <w:sz w:val="24"/>
      <w:szCs w:val="28"/>
    </w:rPr>
  </w:style>
  <w:style w:type="character" w:customStyle="1" w:styleId="Heading5Char">
    <w:name w:val="Heading 5 Char"/>
    <w:basedOn w:val="DefaultParagraphFont"/>
    <w:link w:val="Heading5"/>
    <w:rsid w:val="008219C1"/>
    <w:rPr>
      <w:rFonts w:ascii="Times New Roman" w:eastAsia="Times New Roman" w:hAnsi="Times New Roman" w:cs="Times New Roman"/>
      <w:b/>
      <w:bCs/>
      <w:sz w:val="24"/>
      <w:szCs w:val="24"/>
      <w:u w:val="single"/>
    </w:rPr>
  </w:style>
  <w:style w:type="character" w:customStyle="1" w:styleId="Heading9Char">
    <w:name w:val="Heading 9 Char"/>
    <w:basedOn w:val="DefaultParagraphFont"/>
    <w:link w:val="Heading9"/>
    <w:rsid w:val="008219C1"/>
    <w:rPr>
      <w:rFonts w:ascii="Arial" w:eastAsia="Times New Roman" w:hAnsi="Arial" w:cs="Arial"/>
    </w:rPr>
  </w:style>
  <w:style w:type="paragraph" w:customStyle="1" w:styleId="MediumGrid21">
    <w:name w:val="Medium Grid 21"/>
    <w:uiPriority w:val="1"/>
    <w:qFormat/>
    <w:rsid w:val="008219C1"/>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olorfulList-Accent11">
    <w:name w:val="Colorful List - Accent 11"/>
    <w:basedOn w:val="Normal"/>
    <w:link w:val="ColorfulList-Accent1Char"/>
    <w:uiPriority w:val="34"/>
    <w:qFormat/>
    <w:rsid w:val="008219C1"/>
    <w:pPr>
      <w:ind w:left="720"/>
      <w:contextualSpacing/>
    </w:pPr>
    <w:rPr>
      <w:rFonts w:eastAsia="Times New Roman"/>
    </w:rPr>
  </w:style>
  <w:style w:type="character" w:customStyle="1" w:styleId="ColorfulList-Accent1Char">
    <w:name w:val="Colorful List - Accent 1 Char"/>
    <w:link w:val="ColorfulList-Accent11"/>
    <w:uiPriority w:val="34"/>
    <w:rsid w:val="008219C1"/>
    <w:rPr>
      <w:rFonts w:ascii="Arial" w:eastAsia="Times New Roman" w:hAnsi="Arial" w:cs="Arial"/>
      <w:color w:val="000000"/>
      <w:sz w:val="24"/>
      <w:szCs w:val="24"/>
    </w:rPr>
  </w:style>
  <w:style w:type="paragraph" w:styleId="ListBullet">
    <w:name w:val="List Bullet"/>
    <w:basedOn w:val="Normal"/>
    <w:uiPriority w:val="99"/>
    <w:unhideWhenUsed/>
    <w:rsid w:val="008219C1"/>
    <w:pPr>
      <w:widowControl/>
      <w:numPr>
        <w:numId w:val="17"/>
      </w:numPr>
      <w:autoSpaceDE/>
      <w:autoSpaceDN/>
      <w:adjustRightInd/>
      <w:spacing w:after="160" w:line="259" w:lineRule="auto"/>
      <w:contextualSpacing/>
    </w:pPr>
    <w:rPr>
      <w:rFonts w:asciiTheme="minorHAnsi" w:eastAsiaTheme="minorHAnsi" w:hAnsiTheme="minorHAnsi" w:cstheme="minorBidi"/>
      <w:color w:val="auto"/>
      <w:sz w:val="22"/>
      <w:szCs w:val="22"/>
    </w:rPr>
  </w:style>
  <w:style w:type="paragraph" w:customStyle="1" w:styleId="PforRStyle1">
    <w:name w:val="PforR Style1"/>
    <w:basedOn w:val="Normal"/>
    <w:qFormat/>
    <w:rsid w:val="008219C1"/>
    <w:pPr>
      <w:widowControl/>
      <w:autoSpaceDE/>
      <w:autoSpaceDN/>
      <w:adjustRightInd/>
      <w:spacing w:after="200" w:line="276" w:lineRule="auto"/>
    </w:pPr>
    <w:rPr>
      <w:rFonts w:asciiTheme="minorHAnsi" w:eastAsiaTheme="minorHAnsi" w:hAnsiTheme="minorHAnsi" w:cstheme="minorBidi"/>
      <w:color w:val="auto"/>
      <w:sz w:val="22"/>
      <w:szCs w:val="22"/>
    </w:rPr>
  </w:style>
  <w:style w:type="paragraph" w:styleId="TOC4">
    <w:name w:val="toc 4"/>
    <w:basedOn w:val="Normal"/>
    <w:next w:val="Normal"/>
    <w:autoRedefine/>
    <w:semiHidden/>
    <w:rsid w:val="008219C1"/>
    <w:pPr>
      <w:widowControl/>
      <w:autoSpaceDE/>
      <w:autoSpaceDN/>
      <w:adjustRightInd/>
      <w:ind w:left="720"/>
    </w:pPr>
    <w:rPr>
      <w:rFonts w:ascii="Times New Roman" w:eastAsia="Times New Roman" w:hAnsi="Times New Roman" w:cs="Times New Roman"/>
      <w:color w:val="auto"/>
    </w:rPr>
  </w:style>
  <w:style w:type="paragraph" w:styleId="TOC5">
    <w:name w:val="toc 5"/>
    <w:basedOn w:val="Normal"/>
    <w:next w:val="Normal"/>
    <w:autoRedefine/>
    <w:semiHidden/>
    <w:rsid w:val="008219C1"/>
    <w:pPr>
      <w:widowControl/>
      <w:autoSpaceDE/>
      <w:autoSpaceDN/>
      <w:adjustRightInd/>
      <w:ind w:left="960"/>
    </w:pPr>
    <w:rPr>
      <w:rFonts w:ascii="Times New Roman" w:eastAsia="Times New Roman" w:hAnsi="Times New Roman" w:cs="Times New Roman"/>
      <w:color w:val="auto"/>
    </w:rPr>
  </w:style>
  <w:style w:type="paragraph" w:styleId="TOC6">
    <w:name w:val="toc 6"/>
    <w:basedOn w:val="Normal"/>
    <w:next w:val="Normal"/>
    <w:autoRedefine/>
    <w:semiHidden/>
    <w:rsid w:val="008219C1"/>
    <w:pPr>
      <w:widowControl/>
      <w:autoSpaceDE/>
      <w:autoSpaceDN/>
      <w:adjustRightInd/>
      <w:ind w:left="1200"/>
    </w:pPr>
    <w:rPr>
      <w:rFonts w:ascii="Times New Roman" w:eastAsia="Times New Roman" w:hAnsi="Times New Roman" w:cs="Times New Roman"/>
      <w:color w:val="auto"/>
    </w:rPr>
  </w:style>
  <w:style w:type="paragraph" w:styleId="TOC7">
    <w:name w:val="toc 7"/>
    <w:basedOn w:val="Normal"/>
    <w:next w:val="Normal"/>
    <w:autoRedefine/>
    <w:semiHidden/>
    <w:rsid w:val="008219C1"/>
    <w:pPr>
      <w:widowControl/>
      <w:autoSpaceDE/>
      <w:autoSpaceDN/>
      <w:adjustRightInd/>
      <w:ind w:left="1440"/>
    </w:pPr>
    <w:rPr>
      <w:rFonts w:ascii="Times New Roman" w:eastAsia="Times New Roman" w:hAnsi="Times New Roman" w:cs="Times New Roman"/>
      <w:color w:val="auto"/>
    </w:rPr>
  </w:style>
  <w:style w:type="paragraph" w:styleId="TOC8">
    <w:name w:val="toc 8"/>
    <w:basedOn w:val="Normal"/>
    <w:next w:val="Normal"/>
    <w:autoRedefine/>
    <w:semiHidden/>
    <w:rsid w:val="008219C1"/>
    <w:pPr>
      <w:widowControl/>
      <w:autoSpaceDE/>
      <w:autoSpaceDN/>
      <w:adjustRightInd/>
      <w:ind w:left="1680"/>
    </w:pPr>
    <w:rPr>
      <w:rFonts w:ascii="Times New Roman" w:eastAsia="Times New Roman" w:hAnsi="Times New Roman" w:cs="Times New Roman"/>
      <w:color w:val="auto"/>
    </w:rPr>
  </w:style>
  <w:style w:type="paragraph" w:styleId="TOC9">
    <w:name w:val="toc 9"/>
    <w:basedOn w:val="Normal"/>
    <w:next w:val="Normal"/>
    <w:autoRedefine/>
    <w:semiHidden/>
    <w:rsid w:val="008219C1"/>
    <w:pPr>
      <w:widowControl/>
      <w:autoSpaceDE/>
      <w:autoSpaceDN/>
      <w:adjustRightInd/>
      <w:ind w:left="1920"/>
    </w:pPr>
    <w:rPr>
      <w:rFonts w:ascii="Times New Roman" w:eastAsia="Times New Roman" w:hAnsi="Times New Roman" w:cs="Times New Roman"/>
      <w:color w:val="auto"/>
    </w:rPr>
  </w:style>
  <w:style w:type="paragraph" w:customStyle="1" w:styleId="Heading1a">
    <w:name w:val="Heading 1a"/>
    <w:basedOn w:val="Normal"/>
    <w:next w:val="Normal"/>
    <w:rsid w:val="008219C1"/>
    <w:pPr>
      <w:keepNext/>
      <w:keepLines/>
      <w:widowControl/>
      <w:numPr>
        <w:numId w:val="18"/>
      </w:numPr>
      <w:autoSpaceDE/>
      <w:autoSpaceDN/>
      <w:adjustRightInd/>
      <w:spacing w:before="1440" w:after="240"/>
      <w:jc w:val="center"/>
      <w:outlineLvl w:val="0"/>
    </w:pPr>
    <w:rPr>
      <w:rFonts w:ascii="Times New Roman" w:eastAsia="Times New Roman" w:hAnsi="Times New Roman" w:cs="Times New Roman"/>
      <w:b/>
      <w:caps/>
      <w:color w:val="auto"/>
      <w:sz w:val="32"/>
    </w:rPr>
  </w:style>
  <w:style w:type="paragraph" w:customStyle="1" w:styleId="MainParawithChapter">
    <w:name w:val="Main Para with Chapter#"/>
    <w:basedOn w:val="Normal"/>
    <w:rsid w:val="008219C1"/>
    <w:pPr>
      <w:widowControl/>
      <w:autoSpaceDE/>
      <w:autoSpaceDN/>
      <w:adjustRightInd/>
      <w:spacing w:after="240"/>
      <w:outlineLvl w:val="1"/>
    </w:pPr>
    <w:rPr>
      <w:rFonts w:ascii="Times New Roman" w:eastAsia="Times New Roman" w:hAnsi="Times New Roman" w:cs="Times New Roman"/>
      <w:color w:val="auto"/>
    </w:rPr>
  </w:style>
  <w:style w:type="paragraph" w:customStyle="1" w:styleId="MainParanoChapter">
    <w:name w:val="Main Para no Chapter #"/>
    <w:basedOn w:val="Normal"/>
    <w:rsid w:val="008219C1"/>
    <w:pPr>
      <w:widowControl/>
      <w:numPr>
        <w:ilvl w:val="1"/>
        <w:numId w:val="18"/>
      </w:numPr>
      <w:tabs>
        <w:tab w:val="clear" w:pos="720"/>
      </w:tabs>
      <w:autoSpaceDE/>
      <w:autoSpaceDN/>
      <w:adjustRightInd/>
      <w:spacing w:after="240"/>
      <w:ind w:left="0" w:firstLine="0"/>
      <w:outlineLvl w:val="1"/>
    </w:pPr>
    <w:rPr>
      <w:rFonts w:ascii="Times New Roman" w:eastAsia="Times New Roman" w:hAnsi="Times New Roman" w:cs="Times New Roman"/>
      <w:color w:val="auto"/>
    </w:rPr>
  </w:style>
  <w:style w:type="paragraph" w:customStyle="1" w:styleId="Sub-Para1underX">
    <w:name w:val="Sub-Para 1 under X."/>
    <w:basedOn w:val="Normal"/>
    <w:rsid w:val="008219C1"/>
    <w:pPr>
      <w:widowControl/>
      <w:numPr>
        <w:ilvl w:val="2"/>
        <w:numId w:val="18"/>
      </w:numPr>
      <w:tabs>
        <w:tab w:val="clear" w:pos="1080"/>
      </w:tabs>
      <w:autoSpaceDE/>
      <w:autoSpaceDN/>
      <w:adjustRightInd/>
      <w:spacing w:after="240"/>
      <w:ind w:left="1440" w:hanging="720"/>
      <w:outlineLvl w:val="2"/>
    </w:pPr>
    <w:rPr>
      <w:rFonts w:ascii="Times New Roman" w:eastAsia="Times New Roman" w:hAnsi="Times New Roman" w:cs="Times New Roman"/>
      <w:color w:val="auto"/>
    </w:rPr>
  </w:style>
  <w:style w:type="paragraph" w:customStyle="1" w:styleId="Sub-Para1underXY">
    <w:name w:val="Sub-Para 1 under X.Y"/>
    <w:basedOn w:val="Normal"/>
    <w:rsid w:val="008219C1"/>
    <w:pPr>
      <w:widowControl/>
      <w:autoSpaceDE/>
      <w:autoSpaceDN/>
      <w:adjustRightInd/>
      <w:spacing w:after="240"/>
      <w:ind w:left="1440" w:hanging="720"/>
      <w:outlineLvl w:val="2"/>
    </w:pPr>
    <w:rPr>
      <w:rFonts w:ascii="Times New Roman" w:eastAsia="Times New Roman" w:hAnsi="Times New Roman" w:cs="Times New Roman"/>
      <w:color w:val="auto"/>
    </w:rPr>
  </w:style>
  <w:style w:type="paragraph" w:customStyle="1" w:styleId="Sub-Para2underX">
    <w:name w:val="Sub-Para 2 under X."/>
    <w:basedOn w:val="Normal"/>
    <w:rsid w:val="008219C1"/>
    <w:pPr>
      <w:widowControl/>
      <w:numPr>
        <w:ilvl w:val="3"/>
        <w:numId w:val="18"/>
      </w:numPr>
      <w:tabs>
        <w:tab w:val="clear" w:pos="1800"/>
      </w:tabs>
      <w:autoSpaceDE/>
      <w:autoSpaceDN/>
      <w:adjustRightInd/>
      <w:spacing w:after="240"/>
      <w:ind w:left="2160" w:hanging="720"/>
      <w:outlineLvl w:val="3"/>
    </w:pPr>
    <w:rPr>
      <w:rFonts w:ascii="Times New Roman" w:eastAsia="Times New Roman" w:hAnsi="Times New Roman" w:cs="Times New Roman"/>
      <w:color w:val="auto"/>
    </w:rPr>
  </w:style>
  <w:style w:type="paragraph" w:customStyle="1" w:styleId="Sub-Para2underXY">
    <w:name w:val="Sub-Para 2 under X.Y"/>
    <w:basedOn w:val="Normal"/>
    <w:rsid w:val="008219C1"/>
    <w:pPr>
      <w:widowControl/>
      <w:autoSpaceDE/>
      <w:autoSpaceDN/>
      <w:adjustRightInd/>
      <w:spacing w:after="240"/>
      <w:ind w:left="2160" w:hanging="720"/>
      <w:outlineLvl w:val="3"/>
    </w:pPr>
    <w:rPr>
      <w:rFonts w:ascii="Times New Roman" w:eastAsia="Times New Roman" w:hAnsi="Times New Roman" w:cs="Times New Roman"/>
      <w:color w:val="auto"/>
    </w:rPr>
  </w:style>
  <w:style w:type="paragraph" w:customStyle="1" w:styleId="Sub-Para3underX">
    <w:name w:val="Sub-Para 3 under X."/>
    <w:basedOn w:val="Normal"/>
    <w:rsid w:val="008219C1"/>
    <w:pPr>
      <w:widowControl/>
      <w:numPr>
        <w:ilvl w:val="4"/>
        <w:numId w:val="18"/>
      </w:numPr>
      <w:tabs>
        <w:tab w:val="clear" w:pos="1440"/>
      </w:tabs>
      <w:autoSpaceDE/>
      <w:autoSpaceDN/>
      <w:adjustRightInd/>
      <w:spacing w:after="240"/>
      <w:ind w:left="2880" w:hanging="720"/>
      <w:outlineLvl w:val="4"/>
    </w:pPr>
    <w:rPr>
      <w:rFonts w:ascii="Times New Roman" w:eastAsia="Times New Roman" w:hAnsi="Times New Roman" w:cs="Times New Roman"/>
      <w:color w:val="auto"/>
    </w:rPr>
  </w:style>
  <w:style w:type="paragraph" w:customStyle="1" w:styleId="Sub-Para3underXY">
    <w:name w:val="Sub-Para 3 under X.Y"/>
    <w:basedOn w:val="Normal"/>
    <w:rsid w:val="008219C1"/>
    <w:pPr>
      <w:widowControl/>
      <w:autoSpaceDE/>
      <w:autoSpaceDN/>
      <w:adjustRightInd/>
      <w:spacing w:after="240"/>
      <w:ind w:left="2880" w:hanging="720"/>
      <w:outlineLvl w:val="4"/>
    </w:pPr>
    <w:rPr>
      <w:rFonts w:ascii="Times New Roman" w:eastAsia="Times New Roman" w:hAnsi="Times New Roman" w:cs="Times New Roman"/>
      <w:color w:val="auto"/>
    </w:rPr>
  </w:style>
  <w:style w:type="paragraph" w:customStyle="1" w:styleId="Sub-Para4underX">
    <w:name w:val="Sub-Para 4 under X."/>
    <w:basedOn w:val="Normal"/>
    <w:rsid w:val="008219C1"/>
    <w:pPr>
      <w:widowControl/>
      <w:numPr>
        <w:ilvl w:val="5"/>
        <w:numId w:val="18"/>
      </w:numPr>
      <w:tabs>
        <w:tab w:val="clear" w:pos="2160"/>
      </w:tabs>
      <w:autoSpaceDE/>
      <w:autoSpaceDN/>
      <w:adjustRightInd/>
      <w:spacing w:after="240"/>
      <w:ind w:left="3600" w:hanging="720"/>
      <w:outlineLvl w:val="5"/>
    </w:pPr>
    <w:rPr>
      <w:rFonts w:ascii="Times New Roman" w:eastAsia="Times New Roman" w:hAnsi="Times New Roman" w:cs="Times New Roman"/>
      <w:color w:val="auto"/>
    </w:rPr>
  </w:style>
  <w:style w:type="paragraph" w:customStyle="1" w:styleId="Sub-Para4underXY">
    <w:name w:val="Sub-Para 4 under X.Y"/>
    <w:basedOn w:val="Normal"/>
    <w:rsid w:val="008219C1"/>
    <w:pPr>
      <w:widowControl/>
      <w:autoSpaceDE/>
      <w:autoSpaceDN/>
      <w:adjustRightInd/>
      <w:spacing w:after="240"/>
      <w:ind w:left="3600" w:hanging="720"/>
      <w:outlineLvl w:val="5"/>
    </w:pPr>
    <w:rPr>
      <w:rFonts w:ascii="Times New Roman" w:eastAsia="Times New Roman" w:hAnsi="Times New Roman" w:cs="Times New Roman"/>
      <w:color w:val="auto"/>
    </w:rPr>
  </w:style>
  <w:style w:type="paragraph" w:customStyle="1" w:styleId="Bullet">
    <w:name w:val="Bullet"/>
    <w:basedOn w:val="Normal"/>
    <w:rsid w:val="008219C1"/>
    <w:pPr>
      <w:widowControl/>
      <w:numPr>
        <w:numId w:val="19"/>
      </w:numPr>
      <w:tabs>
        <w:tab w:val="clear" w:pos="1440"/>
      </w:tabs>
      <w:autoSpaceDE/>
      <w:autoSpaceDN/>
      <w:adjustRightInd/>
    </w:pPr>
    <w:rPr>
      <w:rFonts w:ascii="Times New Roman" w:eastAsia="Times New Roman" w:hAnsi="Times New Roman" w:cs="Times New Roman"/>
      <w:color w:val="auto"/>
    </w:rPr>
  </w:style>
  <w:style w:type="paragraph" w:customStyle="1" w:styleId="PDSAnnexHeading">
    <w:name w:val="PDS Annex Heading"/>
    <w:next w:val="Normal"/>
    <w:rsid w:val="008219C1"/>
    <w:pPr>
      <w:keepNext/>
      <w:spacing w:after="120" w:line="240" w:lineRule="auto"/>
      <w:jc w:val="center"/>
    </w:pPr>
    <w:rPr>
      <w:rFonts w:ascii="Times New Roman" w:eastAsia="Times New Roman" w:hAnsi="Times New Roman" w:cs="Times New Roman"/>
      <w:b/>
      <w:sz w:val="24"/>
      <w:szCs w:val="20"/>
    </w:rPr>
  </w:style>
  <w:style w:type="character" w:styleId="PageNumber">
    <w:name w:val="page number"/>
    <w:basedOn w:val="DefaultParagraphFont"/>
    <w:rsid w:val="008219C1"/>
  </w:style>
  <w:style w:type="character" w:styleId="FollowedHyperlink">
    <w:name w:val="FollowedHyperlink"/>
    <w:basedOn w:val="DefaultParagraphFont"/>
    <w:uiPriority w:val="99"/>
    <w:rsid w:val="008219C1"/>
    <w:rPr>
      <w:color w:val="800080"/>
      <w:u w:val="single"/>
    </w:rPr>
  </w:style>
  <w:style w:type="paragraph" w:styleId="BodyText2">
    <w:name w:val="Body Text 2"/>
    <w:basedOn w:val="Normal"/>
    <w:link w:val="BodyText2Char"/>
    <w:rsid w:val="008219C1"/>
    <w:pPr>
      <w:widowControl/>
      <w:spacing w:line="240" w:lineRule="atLeast"/>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8219C1"/>
    <w:rPr>
      <w:rFonts w:ascii="Times New Roman" w:eastAsia="Times New Roman" w:hAnsi="Times New Roman" w:cs="Times New Roman"/>
      <w:color w:val="000000"/>
      <w:sz w:val="24"/>
      <w:szCs w:val="20"/>
    </w:rPr>
  </w:style>
  <w:style w:type="paragraph" w:styleId="Revision">
    <w:name w:val="Revision"/>
    <w:hidden/>
    <w:uiPriority w:val="99"/>
    <w:semiHidden/>
    <w:rsid w:val="008219C1"/>
    <w:pPr>
      <w:spacing w:after="0" w:line="240" w:lineRule="auto"/>
    </w:pPr>
    <w:rPr>
      <w:rFonts w:ascii="Times New Roman" w:eastAsia="Times New Roman" w:hAnsi="Times New Roman" w:cs="Times New Roman"/>
      <w:sz w:val="24"/>
      <w:szCs w:val="24"/>
    </w:rPr>
  </w:style>
  <w:style w:type="paragraph" w:customStyle="1" w:styleId="ModelDoubleNoIndent">
    <w:name w:val="ModelDoubleNoIndent"/>
    <w:basedOn w:val="Normal"/>
    <w:rsid w:val="008219C1"/>
    <w:pPr>
      <w:widowControl/>
      <w:autoSpaceDE/>
      <w:autoSpaceDN/>
      <w:adjustRightInd/>
      <w:spacing w:after="360" w:line="480" w:lineRule="auto"/>
      <w:jc w:val="both"/>
    </w:pPr>
    <w:rPr>
      <w:rFonts w:ascii="Times New Roman" w:eastAsia="Times New Roman" w:hAnsi="Times New Roman" w:cs="Times New Roman"/>
      <w:color w:val="auto"/>
      <w:sz w:val="22"/>
      <w:szCs w:val="20"/>
    </w:rPr>
  </w:style>
  <w:style w:type="paragraph" w:customStyle="1" w:styleId="Headinga">
    <w:name w:val="Heading a"/>
    <w:basedOn w:val="Normal"/>
    <w:rsid w:val="008219C1"/>
    <w:pPr>
      <w:autoSpaceDE/>
      <w:autoSpaceDN/>
      <w:adjustRightInd/>
      <w:spacing w:after="120"/>
    </w:pPr>
    <w:rPr>
      <w:rFonts w:ascii="Times New Roman" w:eastAsia="Times New Roman" w:hAnsi="Times New Roman" w:cs="Times New Roman"/>
      <w:color w:val="auto"/>
      <w:sz w:val="22"/>
      <w:szCs w:val="20"/>
    </w:rPr>
  </w:style>
  <w:style w:type="paragraph" w:customStyle="1" w:styleId="Outline">
    <w:name w:val="Outline"/>
    <w:basedOn w:val="Normal"/>
    <w:rsid w:val="008219C1"/>
    <w:pPr>
      <w:widowControl/>
      <w:autoSpaceDE/>
      <w:autoSpaceDN/>
      <w:adjustRightInd/>
      <w:spacing w:before="240"/>
    </w:pPr>
    <w:rPr>
      <w:rFonts w:ascii="Times New Roman" w:eastAsia="Times New Roman" w:hAnsi="Times New Roman" w:cs="Times New Roman"/>
      <w:color w:val="auto"/>
      <w:kern w:val="28"/>
      <w:szCs w:val="20"/>
    </w:rPr>
  </w:style>
  <w:style w:type="paragraph" w:customStyle="1" w:styleId="PAD-Paragraph">
    <w:name w:val="PAD - Paragraph"/>
    <w:basedOn w:val="ListParagraph"/>
    <w:link w:val="PAD-ParagraphChar"/>
    <w:qFormat/>
    <w:rsid w:val="008219C1"/>
    <w:pPr>
      <w:widowControl/>
      <w:tabs>
        <w:tab w:val="num" w:pos="450"/>
      </w:tabs>
      <w:autoSpaceDE/>
      <w:autoSpaceDN/>
      <w:adjustRightInd/>
      <w:spacing w:before="240" w:after="240"/>
      <w:ind w:left="90"/>
      <w:contextualSpacing w:val="0"/>
      <w:jc w:val="both"/>
    </w:pPr>
    <w:rPr>
      <w:rFonts w:ascii="Times New Roman" w:eastAsia="Times New Roman" w:hAnsi="Times New Roman" w:cs="Times New Roman"/>
      <w:sz w:val="22"/>
      <w:szCs w:val="22"/>
    </w:rPr>
  </w:style>
  <w:style w:type="character" w:customStyle="1" w:styleId="PAD-ParagraphChar">
    <w:name w:val="PAD - Paragraph Char"/>
    <w:basedOn w:val="DefaultParagraphFont"/>
    <w:link w:val="PAD-Paragraph"/>
    <w:rsid w:val="008219C1"/>
    <w:rPr>
      <w:rFonts w:ascii="Times New Roman" w:eastAsia="Times New Roman" w:hAnsi="Times New Roman" w:cs="Times New Roman"/>
      <w:color w:val="000000"/>
    </w:rPr>
  </w:style>
  <w:style w:type="paragraph" w:styleId="BodyText3">
    <w:name w:val="Body Text 3"/>
    <w:basedOn w:val="Normal"/>
    <w:link w:val="BodyText3Char"/>
    <w:semiHidden/>
    <w:unhideWhenUsed/>
    <w:rsid w:val="008219C1"/>
    <w:pPr>
      <w:widowControl/>
      <w:autoSpaceDE/>
      <w:autoSpaceDN/>
      <w:adjustRightInd/>
      <w:spacing w:after="120"/>
    </w:pPr>
    <w:rPr>
      <w:rFonts w:ascii="Times New Roman" w:eastAsia="Times New Roman" w:hAnsi="Times New Roman" w:cs="Times New Roman"/>
      <w:color w:val="auto"/>
      <w:sz w:val="16"/>
      <w:szCs w:val="16"/>
    </w:rPr>
  </w:style>
  <w:style w:type="character" w:customStyle="1" w:styleId="BodyText3Char">
    <w:name w:val="Body Text 3 Char"/>
    <w:basedOn w:val="DefaultParagraphFont"/>
    <w:link w:val="BodyText3"/>
    <w:semiHidden/>
    <w:rsid w:val="008219C1"/>
    <w:rPr>
      <w:rFonts w:ascii="Times New Roman" w:eastAsia="Times New Roman" w:hAnsi="Times New Roman" w:cs="Times New Roman"/>
      <w:sz w:val="16"/>
      <w:szCs w:val="16"/>
    </w:rPr>
  </w:style>
  <w:style w:type="character" w:customStyle="1" w:styleId="CaptionChar">
    <w:name w:val="Caption Char"/>
    <w:basedOn w:val="DefaultParagraphFont"/>
    <w:link w:val="Caption"/>
    <w:uiPriority w:val="99"/>
    <w:locked/>
    <w:rsid w:val="008219C1"/>
    <w:rPr>
      <w:i/>
      <w:iCs/>
      <w:color w:val="44546A" w:themeColor="text2"/>
      <w:sz w:val="18"/>
      <w:szCs w:val="18"/>
    </w:rPr>
  </w:style>
  <w:style w:type="paragraph" w:customStyle="1" w:styleId="Auflistung">
    <w:name w:val="Auflistung"/>
    <w:basedOn w:val="Normal"/>
    <w:uiPriority w:val="99"/>
    <w:rsid w:val="008219C1"/>
    <w:pPr>
      <w:widowControl/>
      <w:numPr>
        <w:numId w:val="20"/>
      </w:numPr>
      <w:autoSpaceDE/>
      <w:autoSpaceDN/>
      <w:adjustRightInd/>
      <w:spacing w:before="60" w:after="60"/>
      <w:contextualSpacing/>
      <w:jc w:val="both"/>
    </w:pPr>
    <w:rPr>
      <w:rFonts w:ascii="Times New Roman" w:eastAsia="Times New Roman" w:hAnsi="Times New Roman" w:cs="Times New Roman"/>
      <w:color w:val="auto"/>
      <w:szCs w:val="22"/>
      <w:lang w:val="de-DE"/>
    </w:rPr>
  </w:style>
  <w:style w:type="paragraph" w:customStyle="1" w:styleId="SourceNoteText">
    <w:name w:val="Source/Note Text"/>
    <w:basedOn w:val="Normal"/>
    <w:uiPriority w:val="99"/>
    <w:rsid w:val="008219C1"/>
    <w:pPr>
      <w:widowControl/>
      <w:tabs>
        <w:tab w:val="left" w:pos="743"/>
        <w:tab w:val="left" w:pos="1168"/>
      </w:tabs>
      <w:autoSpaceDE/>
      <w:autoSpaceDN/>
      <w:adjustRightInd/>
      <w:spacing w:before="120" w:after="30"/>
      <w:ind w:left="743" w:hanging="743"/>
      <w:jc w:val="both"/>
    </w:pPr>
    <w:rPr>
      <w:rFonts w:ascii="Times New Roman" w:eastAsia="Times New Roman" w:hAnsi="Times New Roman" w:cs="Times New Roman"/>
      <w:color w:val="auto"/>
      <w:sz w:val="20"/>
      <w:lang w:eastAsia="en-NZ"/>
    </w:rPr>
  </w:style>
  <w:style w:type="numbering" w:customStyle="1" w:styleId="fichtAuflistung">
    <w:name w:val="fichtAuflistung"/>
    <w:rsid w:val="008219C1"/>
    <w:pPr>
      <w:numPr>
        <w:numId w:val="20"/>
      </w:numPr>
    </w:pPr>
  </w:style>
  <w:style w:type="character" w:customStyle="1" w:styleId="BankNormalChar">
    <w:name w:val="BankNormal Char"/>
    <w:basedOn w:val="DefaultParagraphFont"/>
    <w:link w:val="BankNormal"/>
    <w:rsid w:val="008219C1"/>
    <w:rPr>
      <w:rFonts w:ascii="Times New Roman" w:eastAsia="Times New Roman" w:hAnsi="Times New Roman" w:cs="Times New Roman"/>
      <w:sz w:val="24"/>
      <w:szCs w:val="20"/>
    </w:rPr>
  </w:style>
  <w:style w:type="paragraph" w:styleId="DocumentMap">
    <w:name w:val="Document Map"/>
    <w:basedOn w:val="Normal"/>
    <w:link w:val="DocumentMapChar"/>
    <w:semiHidden/>
    <w:unhideWhenUsed/>
    <w:rsid w:val="008219C1"/>
    <w:pPr>
      <w:widowControl/>
      <w:autoSpaceDE/>
      <w:autoSpaceDN/>
      <w:adjustRightInd/>
    </w:pPr>
    <w:rPr>
      <w:rFonts w:ascii="Lucida Grande" w:eastAsia="Times New Roman" w:hAnsi="Lucida Grande" w:cs="Lucida Grande"/>
      <w:color w:val="auto"/>
    </w:rPr>
  </w:style>
  <w:style w:type="character" w:customStyle="1" w:styleId="DocumentMapChar">
    <w:name w:val="Document Map Char"/>
    <w:basedOn w:val="DefaultParagraphFont"/>
    <w:link w:val="DocumentMap"/>
    <w:semiHidden/>
    <w:rsid w:val="008219C1"/>
    <w:rPr>
      <w:rFonts w:ascii="Lucida Grande" w:eastAsia="Times New Roman" w:hAnsi="Lucida Grande" w:cs="Lucida Grande"/>
      <w:sz w:val="24"/>
      <w:szCs w:val="24"/>
    </w:rPr>
  </w:style>
  <w:style w:type="character" w:customStyle="1" w:styleId="2">
    <w:name w:val="Основной текст (2)_"/>
    <w:basedOn w:val="DefaultParagraphFont"/>
    <w:link w:val="20"/>
    <w:rsid w:val="008219C1"/>
    <w:rPr>
      <w:shd w:val="clear" w:color="auto" w:fill="FFFFFF"/>
    </w:rPr>
  </w:style>
  <w:style w:type="paragraph" w:customStyle="1" w:styleId="20">
    <w:name w:val="Основной текст (2)"/>
    <w:basedOn w:val="Normal"/>
    <w:link w:val="2"/>
    <w:rsid w:val="008219C1"/>
    <w:pPr>
      <w:shd w:val="clear" w:color="auto" w:fill="FFFFFF"/>
      <w:autoSpaceDE/>
      <w:autoSpaceDN/>
      <w:adjustRightInd/>
      <w:spacing w:before="240" w:after="120" w:line="293" w:lineRule="exact"/>
      <w:ind w:hanging="360"/>
      <w:jc w:val="both"/>
    </w:pPr>
    <w:rPr>
      <w:rFonts w:asciiTheme="minorHAnsi" w:eastAsiaTheme="minorHAnsi" w:hAnsiTheme="minorHAnsi" w:cstheme="minorBidi"/>
      <w:color w:val="auto"/>
      <w:sz w:val="22"/>
      <w:szCs w:val="22"/>
    </w:rPr>
  </w:style>
  <w:style w:type="paragraph" w:styleId="Title">
    <w:name w:val="Title"/>
    <w:basedOn w:val="Normal"/>
    <w:next w:val="Normal"/>
    <w:link w:val="TitleChar"/>
    <w:uiPriority w:val="10"/>
    <w:qFormat/>
    <w:rsid w:val="008219C1"/>
    <w:pPr>
      <w:widowControl/>
      <w:autoSpaceDE/>
      <w:autoSpaceDN/>
      <w:adjustRightInd/>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219C1"/>
    <w:rPr>
      <w:rFonts w:asciiTheme="majorHAnsi" w:eastAsiaTheme="majorEastAsia" w:hAnsiTheme="majorHAnsi" w:cstheme="majorBidi"/>
      <w:spacing w:val="-10"/>
      <w:kern w:val="28"/>
      <w:sz w:val="56"/>
      <w:szCs w:val="56"/>
    </w:rPr>
  </w:style>
  <w:style w:type="paragraph" w:customStyle="1" w:styleId="xl67">
    <w:name w:val="xl67"/>
    <w:basedOn w:val="Normal"/>
    <w:rsid w:val="008219C1"/>
    <w:pPr>
      <w:widowControl/>
      <w:autoSpaceDE/>
      <w:autoSpaceDN/>
      <w:adjustRightInd/>
      <w:spacing w:before="100" w:beforeAutospacing="1" w:after="100" w:afterAutospacing="1"/>
    </w:pPr>
    <w:rPr>
      <w:rFonts w:ascii="Times New Roman" w:eastAsia="Times New Roman" w:hAnsi="Times New Roman" w:cs="Times New Roman"/>
      <w:b/>
      <w:bCs/>
      <w:color w:val="auto"/>
    </w:rPr>
  </w:style>
  <w:style w:type="paragraph" w:customStyle="1" w:styleId="xl68">
    <w:name w:val="xl68"/>
    <w:basedOn w:val="Normal"/>
    <w:rsid w:val="008219C1"/>
    <w:pPr>
      <w:widowControl/>
      <w:autoSpaceDE/>
      <w:autoSpaceDN/>
      <w:adjustRightInd/>
      <w:spacing w:before="100" w:beforeAutospacing="1" w:after="100" w:afterAutospacing="1"/>
    </w:pPr>
    <w:rPr>
      <w:rFonts w:ascii="Times New Roman" w:eastAsia="Times New Roman" w:hAnsi="Times New Roman" w:cs="Times New Roman"/>
      <w:color w:val="auto"/>
    </w:rPr>
  </w:style>
  <w:style w:type="paragraph" w:customStyle="1" w:styleId="xl71">
    <w:name w:val="xl71"/>
    <w:basedOn w:val="Normal"/>
    <w:rsid w:val="008219C1"/>
    <w:pPr>
      <w:widowControl/>
      <w:autoSpaceDE/>
      <w:autoSpaceDN/>
      <w:adjustRightInd/>
      <w:spacing w:before="100" w:beforeAutospacing="1" w:after="100" w:afterAutospacing="1"/>
    </w:pPr>
    <w:rPr>
      <w:rFonts w:ascii="Times New Roman" w:eastAsia="Times New Roman" w:hAnsi="Times New Roman" w:cs="Times New Roman"/>
      <w:b/>
      <w:bCs/>
      <w:color w:val="auto"/>
    </w:rPr>
  </w:style>
  <w:style w:type="paragraph" w:customStyle="1" w:styleId="xl75">
    <w:name w:val="xl75"/>
    <w:basedOn w:val="Normal"/>
    <w:rsid w:val="008219C1"/>
    <w:pPr>
      <w:widowControl/>
      <w:shd w:val="clear" w:color="000000" w:fill="92CDDC"/>
      <w:autoSpaceDE/>
      <w:autoSpaceDN/>
      <w:adjustRightInd/>
      <w:spacing w:before="100" w:beforeAutospacing="1" w:after="100" w:afterAutospacing="1"/>
    </w:pPr>
    <w:rPr>
      <w:rFonts w:ascii="Times New Roman" w:eastAsia="Times New Roman" w:hAnsi="Times New Roman" w:cs="Times New Roman"/>
      <w:b/>
      <w:bCs/>
      <w:color w:val="auto"/>
    </w:rPr>
  </w:style>
  <w:style w:type="paragraph" w:customStyle="1" w:styleId="xl76">
    <w:name w:val="xl76"/>
    <w:basedOn w:val="Normal"/>
    <w:rsid w:val="008219C1"/>
    <w:pPr>
      <w:widowControl/>
      <w:shd w:val="clear" w:color="000000" w:fill="92CDDC"/>
      <w:autoSpaceDE/>
      <w:autoSpaceDN/>
      <w:adjustRightInd/>
      <w:spacing w:before="100" w:beforeAutospacing="1" w:after="100" w:afterAutospacing="1"/>
    </w:pPr>
    <w:rPr>
      <w:rFonts w:ascii="Times New Roman" w:eastAsia="Times New Roman" w:hAnsi="Times New Roman" w:cs="Times New Roman"/>
      <w:b/>
      <w:bCs/>
      <w:color w:val="auto"/>
    </w:rPr>
  </w:style>
  <w:style w:type="paragraph" w:customStyle="1" w:styleId="xl77">
    <w:name w:val="xl77"/>
    <w:basedOn w:val="Normal"/>
    <w:rsid w:val="008219C1"/>
    <w:pPr>
      <w:widowControl/>
      <w:shd w:val="clear" w:color="000000" w:fill="92CDDC"/>
      <w:autoSpaceDE/>
      <w:autoSpaceDN/>
      <w:adjustRightInd/>
      <w:spacing w:before="100" w:beforeAutospacing="1" w:after="100" w:afterAutospacing="1"/>
    </w:pPr>
    <w:rPr>
      <w:rFonts w:ascii="Times New Roman" w:eastAsia="Times New Roman" w:hAnsi="Times New Roman" w:cs="Times New Roman"/>
      <w:color w:val="auto"/>
    </w:rPr>
  </w:style>
  <w:style w:type="paragraph" w:customStyle="1" w:styleId="xl78">
    <w:name w:val="xl78"/>
    <w:basedOn w:val="Normal"/>
    <w:rsid w:val="008219C1"/>
    <w:pPr>
      <w:widowControl/>
      <w:autoSpaceDE/>
      <w:autoSpaceDN/>
      <w:adjustRightInd/>
      <w:spacing w:before="100" w:beforeAutospacing="1" w:after="100" w:afterAutospacing="1"/>
    </w:pPr>
    <w:rPr>
      <w:rFonts w:ascii="Times New Roman" w:eastAsia="Times New Roman" w:hAnsi="Times New Roman" w:cs="Times New Roman"/>
      <w:b/>
      <w:bCs/>
      <w:color w:val="auto"/>
    </w:rPr>
  </w:style>
  <w:style w:type="paragraph" w:customStyle="1" w:styleId="xl79">
    <w:name w:val="xl79"/>
    <w:basedOn w:val="Normal"/>
    <w:rsid w:val="008219C1"/>
    <w:pPr>
      <w:widowControl/>
      <w:autoSpaceDE/>
      <w:autoSpaceDN/>
      <w:adjustRightInd/>
      <w:spacing w:before="100" w:beforeAutospacing="1" w:after="100" w:afterAutospacing="1"/>
    </w:pPr>
    <w:rPr>
      <w:rFonts w:ascii="Times New Roman" w:eastAsia="Times New Roman" w:hAnsi="Times New Roman" w:cs="Times New Roman"/>
      <w:color w:val="auto"/>
    </w:rPr>
  </w:style>
  <w:style w:type="paragraph" w:customStyle="1" w:styleId="xl80">
    <w:name w:val="xl80"/>
    <w:basedOn w:val="Normal"/>
    <w:rsid w:val="008219C1"/>
    <w:pPr>
      <w:widowControl/>
      <w:autoSpaceDE/>
      <w:autoSpaceDN/>
      <w:adjustRightInd/>
      <w:spacing w:before="100" w:beforeAutospacing="1" w:after="100" w:afterAutospacing="1"/>
    </w:pPr>
    <w:rPr>
      <w:rFonts w:ascii="Times New Roman" w:eastAsia="Times New Roman" w:hAnsi="Times New Roman" w:cs="Times New Roman"/>
      <w:b/>
      <w:bCs/>
      <w:color w:val="auto"/>
    </w:rPr>
  </w:style>
  <w:style w:type="paragraph" w:customStyle="1" w:styleId="xl81">
    <w:name w:val="xl81"/>
    <w:basedOn w:val="Normal"/>
    <w:rsid w:val="008219C1"/>
    <w:pPr>
      <w:widowControl/>
      <w:autoSpaceDE/>
      <w:autoSpaceDN/>
      <w:adjustRightInd/>
      <w:spacing w:before="100" w:beforeAutospacing="1" w:after="100" w:afterAutospacing="1"/>
    </w:pPr>
    <w:rPr>
      <w:rFonts w:ascii="Times New Roman" w:eastAsia="Times New Roman" w:hAnsi="Times New Roman" w:cs="Times New Roman"/>
      <w:b/>
      <w:bCs/>
      <w:color w:val="auto"/>
    </w:rPr>
  </w:style>
  <w:style w:type="paragraph" w:customStyle="1" w:styleId="xl82">
    <w:name w:val="xl82"/>
    <w:basedOn w:val="Normal"/>
    <w:rsid w:val="008219C1"/>
    <w:pPr>
      <w:widowControl/>
      <w:autoSpaceDE/>
      <w:autoSpaceDN/>
      <w:adjustRightInd/>
      <w:spacing w:before="100" w:beforeAutospacing="1" w:after="100" w:afterAutospacing="1"/>
    </w:pPr>
    <w:rPr>
      <w:rFonts w:ascii="Times New Roman" w:eastAsia="Times New Roman" w:hAnsi="Times New Roman" w:cs="Times New Roman"/>
      <w:b/>
      <w:bCs/>
      <w:color w:val="auto"/>
    </w:rPr>
  </w:style>
  <w:style w:type="paragraph" w:customStyle="1" w:styleId="xl83">
    <w:name w:val="xl83"/>
    <w:basedOn w:val="Normal"/>
    <w:rsid w:val="008219C1"/>
    <w:pPr>
      <w:widowControl/>
      <w:autoSpaceDE/>
      <w:autoSpaceDN/>
      <w:adjustRightInd/>
      <w:spacing w:before="100" w:beforeAutospacing="1" w:after="100" w:afterAutospacing="1"/>
    </w:pPr>
    <w:rPr>
      <w:rFonts w:ascii="Times New Roman" w:eastAsia="Times New Roman" w:hAnsi="Times New Roman" w:cs="Times New Roman"/>
      <w:b/>
      <w:bCs/>
      <w:color w:val="auto"/>
    </w:rPr>
  </w:style>
  <w:style w:type="paragraph" w:customStyle="1" w:styleId="xl84">
    <w:name w:val="xl84"/>
    <w:basedOn w:val="Normal"/>
    <w:rsid w:val="008219C1"/>
    <w:pPr>
      <w:widowControl/>
      <w:autoSpaceDE/>
      <w:autoSpaceDN/>
      <w:adjustRightInd/>
      <w:spacing w:before="100" w:beforeAutospacing="1" w:after="100" w:afterAutospacing="1"/>
    </w:pPr>
    <w:rPr>
      <w:rFonts w:ascii="Times New Roman" w:eastAsia="Times New Roman" w:hAnsi="Times New Roman" w:cs="Times New Roman"/>
      <w:b/>
      <w:bCs/>
      <w:color w:val="auto"/>
    </w:rPr>
  </w:style>
  <w:style w:type="paragraph" w:customStyle="1" w:styleId="xl85">
    <w:name w:val="xl85"/>
    <w:basedOn w:val="Normal"/>
    <w:rsid w:val="008219C1"/>
    <w:pPr>
      <w:widowControl/>
      <w:autoSpaceDE/>
      <w:autoSpaceDN/>
      <w:adjustRightInd/>
      <w:spacing w:before="100" w:beforeAutospacing="1" w:after="100" w:afterAutospacing="1"/>
    </w:pPr>
    <w:rPr>
      <w:rFonts w:ascii="Times New Roman" w:eastAsia="Times New Roman" w:hAnsi="Times New Roman" w:cs="Times New Roman"/>
      <w:color w:val="auto"/>
    </w:rPr>
  </w:style>
  <w:style w:type="paragraph" w:customStyle="1" w:styleId="xl86">
    <w:name w:val="xl86"/>
    <w:basedOn w:val="Normal"/>
    <w:rsid w:val="008219C1"/>
    <w:pPr>
      <w:widowControl/>
      <w:autoSpaceDE/>
      <w:autoSpaceDN/>
      <w:adjustRightInd/>
      <w:spacing w:before="100" w:beforeAutospacing="1" w:after="100" w:afterAutospacing="1"/>
    </w:pPr>
    <w:rPr>
      <w:rFonts w:ascii="Times New Roman" w:eastAsia="Times New Roman" w:hAnsi="Times New Roman" w:cs="Times New Roman"/>
      <w:color w:val="auto"/>
    </w:rPr>
  </w:style>
  <w:style w:type="paragraph" w:customStyle="1" w:styleId="xl87">
    <w:name w:val="xl87"/>
    <w:basedOn w:val="Normal"/>
    <w:rsid w:val="008219C1"/>
    <w:pPr>
      <w:widowControl/>
      <w:autoSpaceDE/>
      <w:autoSpaceDN/>
      <w:adjustRightInd/>
      <w:spacing w:before="100" w:beforeAutospacing="1" w:after="100" w:afterAutospacing="1"/>
    </w:pPr>
    <w:rPr>
      <w:rFonts w:ascii="Times New Roman" w:eastAsia="Times New Roman" w:hAnsi="Times New Roman" w:cs="Times New Roman"/>
      <w:b/>
      <w:bCs/>
      <w:color w:val="auto"/>
    </w:rPr>
  </w:style>
  <w:style w:type="paragraph" w:customStyle="1" w:styleId="xl88">
    <w:name w:val="xl88"/>
    <w:basedOn w:val="Normal"/>
    <w:rsid w:val="008219C1"/>
    <w:pPr>
      <w:widowControl/>
      <w:autoSpaceDE/>
      <w:autoSpaceDN/>
      <w:adjustRightInd/>
      <w:spacing w:before="100" w:beforeAutospacing="1" w:after="100" w:afterAutospacing="1"/>
    </w:pPr>
    <w:rPr>
      <w:rFonts w:ascii="Times New Roman" w:eastAsia="Times New Roman" w:hAnsi="Times New Roman" w:cs="Times New Roman"/>
      <w:b/>
      <w:bCs/>
      <w:color w:val="auto"/>
    </w:rPr>
  </w:style>
  <w:style w:type="paragraph" w:customStyle="1" w:styleId="xl69">
    <w:name w:val="xl69"/>
    <w:basedOn w:val="Normal"/>
    <w:rsid w:val="008219C1"/>
    <w:pPr>
      <w:widowControl/>
      <w:autoSpaceDE/>
      <w:autoSpaceDN/>
      <w:adjustRightInd/>
      <w:spacing w:before="100" w:beforeAutospacing="1" w:after="100" w:afterAutospacing="1"/>
    </w:pPr>
    <w:rPr>
      <w:rFonts w:ascii="Times New Roman" w:eastAsia="Times New Roman" w:hAnsi="Times New Roman" w:cs="Times New Roman"/>
      <w:b/>
      <w:bCs/>
      <w:color w:val="auto"/>
    </w:rPr>
  </w:style>
  <w:style w:type="paragraph" w:customStyle="1" w:styleId="xl70">
    <w:name w:val="xl70"/>
    <w:basedOn w:val="Normal"/>
    <w:rsid w:val="008219C1"/>
    <w:pPr>
      <w:widowControl/>
      <w:autoSpaceDE/>
      <w:autoSpaceDN/>
      <w:adjustRightInd/>
      <w:spacing w:before="100" w:beforeAutospacing="1" w:after="100" w:afterAutospacing="1"/>
    </w:pPr>
    <w:rPr>
      <w:rFonts w:ascii="Times New Roman" w:eastAsia="Times New Roman" w:hAnsi="Times New Roman" w:cs="Times New Roman"/>
      <w:color w:val="auto"/>
    </w:rPr>
  </w:style>
  <w:style w:type="paragraph" w:customStyle="1" w:styleId="xl73">
    <w:name w:val="xl73"/>
    <w:basedOn w:val="Normal"/>
    <w:rsid w:val="008219C1"/>
    <w:pPr>
      <w:widowControl/>
      <w:autoSpaceDE/>
      <w:autoSpaceDN/>
      <w:adjustRightInd/>
      <w:spacing w:before="100" w:beforeAutospacing="1" w:after="100" w:afterAutospacing="1"/>
    </w:pPr>
    <w:rPr>
      <w:rFonts w:ascii="Times New Roman" w:eastAsia="Times New Roman" w:hAnsi="Times New Roman" w:cs="Times New Roman"/>
      <w:b/>
      <w:bCs/>
      <w:color w:val="auto"/>
    </w:rPr>
  </w:style>
  <w:style w:type="paragraph" w:customStyle="1" w:styleId="xl89">
    <w:name w:val="xl89"/>
    <w:basedOn w:val="Normal"/>
    <w:rsid w:val="008219C1"/>
    <w:pPr>
      <w:widowControl/>
      <w:autoSpaceDE/>
      <w:autoSpaceDN/>
      <w:adjustRightInd/>
      <w:spacing w:before="100" w:beforeAutospacing="1" w:after="100" w:afterAutospacing="1"/>
    </w:pPr>
    <w:rPr>
      <w:rFonts w:ascii="Times New Roman" w:eastAsia="Times New Roman" w:hAnsi="Times New Roman" w:cs="Times New Roman"/>
      <w:b/>
      <w:bCs/>
      <w:color w:val="auto"/>
    </w:rPr>
  </w:style>
  <w:style w:type="paragraph" w:customStyle="1" w:styleId="xl90">
    <w:name w:val="xl90"/>
    <w:basedOn w:val="Normal"/>
    <w:rsid w:val="008219C1"/>
    <w:pPr>
      <w:widowControl/>
      <w:autoSpaceDE/>
      <w:autoSpaceDN/>
      <w:adjustRightInd/>
      <w:spacing w:before="100" w:beforeAutospacing="1" w:after="100" w:afterAutospacing="1"/>
    </w:pPr>
    <w:rPr>
      <w:rFonts w:ascii="Times New Roman" w:eastAsia="Times New Roman" w:hAnsi="Times New Roman" w:cs="Times New Roman"/>
      <w:b/>
      <w:bCs/>
      <w:color w:val="auto"/>
    </w:rPr>
  </w:style>
  <w:style w:type="paragraph" w:customStyle="1" w:styleId="xl91">
    <w:name w:val="xl91"/>
    <w:basedOn w:val="Normal"/>
    <w:rsid w:val="008219C1"/>
    <w:pPr>
      <w:widowControl/>
      <w:autoSpaceDE/>
      <w:autoSpaceDN/>
      <w:adjustRightInd/>
      <w:spacing w:before="100" w:beforeAutospacing="1" w:after="100" w:afterAutospacing="1"/>
    </w:pPr>
    <w:rPr>
      <w:rFonts w:ascii="Times New Roman" w:eastAsia="Times New Roman" w:hAnsi="Times New Roman" w:cs="Times New Roman"/>
      <w:b/>
      <w:bCs/>
      <w:color w:val="auto"/>
    </w:rPr>
  </w:style>
  <w:style w:type="paragraph" w:customStyle="1" w:styleId="ModelNrmlSingle">
    <w:name w:val="ModelNrmlSingle"/>
    <w:basedOn w:val="Normal"/>
    <w:link w:val="ModelNrmlSingleChar"/>
    <w:rsid w:val="008219C1"/>
    <w:pPr>
      <w:widowControl/>
      <w:autoSpaceDE/>
      <w:autoSpaceDN/>
      <w:adjustRightInd/>
      <w:spacing w:after="240"/>
      <w:ind w:firstLine="720"/>
      <w:jc w:val="both"/>
    </w:pPr>
    <w:rPr>
      <w:rFonts w:ascii="Times New Roman" w:eastAsia="Times New Roman" w:hAnsi="Times New Roman" w:cs="Times New Roman"/>
      <w:color w:val="auto"/>
      <w:sz w:val="22"/>
      <w:szCs w:val="20"/>
    </w:rPr>
  </w:style>
  <w:style w:type="character" w:customStyle="1" w:styleId="ModelNrmlSingleChar">
    <w:name w:val="ModelNrmlSingle Char"/>
    <w:link w:val="ModelNrmlSingle"/>
    <w:rsid w:val="008219C1"/>
    <w:rPr>
      <w:rFonts w:ascii="Times New Roman" w:eastAsia="Times New Roman" w:hAnsi="Times New Roman" w:cs="Times New Roman"/>
      <w:szCs w:val="20"/>
    </w:rPr>
  </w:style>
  <w:style w:type="paragraph" w:customStyle="1" w:styleId="HEADINGP4RCHAPTER">
    <w:name w:val="HEADING P4R CHAPTER"/>
    <w:basedOn w:val="Normal"/>
    <w:qFormat/>
    <w:rsid w:val="008219C1"/>
    <w:pPr>
      <w:widowControl/>
      <w:autoSpaceDE/>
      <w:autoSpaceDN/>
      <w:adjustRightInd/>
      <w:spacing w:before="240" w:after="240"/>
      <w:jc w:val="center"/>
      <w:outlineLvl w:val="0"/>
    </w:pPr>
    <w:rPr>
      <w:rFonts w:ascii="Times New Roman" w:hAnsi="Times New Roman" w:cs="Times New Roman"/>
      <w:b/>
      <w:smallCaps/>
      <w:color w:val="auto"/>
      <w:sz w:val="28"/>
    </w:rPr>
  </w:style>
  <w:style w:type="paragraph" w:customStyle="1" w:styleId="MainParanoChapter-Ch3">
    <w:name w:val="Main Para no Chapter #-Ch 3"/>
    <w:basedOn w:val="Normal"/>
    <w:qFormat/>
    <w:rsid w:val="008219C1"/>
    <w:pPr>
      <w:widowControl/>
      <w:numPr>
        <w:numId w:val="22"/>
      </w:numPr>
      <w:autoSpaceDE/>
      <w:autoSpaceDN/>
      <w:adjustRightInd/>
      <w:spacing w:before="240"/>
      <w:jc w:val="both"/>
    </w:pPr>
    <w:rPr>
      <w:rFonts w:ascii="Times New Roman" w:eastAsia="Times New Roman" w:hAnsi="Times New Roman" w:cs="Times New Roman"/>
      <w:color w:val="auto"/>
    </w:rPr>
  </w:style>
  <w:style w:type="paragraph" w:customStyle="1" w:styleId="10">
    <w:name w:val="Стиль1"/>
    <w:basedOn w:val="Normal"/>
    <w:link w:val="11"/>
    <w:qFormat/>
    <w:rsid w:val="008219C1"/>
    <w:pPr>
      <w:widowControl/>
      <w:autoSpaceDE/>
      <w:autoSpaceDN/>
      <w:adjustRightInd/>
      <w:spacing w:before="60" w:after="60" w:line="276" w:lineRule="auto"/>
      <w:jc w:val="both"/>
    </w:pPr>
    <w:rPr>
      <w:rFonts w:ascii="Times New Roman" w:eastAsiaTheme="minorHAnsi" w:hAnsi="Times New Roman" w:cs="Times New Roman"/>
      <w:color w:val="auto"/>
      <w:sz w:val="22"/>
    </w:rPr>
  </w:style>
  <w:style w:type="character" w:customStyle="1" w:styleId="11">
    <w:name w:val="Стиль1 Знак"/>
    <w:basedOn w:val="DefaultParagraphFont"/>
    <w:link w:val="10"/>
    <w:rsid w:val="008219C1"/>
    <w:rPr>
      <w:rFonts w:ascii="Times New Roman" w:hAnsi="Times New Roman" w:cs="Times New Roman"/>
      <w:szCs w:val="24"/>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rsid w:val="008219C1"/>
    <w:pPr>
      <w:widowControl/>
      <w:autoSpaceDE/>
      <w:autoSpaceDN/>
      <w:adjustRightInd/>
      <w:spacing w:after="160" w:line="240" w:lineRule="exact"/>
    </w:pPr>
    <w:rPr>
      <w:rFonts w:asciiTheme="minorHAnsi" w:eastAsiaTheme="minorHAnsi" w:hAnsiTheme="minorHAnsi" w:cstheme="minorBidi"/>
      <w:color w:val="auto"/>
      <w:sz w:val="22"/>
      <w:szCs w:val="22"/>
      <w:vertAlign w:val="superscript"/>
      <w:lang w:val="ru-RU"/>
    </w:rPr>
  </w:style>
  <w:style w:type="character" w:customStyle="1" w:styleId="66">
    <w:name w:val="Основной текст66"/>
    <w:basedOn w:val="DefaultParagraphFont"/>
    <w:rsid w:val="008219C1"/>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67">
    <w:name w:val="Основной текст67"/>
    <w:basedOn w:val="DefaultParagraphFont"/>
    <w:rsid w:val="008219C1"/>
    <w:rPr>
      <w:rFonts w:ascii="Times New Roman" w:eastAsia="Times New Roman" w:hAnsi="Times New Roman" w:cs="Times New Roman"/>
      <w:b w:val="0"/>
      <w:bCs w:val="0"/>
      <w:i w:val="0"/>
      <w:iCs w:val="0"/>
      <w:smallCaps w:val="0"/>
      <w:strike w:val="0"/>
      <w:spacing w:val="0"/>
      <w:sz w:val="20"/>
      <w:szCs w:val="20"/>
      <w:u w:val="single"/>
      <w:shd w:val="clear" w:color="auto" w:fill="FFFFFF"/>
    </w:rPr>
  </w:style>
  <w:style w:type="character" w:customStyle="1" w:styleId="68">
    <w:name w:val="Основной текст68"/>
    <w:basedOn w:val="DefaultParagraphFont"/>
    <w:rsid w:val="008219C1"/>
    <w:rPr>
      <w:rFonts w:ascii="Times New Roman" w:eastAsia="Times New Roman" w:hAnsi="Times New Roman" w:cs="Times New Roman"/>
      <w:b w:val="0"/>
      <w:bCs w:val="0"/>
      <w:i w:val="0"/>
      <w:iCs w:val="0"/>
      <w:smallCaps w:val="0"/>
      <w:strike w:val="0"/>
      <w:spacing w:val="0"/>
      <w:sz w:val="20"/>
      <w:szCs w:val="20"/>
      <w:shd w:val="clear" w:color="auto" w:fill="FFFFFF"/>
    </w:rPr>
  </w:style>
  <w:style w:type="paragraph" w:customStyle="1" w:styleId="21">
    <w:name w:val="Стиль2"/>
    <w:basedOn w:val="Normal"/>
    <w:link w:val="22"/>
    <w:qFormat/>
    <w:rsid w:val="008219C1"/>
    <w:pPr>
      <w:widowControl/>
      <w:autoSpaceDE/>
      <w:autoSpaceDN/>
      <w:adjustRightInd/>
      <w:spacing w:after="120"/>
      <w:jc w:val="both"/>
    </w:pPr>
    <w:rPr>
      <w:rFonts w:ascii="Times New Roman" w:eastAsia="Arial Unicode MS" w:hAnsi="Times New Roman" w:cs="Times New Roman"/>
      <w:sz w:val="22"/>
      <w:szCs w:val="22"/>
      <w:lang w:eastAsia="ru-RU"/>
    </w:rPr>
  </w:style>
  <w:style w:type="character" w:customStyle="1" w:styleId="22">
    <w:name w:val="Стиль2 Знак"/>
    <w:basedOn w:val="DefaultParagraphFont"/>
    <w:link w:val="21"/>
    <w:rsid w:val="008219C1"/>
    <w:rPr>
      <w:rFonts w:ascii="Times New Roman" w:eastAsia="Arial Unicode MS" w:hAnsi="Times New Roman" w:cs="Times New Roman"/>
      <w:color w:val="000000"/>
      <w:lang w:eastAsia="ru-RU"/>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rsid w:val="008219C1"/>
    <w:pPr>
      <w:widowControl/>
      <w:autoSpaceDE/>
      <w:autoSpaceDN/>
      <w:adjustRightInd/>
      <w:spacing w:after="160" w:line="240" w:lineRule="exact"/>
    </w:pPr>
    <w:rPr>
      <w:rFonts w:asciiTheme="minorHAnsi" w:eastAsiaTheme="minorHAnsi" w:hAnsiTheme="minorHAnsi" w:cstheme="minorBidi"/>
      <w:color w:val="auto"/>
      <w:sz w:val="22"/>
      <w:szCs w:val="22"/>
      <w:vertAlign w:val="superscript"/>
    </w:rPr>
  </w:style>
  <w:style w:type="paragraph" w:customStyle="1" w:styleId="Ref">
    <w:name w:val="Ref"/>
    <w:aliases w:val="(NECG) Footnote Reference,Footnote Ref in FtNote,Fußnotenzeichen DISS,de nota al pie,fr Char Char,fr Char Char Char,ftref Char Char,ftref Char1 Char Char"/>
    <w:basedOn w:val="Normal"/>
    <w:uiPriority w:val="99"/>
    <w:rsid w:val="008219C1"/>
    <w:pPr>
      <w:widowControl/>
      <w:autoSpaceDE/>
      <w:autoSpaceDN/>
      <w:adjustRightInd/>
      <w:spacing w:after="160" w:line="240" w:lineRule="exact"/>
      <w:jc w:val="both"/>
    </w:pPr>
    <w:rPr>
      <w:rFonts w:ascii="Times New Roman" w:eastAsiaTheme="minorHAnsi" w:hAnsi="Times New Roman" w:cstheme="minorBidi"/>
      <w:color w:val="auto"/>
      <w:sz w:val="18"/>
      <w:szCs w:val="18"/>
      <w:vertAlign w:val="superscript"/>
    </w:rPr>
  </w:style>
  <w:style w:type="character" w:styleId="Strong">
    <w:name w:val="Strong"/>
    <w:basedOn w:val="DefaultParagraphFont"/>
    <w:uiPriority w:val="22"/>
    <w:qFormat/>
    <w:rsid w:val="008219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8633">
      <w:bodyDiv w:val="1"/>
      <w:marLeft w:val="0"/>
      <w:marRight w:val="0"/>
      <w:marTop w:val="0"/>
      <w:marBottom w:val="0"/>
      <w:divBdr>
        <w:top w:val="none" w:sz="0" w:space="0" w:color="auto"/>
        <w:left w:val="none" w:sz="0" w:space="0" w:color="auto"/>
        <w:bottom w:val="none" w:sz="0" w:space="0" w:color="auto"/>
        <w:right w:val="none" w:sz="0" w:space="0" w:color="auto"/>
      </w:divBdr>
    </w:div>
    <w:div w:id="577787774">
      <w:bodyDiv w:val="1"/>
      <w:marLeft w:val="0"/>
      <w:marRight w:val="0"/>
      <w:marTop w:val="0"/>
      <w:marBottom w:val="0"/>
      <w:divBdr>
        <w:top w:val="none" w:sz="0" w:space="0" w:color="auto"/>
        <w:left w:val="none" w:sz="0" w:space="0" w:color="auto"/>
        <w:bottom w:val="none" w:sz="0" w:space="0" w:color="auto"/>
        <w:right w:val="none" w:sz="0" w:space="0" w:color="auto"/>
      </w:divBdr>
    </w:div>
    <w:div w:id="1636984404">
      <w:bodyDiv w:val="1"/>
      <w:marLeft w:val="0"/>
      <w:marRight w:val="0"/>
      <w:marTop w:val="0"/>
      <w:marBottom w:val="0"/>
      <w:divBdr>
        <w:top w:val="none" w:sz="0" w:space="0" w:color="auto"/>
        <w:left w:val="none" w:sz="0" w:space="0" w:color="auto"/>
        <w:bottom w:val="none" w:sz="0" w:space="0" w:color="auto"/>
        <w:right w:val="none" w:sz="0" w:space="0" w:color="auto"/>
      </w:divBdr>
    </w:div>
    <w:div w:id="18324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6.emf"/><Relationship Id="rId21" Type="http://schemas.openxmlformats.org/officeDocument/2006/relationships/footer" Target="footer5.xml"/><Relationship Id="rId34" Type="http://schemas.openxmlformats.org/officeDocument/2006/relationships/header" Target="header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jpeg"/><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jpeg"/><Relationship Id="rId32" Type="http://schemas.openxmlformats.org/officeDocument/2006/relationships/hyperlink" Target="https://accountability.worldbank.org/"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image" Target="media/image8.png"/><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www.worldbank.org/G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footer" Target="footer7.xml"/><Relationship Id="rId8" Type="http://schemas.openxmlformats.org/officeDocument/2006/relationships/settings" Target="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D594FD1A31415699710F65CA904793"/>
        <w:category>
          <w:name w:val="General"/>
          <w:gallery w:val="placeholder"/>
        </w:category>
        <w:types>
          <w:type w:val="bbPlcHdr"/>
        </w:types>
        <w:behaviors>
          <w:behavior w:val="content"/>
        </w:behaviors>
        <w:guid w:val="{E3D8AF6A-DF2A-4A5E-8B5E-27F4FAB8AD1B}"/>
      </w:docPartPr>
      <w:docPartBody>
        <w:p w:rsidR="00991BD7" w:rsidRDefault="002D3DF6" w:rsidP="002103F0">
          <w:pPr>
            <w:pStyle w:val="13D594FD1A31415699710F65CA904793"/>
          </w:pPr>
          <w:r w:rsidRPr="00764859">
            <w:rPr>
              <w:rStyle w:val="PlaceholderText"/>
            </w:rPr>
            <w:t>Click here to enter text.</w:t>
          </w:r>
        </w:p>
      </w:docPartBody>
    </w:docPart>
    <w:docPart>
      <w:docPartPr>
        <w:name w:val="752A7D0F89BA41C58213D1D4136C9FBC"/>
        <w:category>
          <w:name w:val="General"/>
          <w:gallery w:val="placeholder"/>
        </w:category>
        <w:types>
          <w:type w:val="bbPlcHdr"/>
        </w:types>
        <w:behaviors>
          <w:behavior w:val="content"/>
        </w:behaviors>
        <w:guid w:val="{CFE50B7E-B4F1-40D3-BDBB-F5EB096EE91C}"/>
      </w:docPartPr>
      <w:docPartBody>
        <w:p w:rsidR="00991BD7" w:rsidRDefault="002D3DF6" w:rsidP="002103F0">
          <w:pPr>
            <w:pStyle w:val="752A7D0F89BA41C58213D1D4136C9FBC"/>
          </w:pPr>
          <w:r w:rsidRPr="00764859">
            <w:rPr>
              <w:rStyle w:val="PlaceholderText"/>
            </w:rPr>
            <w:t>Click here to enter text.</w:t>
          </w:r>
        </w:p>
      </w:docPartBody>
    </w:docPart>
    <w:docPart>
      <w:docPartPr>
        <w:name w:val="E59135870FB14B26AC9F09477B641399"/>
        <w:category>
          <w:name w:val="General"/>
          <w:gallery w:val="placeholder"/>
        </w:category>
        <w:types>
          <w:type w:val="bbPlcHdr"/>
        </w:types>
        <w:behaviors>
          <w:behavior w:val="content"/>
        </w:behaviors>
        <w:guid w:val="{859BEDC7-3AC8-46A6-81A0-8E0D36A372F0}"/>
      </w:docPartPr>
      <w:docPartBody>
        <w:p w:rsidR="00991BD7" w:rsidRDefault="002D3DF6" w:rsidP="002103F0">
          <w:pPr>
            <w:pStyle w:val="E59135870FB14B26AC9F09477B641399"/>
          </w:pPr>
          <w:r w:rsidRPr="00764859">
            <w:rPr>
              <w:rStyle w:val="PlaceholderText"/>
            </w:rPr>
            <w:t>Click here to enter text.</w:t>
          </w:r>
        </w:p>
      </w:docPartBody>
    </w:docPart>
    <w:docPart>
      <w:docPartPr>
        <w:name w:val="12AC91C82EEE49BCB1C2B5BB063FD19F"/>
        <w:category>
          <w:name w:val="General"/>
          <w:gallery w:val="placeholder"/>
        </w:category>
        <w:types>
          <w:type w:val="bbPlcHdr"/>
        </w:types>
        <w:behaviors>
          <w:behavior w:val="content"/>
        </w:behaviors>
        <w:guid w:val="{F5E6668B-091C-4092-91DF-2919644F84B8}"/>
      </w:docPartPr>
      <w:docPartBody>
        <w:p w:rsidR="00991BD7" w:rsidRDefault="005B23DC" w:rsidP="002103F0">
          <w:pPr>
            <w:pStyle w:val="12AC91C82EEE49BCB1C2B5BB063FD19F"/>
          </w:pPr>
          <w:r>
            <w:t xml:space="preserve"> </w:t>
          </w:r>
        </w:p>
      </w:docPartBody>
    </w:docPart>
    <w:docPart>
      <w:docPartPr>
        <w:name w:val="8B22DAE8F06843D49C36B305B83B079A"/>
        <w:category>
          <w:name w:val="General"/>
          <w:gallery w:val="placeholder"/>
        </w:category>
        <w:types>
          <w:type w:val="bbPlcHdr"/>
        </w:types>
        <w:behaviors>
          <w:behavior w:val="content"/>
        </w:behaviors>
        <w:guid w:val="{F43D4F89-805A-42C9-B13C-C61D58983B6C}"/>
      </w:docPartPr>
      <w:docPartBody>
        <w:p w:rsidR="00991BD7" w:rsidRDefault="002D3DF6" w:rsidP="002103F0">
          <w:pPr>
            <w:pStyle w:val="8B22DAE8F06843D49C36B305B83B079A"/>
          </w:pPr>
          <w:r w:rsidRPr="00764859">
            <w:rPr>
              <w:rStyle w:val="PlaceholderText"/>
            </w:rPr>
            <w:t>Click here to enter text.</w:t>
          </w:r>
        </w:p>
      </w:docPartBody>
    </w:docPart>
    <w:docPart>
      <w:docPartPr>
        <w:name w:val="A877B0F89CD24250A6DFF1D6012EFF4F"/>
        <w:category>
          <w:name w:val="General"/>
          <w:gallery w:val="placeholder"/>
        </w:category>
        <w:types>
          <w:type w:val="bbPlcHdr"/>
        </w:types>
        <w:behaviors>
          <w:behavior w:val="content"/>
        </w:behaviors>
        <w:guid w:val="{F72229E3-77E7-4BA3-87ED-C0E7CCF34526}"/>
      </w:docPartPr>
      <w:docPartBody>
        <w:p w:rsidR="00991BD7" w:rsidRDefault="002D3DF6" w:rsidP="002103F0">
          <w:pPr>
            <w:pStyle w:val="A877B0F89CD24250A6DFF1D6012EFF4F"/>
          </w:pPr>
          <w:r w:rsidRPr="00764859">
            <w:rPr>
              <w:rStyle w:val="PlaceholderText"/>
            </w:rPr>
            <w:t>Click here to enter text.</w:t>
          </w:r>
        </w:p>
      </w:docPartBody>
    </w:docPart>
    <w:docPart>
      <w:docPartPr>
        <w:name w:val="FB16AFAD44134EE9A6542D4FA206E679"/>
        <w:category>
          <w:name w:val="General"/>
          <w:gallery w:val="placeholder"/>
        </w:category>
        <w:types>
          <w:type w:val="bbPlcHdr"/>
        </w:types>
        <w:behaviors>
          <w:behavior w:val="content"/>
        </w:behaviors>
        <w:guid w:val="{22E5A260-F678-4A89-9C6C-4B968608EFBF}"/>
      </w:docPartPr>
      <w:docPartBody>
        <w:p w:rsidR="006072AE" w:rsidRDefault="002D3DF6" w:rsidP="00991BD7">
          <w:pPr>
            <w:pStyle w:val="FB16AFAD44134EE9A6542D4FA206E679"/>
          </w:pPr>
          <w:r w:rsidRPr="00764859">
            <w:rPr>
              <w:rStyle w:val="PlaceholderText"/>
            </w:rPr>
            <w:t>Click here to enter text.</w:t>
          </w:r>
        </w:p>
      </w:docPartBody>
    </w:docPart>
    <w:docPart>
      <w:docPartPr>
        <w:name w:val="FE5BCBFCD7D64654BA77C64E7C2EAB4A"/>
        <w:category>
          <w:name w:val="General"/>
          <w:gallery w:val="placeholder"/>
        </w:category>
        <w:types>
          <w:type w:val="bbPlcHdr"/>
        </w:types>
        <w:behaviors>
          <w:behavior w:val="content"/>
        </w:behaviors>
        <w:guid w:val="{9447A071-C835-42F2-BBE7-754F86535467}"/>
      </w:docPartPr>
      <w:docPartBody>
        <w:p w:rsidR="004D3913" w:rsidRDefault="005B23DC" w:rsidP="005B23DC">
          <w:r w:rsidRPr="00081974">
            <w:rPr>
              <w:rStyle w:val="PlaceholderText"/>
              <w:color w:val="FFFFFF" w:themeColor="background1"/>
            </w:rPr>
            <w:t>.</w:t>
          </w:r>
        </w:p>
      </w:docPartBody>
    </w:docPart>
    <w:docPart>
      <w:docPartPr>
        <w:name w:val="6503507F1E1448188777431FA59CEC69"/>
        <w:category>
          <w:name w:val="General"/>
          <w:gallery w:val="placeholder"/>
        </w:category>
        <w:types>
          <w:type w:val="bbPlcHdr"/>
        </w:types>
        <w:behaviors>
          <w:behavior w:val="content"/>
        </w:behaviors>
        <w:guid w:val="{D312A5B9-09AD-49F3-9723-3A84197B31FE}"/>
      </w:docPartPr>
      <w:docPartBody>
        <w:p w:rsidR="004D3913" w:rsidRDefault="005B23DC" w:rsidP="005B23DC">
          <w:r w:rsidRPr="008C3D5B">
            <w:rPr>
              <w:rStyle w:val="PlaceholderText"/>
              <w:color w:val="F7F7F7"/>
            </w:rPr>
            <w:t>.</w:t>
          </w:r>
        </w:p>
      </w:docPartBody>
    </w:docPart>
    <w:docPart>
      <w:docPartPr>
        <w:name w:val="6B85671F4AE84F72B01F75240AFE2312"/>
        <w:category>
          <w:name w:val="General"/>
          <w:gallery w:val="placeholder"/>
        </w:category>
        <w:types>
          <w:type w:val="bbPlcHdr"/>
        </w:types>
        <w:behaviors>
          <w:behavior w:val="content"/>
        </w:behaviors>
        <w:guid w:val="{01126ADD-0758-46B1-9A2F-243E1A4D0F2F}"/>
      </w:docPartPr>
      <w:docPartBody>
        <w:p w:rsidR="004D3913" w:rsidRDefault="005B23DC" w:rsidP="005B23DC">
          <w:r w:rsidRPr="00C62B40">
            <w:rPr>
              <w:rStyle w:val="PlaceholderText"/>
            </w:rPr>
            <w:t>.</w:t>
          </w:r>
        </w:p>
      </w:docPartBody>
    </w:docPart>
    <w:docPart>
      <w:docPartPr>
        <w:name w:val="BCB53FF608364FF7992FDFDC23CFA9FC"/>
        <w:category>
          <w:name w:val="General"/>
          <w:gallery w:val="placeholder"/>
        </w:category>
        <w:types>
          <w:type w:val="bbPlcHdr"/>
        </w:types>
        <w:behaviors>
          <w:behavior w:val="content"/>
        </w:behaviors>
        <w:guid w:val="{93BBE999-4046-402A-9A71-B8E2568787FA}"/>
      </w:docPartPr>
      <w:docPartBody>
        <w:p w:rsidR="004D3913" w:rsidRDefault="005B23DC" w:rsidP="005B23DC">
          <w:r w:rsidRPr="008C3D5B">
            <w:rPr>
              <w:rStyle w:val="PlaceholderText"/>
              <w:color w:val="F7F7F7"/>
            </w:rPr>
            <w:t>.</w:t>
          </w:r>
        </w:p>
      </w:docPartBody>
    </w:docPart>
    <w:docPart>
      <w:docPartPr>
        <w:name w:val="AC70C77CC0AB486FB54A9FE1092AA435"/>
        <w:category>
          <w:name w:val="General"/>
          <w:gallery w:val="placeholder"/>
        </w:category>
        <w:types>
          <w:type w:val="bbPlcHdr"/>
        </w:types>
        <w:behaviors>
          <w:behavior w:val="content"/>
        </w:behaviors>
        <w:guid w:val="{B188A330-6D6F-448B-8F6C-937FAF7D35F2}"/>
      </w:docPartPr>
      <w:docPartBody>
        <w:p w:rsidR="00FF6CE1" w:rsidRDefault="005B23DC" w:rsidP="005B23DC">
          <w:r w:rsidRPr="00370EC4">
            <w:rPr>
              <w:rStyle w:val="PlaceholderText"/>
              <w:color w:val="FFFFFF"/>
            </w:rPr>
            <w:t>.</w:t>
          </w:r>
        </w:p>
      </w:docPartBody>
    </w:docPart>
    <w:docPart>
      <w:docPartPr>
        <w:name w:val="B6CB00A0C23645D2BAC79F5604FDD1FA"/>
        <w:category>
          <w:name w:val="General"/>
          <w:gallery w:val="placeholder"/>
        </w:category>
        <w:types>
          <w:type w:val="bbPlcHdr"/>
        </w:types>
        <w:behaviors>
          <w:behavior w:val="content"/>
        </w:behaviors>
        <w:guid w:val="{D12DA04C-5C09-4776-BE51-14234ECFD962}"/>
      </w:docPartPr>
      <w:docPartBody>
        <w:p w:rsidR="00FF6CE1" w:rsidRDefault="005B23DC" w:rsidP="005B23DC">
          <w:r w:rsidRPr="00986F52">
            <w:rPr>
              <w:rStyle w:val="PlaceholderText"/>
              <w:color w:val="FFFFFF" w:themeColor="background1"/>
            </w:rPr>
            <w:t>.</w:t>
          </w:r>
        </w:p>
      </w:docPartBody>
    </w:docPart>
    <w:docPart>
      <w:docPartPr>
        <w:name w:val="01B26143A87E4124A2D05C26AB837BC3"/>
        <w:category>
          <w:name w:val="General"/>
          <w:gallery w:val="placeholder"/>
        </w:category>
        <w:types>
          <w:type w:val="bbPlcHdr"/>
        </w:types>
        <w:behaviors>
          <w:behavior w:val="content"/>
        </w:behaviors>
        <w:guid w:val="{91571F13-6643-45EE-901A-4B0B1143F7DD}"/>
      </w:docPartPr>
      <w:docPartBody>
        <w:p w:rsidR="00835270" w:rsidRDefault="005B23DC" w:rsidP="005B23DC">
          <w:r w:rsidRPr="00B60247">
            <w:rPr>
              <w:rStyle w:val="PlaceholderText"/>
              <w:color w:val="FFFFFF" w:themeColor="background1"/>
            </w:rPr>
            <w:t>.</w:t>
          </w:r>
        </w:p>
      </w:docPartBody>
    </w:docPart>
    <w:docPart>
      <w:docPartPr>
        <w:name w:val="DefaultPlaceholder_22675703"/>
        <w:category>
          <w:name w:val="General"/>
          <w:gallery w:val="placeholder"/>
        </w:category>
        <w:types>
          <w:type w:val="bbPlcHdr"/>
        </w:types>
        <w:behaviors>
          <w:behavior w:val="content"/>
        </w:behaviors>
        <w:guid w:val="{FAE427A2-C6B3-43A2-A77A-C6AD96508956}"/>
      </w:docPartPr>
      <w:docPartBody>
        <w:p w:rsidR="002D3DF6" w:rsidRDefault="002D3DF6">
          <w:r>
            <w:rPr>
              <w:rStyle w:val="PlaceholderText"/>
            </w:rPr>
            <w:t>Click here to enter text.</w:t>
          </w:r>
        </w:p>
      </w:docPartBody>
    </w:docPart>
    <w:docPart>
      <w:docPartPr>
        <w:name w:val="7FFFD6F1E4EB4DFF9E913327345ACACC"/>
        <w:category>
          <w:name w:val="General"/>
          <w:gallery w:val="placeholder"/>
        </w:category>
        <w:types>
          <w:type w:val="bbPlcHdr"/>
        </w:types>
        <w:behaviors>
          <w:behavior w:val="content"/>
        </w:behaviors>
        <w:guid w:val="{69497C28-9630-4EC7-81B5-B6C4A786F13D}"/>
      </w:docPartPr>
      <w:docPartBody>
        <w:p w:rsidR="009B671C" w:rsidRDefault="005B23DC" w:rsidP="005B23DC">
          <w:r w:rsidRPr="00764859">
            <w:rPr>
              <w:rStyle w:val="PlaceholderText"/>
            </w:rPr>
            <w:t>.</w:t>
          </w:r>
        </w:p>
      </w:docPartBody>
    </w:docPart>
    <w:docPart>
      <w:docPartPr>
        <w:name w:val="6B63B257244B4251953FC1110589B8CA"/>
        <w:category>
          <w:name w:val="General"/>
          <w:gallery w:val="placeholder"/>
        </w:category>
        <w:types>
          <w:type w:val="bbPlcHdr"/>
        </w:types>
        <w:behaviors>
          <w:behavior w:val="content"/>
        </w:behaviors>
        <w:guid w:val="{FAA0367C-33EF-4BE1-A263-F6A6B06C0867}"/>
      </w:docPartPr>
      <w:docPartBody>
        <w:p w:rsidR="009B671C" w:rsidRDefault="005B23DC" w:rsidP="005B23DC">
          <w:r w:rsidRPr="00764859">
            <w:rPr>
              <w:rStyle w:val="PlaceholderText"/>
            </w:rPr>
            <w:t>.</w:t>
          </w:r>
        </w:p>
      </w:docPartBody>
    </w:docPart>
    <w:docPart>
      <w:docPartPr>
        <w:name w:val="781C54DBBD2840A88156E84755FC2A10"/>
        <w:category>
          <w:name w:val="General"/>
          <w:gallery w:val="placeholder"/>
        </w:category>
        <w:types>
          <w:type w:val="bbPlcHdr"/>
        </w:types>
        <w:behaviors>
          <w:behavior w:val="content"/>
        </w:behaviors>
        <w:guid w:val="{628D7634-AEAB-41FD-ABA5-66A4B0EAF1BB}"/>
      </w:docPartPr>
      <w:docPartBody>
        <w:p w:rsidR="009B671C" w:rsidRDefault="005B23DC" w:rsidP="005B23DC">
          <w:r w:rsidRPr="00764859">
            <w:rPr>
              <w:rStyle w:val="PlaceholderText"/>
            </w:rPr>
            <w:t>.</w:t>
          </w:r>
        </w:p>
      </w:docPartBody>
    </w:docPart>
    <w:docPart>
      <w:docPartPr>
        <w:name w:val="7CCCC5D8C5434622B5F800E2067F6329"/>
        <w:category>
          <w:name w:val="General"/>
          <w:gallery w:val="placeholder"/>
        </w:category>
        <w:types>
          <w:type w:val="bbPlcHdr"/>
        </w:types>
        <w:behaviors>
          <w:behavior w:val="content"/>
        </w:behaviors>
        <w:guid w:val="{58398BC2-DEC4-4D23-857A-178A3CD20F90}"/>
      </w:docPartPr>
      <w:docPartBody>
        <w:p w:rsidR="009B671C" w:rsidRDefault="005B23DC" w:rsidP="005B23DC">
          <w:r w:rsidRPr="00E20ACD">
            <w:rPr>
              <w:rStyle w:val="PlaceholderText"/>
              <w:color w:val="FFFFFF" w:themeColor="background1"/>
            </w:rPr>
            <w:t>.</w:t>
          </w:r>
        </w:p>
      </w:docPartBody>
    </w:docPart>
    <w:docPart>
      <w:docPartPr>
        <w:name w:val="7F5A83D64C2144B2B45311A54A9561A6"/>
        <w:category>
          <w:name w:val="General"/>
          <w:gallery w:val="placeholder"/>
        </w:category>
        <w:types>
          <w:type w:val="bbPlcHdr"/>
        </w:types>
        <w:behaviors>
          <w:behavior w:val="content"/>
        </w:behaviors>
        <w:guid w:val="{976DD8D3-DEB4-4BC2-92F2-A578D6529FA9}"/>
      </w:docPartPr>
      <w:docPartBody>
        <w:p w:rsidR="009B671C" w:rsidRDefault="005B23DC" w:rsidP="005B23DC">
          <w:r w:rsidRPr="00F55FCD">
            <w:rPr>
              <w:b/>
              <w:bC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yriadPro-Light">
    <w:altName w:val="MS Gothic"/>
    <w:panose1 w:val="00000000000000000000"/>
    <w:charset w:val="CC"/>
    <w:family w:val="swiss"/>
    <w:notTrueType/>
    <w:pitch w:val="default"/>
    <w:sig w:usb0="00000000" w:usb1="08070000" w:usb2="00000010" w:usb3="00000000" w:csb0="00020004" w:csb1="00000000"/>
  </w:font>
  <w:font w:name="Segoe UI Symbol">
    <w:panose1 w:val="020B0502040204020203"/>
    <w:charset w:val="00"/>
    <w:family w:val="swiss"/>
    <w:pitch w:val="variable"/>
    <w:sig w:usb0="800001E3" w:usb1="1200FFEF" w:usb2="00040000" w:usb3="00000000" w:csb0="00000001" w:csb1="00000000"/>
  </w:font>
  <w:font w:name="Sylfaen">
    <w:panose1 w:val="010A0502050306030303"/>
    <w:charset w:val="00"/>
    <w:family w:val="roman"/>
    <w:pitch w:val="variable"/>
    <w:sig w:usb0="04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E80"/>
    <w:rsid w:val="000013E8"/>
    <w:rsid w:val="00030FBC"/>
    <w:rsid w:val="0008051C"/>
    <w:rsid w:val="000851E7"/>
    <w:rsid w:val="00087984"/>
    <w:rsid w:val="000970BD"/>
    <w:rsid w:val="000B37A0"/>
    <w:rsid w:val="000B38A9"/>
    <w:rsid w:val="000C0E4D"/>
    <w:rsid w:val="000D3418"/>
    <w:rsid w:val="000D5C62"/>
    <w:rsid w:val="000E0691"/>
    <w:rsid w:val="000E0DBC"/>
    <w:rsid w:val="000E289F"/>
    <w:rsid w:val="000F539C"/>
    <w:rsid w:val="00105A34"/>
    <w:rsid w:val="00114EC4"/>
    <w:rsid w:val="00141E51"/>
    <w:rsid w:val="00193748"/>
    <w:rsid w:val="00195A97"/>
    <w:rsid w:val="001967F6"/>
    <w:rsid w:val="001A3B05"/>
    <w:rsid w:val="001C0124"/>
    <w:rsid w:val="001C37AC"/>
    <w:rsid w:val="001D1271"/>
    <w:rsid w:val="001D1D2C"/>
    <w:rsid w:val="001D51A8"/>
    <w:rsid w:val="001E4953"/>
    <w:rsid w:val="002066E3"/>
    <w:rsid w:val="002072C5"/>
    <w:rsid w:val="002103F0"/>
    <w:rsid w:val="00211089"/>
    <w:rsid w:val="002162A5"/>
    <w:rsid w:val="002209D2"/>
    <w:rsid w:val="002540FA"/>
    <w:rsid w:val="00255836"/>
    <w:rsid w:val="0026045A"/>
    <w:rsid w:val="002677CE"/>
    <w:rsid w:val="0027654D"/>
    <w:rsid w:val="0028071A"/>
    <w:rsid w:val="00285D73"/>
    <w:rsid w:val="00287EBB"/>
    <w:rsid w:val="002A1FDA"/>
    <w:rsid w:val="002C178E"/>
    <w:rsid w:val="002D06DA"/>
    <w:rsid w:val="002D3DF6"/>
    <w:rsid w:val="002E2D22"/>
    <w:rsid w:val="002E38DD"/>
    <w:rsid w:val="002E4850"/>
    <w:rsid w:val="002F1036"/>
    <w:rsid w:val="002F46A4"/>
    <w:rsid w:val="00312B3E"/>
    <w:rsid w:val="00320887"/>
    <w:rsid w:val="00336695"/>
    <w:rsid w:val="003426AA"/>
    <w:rsid w:val="00353BBA"/>
    <w:rsid w:val="0035574F"/>
    <w:rsid w:val="003701EA"/>
    <w:rsid w:val="00376378"/>
    <w:rsid w:val="00376A88"/>
    <w:rsid w:val="0038075B"/>
    <w:rsid w:val="00380AC8"/>
    <w:rsid w:val="003860D4"/>
    <w:rsid w:val="00386F3F"/>
    <w:rsid w:val="00387046"/>
    <w:rsid w:val="0039616F"/>
    <w:rsid w:val="003A120E"/>
    <w:rsid w:val="003A4436"/>
    <w:rsid w:val="003A5865"/>
    <w:rsid w:val="003C2850"/>
    <w:rsid w:val="003D66CF"/>
    <w:rsid w:val="003E75D8"/>
    <w:rsid w:val="003F17F5"/>
    <w:rsid w:val="003F32EB"/>
    <w:rsid w:val="00413195"/>
    <w:rsid w:val="004167E7"/>
    <w:rsid w:val="00416977"/>
    <w:rsid w:val="00417CD9"/>
    <w:rsid w:val="00422320"/>
    <w:rsid w:val="00424CCE"/>
    <w:rsid w:val="004311E2"/>
    <w:rsid w:val="00446539"/>
    <w:rsid w:val="0045493F"/>
    <w:rsid w:val="0047099C"/>
    <w:rsid w:val="00481963"/>
    <w:rsid w:val="0048278A"/>
    <w:rsid w:val="004832A9"/>
    <w:rsid w:val="00486775"/>
    <w:rsid w:val="00494328"/>
    <w:rsid w:val="004A1509"/>
    <w:rsid w:val="004A47F4"/>
    <w:rsid w:val="004A5840"/>
    <w:rsid w:val="004A6342"/>
    <w:rsid w:val="004B08E9"/>
    <w:rsid w:val="004C02E9"/>
    <w:rsid w:val="004D3913"/>
    <w:rsid w:val="004D4C22"/>
    <w:rsid w:val="004D6E42"/>
    <w:rsid w:val="004E00F6"/>
    <w:rsid w:val="004F1A8E"/>
    <w:rsid w:val="00507B0C"/>
    <w:rsid w:val="00516C6B"/>
    <w:rsid w:val="00517D46"/>
    <w:rsid w:val="00524B78"/>
    <w:rsid w:val="00525BF9"/>
    <w:rsid w:val="00527CE8"/>
    <w:rsid w:val="005309D1"/>
    <w:rsid w:val="00535344"/>
    <w:rsid w:val="00553535"/>
    <w:rsid w:val="0055768D"/>
    <w:rsid w:val="00560A5B"/>
    <w:rsid w:val="00583D80"/>
    <w:rsid w:val="00587FB7"/>
    <w:rsid w:val="0059240B"/>
    <w:rsid w:val="005A2430"/>
    <w:rsid w:val="005B203D"/>
    <w:rsid w:val="005B23DC"/>
    <w:rsid w:val="005B3AF6"/>
    <w:rsid w:val="005B7710"/>
    <w:rsid w:val="005C08F6"/>
    <w:rsid w:val="005C4BA5"/>
    <w:rsid w:val="005D3509"/>
    <w:rsid w:val="005D67F3"/>
    <w:rsid w:val="005E0DD1"/>
    <w:rsid w:val="005F1AB4"/>
    <w:rsid w:val="005F21A1"/>
    <w:rsid w:val="006004A7"/>
    <w:rsid w:val="006009FC"/>
    <w:rsid w:val="00602A19"/>
    <w:rsid w:val="006072AE"/>
    <w:rsid w:val="00616D77"/>
    <w:rsid w:val="00620796"/>
    <w:rsid w:val="006272E1"/>
    <w:rsid w:val="00642A66"/>
    <w:rsid w:val="00643968"/>
    <w:rsid w:val="0065418F"/>
    <w:rsid w:val="00654C8D"/>
    <w:rsid w:val="006640C2"/>
    <w:rsid w:val="006804B9"/>
    <w:rsid w:val="0068508C"/>
    <w:rsid w:val="00685349"/>
    <w:rsid w:val="00686903"/>
    <w:rsid w:val="006A1F16"/>
    <w:rsid w:val="006A7D15"/>
    <w:rsid w:val="006B6905"/>
    <w:rsid w:val="006C4D5E"/>
    <w:rsid w:val="006C5290"/>
    <w:rsid w:val="006C5E80"/>
    <w:rsid w:val="006D381C"/>
    <w:rsid w:val="006D4B6B"/>
    <w:rsid w:val="006D66B3"/>
    <w:rsid w:val="006E278A"/>
    <w:rsid w:val="006E3BC8"/>
    <w:rsid w:val="00703A91"/>
    <w:rsid w:val="0071125E"/>
    <w:rsid w:val="00715E5D"/>
    <w:rsid w:val="007206D0"/>
    <w:rsid w:val="0072306A"/>
    <w:rsid w:val="007238C9"/>
    <w:rsid w:val="0073386F"/>
    <w:rsid w:val="00742090"/>
    <w:rsid w:val="00751216"/>
    <w:rsid w:val="00755C53"/>
    <w:rsid w:val="00764FD3"/>
    <w:rsid w:val="00776CF5"/>
    <w:rsid w:val="00777138"/>
    <w:rsid w:val="00784CFC"/>
    <w:rsid w:val="0078522B"/>
    <w:rsid w:val="007910D6"/>
    <w:rsid w:val="00797A05"/>
    <w:rsid w:val="007A300E"/>
    <w:rsid w:val="007B1A3F"/>
    <w:rsid w:val="007B25F5"/>
    <w:rsid w:val="007C420C"/>
    <w:rsid w:val="007D34C8"/>
    <w:rsid w:val="007E085D"/>
    <w:rsid w:val="00811B00"/>
    <w:rsid w:val="00812D96"/>
    <w:rsid w:val="0081431E"/>
    <w:rsid w:val="00821CC4"/>
    <w:rsid w:val="00827F4A"/>
    <w:rsid w:val="00835270"/>
    <w:rsid w:val="00850D47"/>
    <w:rsid w:val="00863F49"/>
    <w:rsid w:val="008675A9"/>
    <w:rsid w:val="00867F54"/>
    <w:rsid w:val="00872DFF"/>
    <w:rsid w:val="00881A27"/>
    <w:rsid w:val="00882207"/>
    <w:rsid w:val="00894DD2"/>
    <w:rsid w:val="00896D3F"/>
    <w:rsid w:val="008A0E56"/>
    <w:rsid w:val="008A49FB"/>
    <w:rsid w:val="008A5D47"/>
    <w:rsid w:val="008B1ABD"/>
    <w:rsid w:val="008B47E2"/>
    <w:rsid w:val="008C24C2"/>
    <w:rsid w:val="008C3F09"/>
    <w:rsid w:val="008C6570"/>
    <w:rsid w:val="008F680D"/>
    <w:rsid w:val="008F6DBA"/>
    <w:rsid w:val="00900078"/>
    <w:rsid w:val="00910AC9"/>
    <w:rsid w:val="009278B5"/>
    <w:rsid w:val="00934F48"/>
    <w:rsid w:val="00956174"/>
    <w:rsid w:val="00971AAD"/>
    <w:rsid w:val="0097288F"/>
    <w:rsid w:val="009736F5"/>
    <w:rsid w:val="00990903"/>
    <w:rsid w:val="00991BD7"/>
    <w:rsid w:val="009B671C"/>
    <w:rsid w:val="009C12E2"/>
    <w:rsid w:val="009C57E5"/>
    <w:rsid w:val="009D0FEC"/>
    <w:rsid w:val="009D19F4"/>
    <w:rsid w:val="009E015A"/>
    <w:rsid w:val="009E76DF"/>
    <w:rsid w:val="009F0E32"/>
    <w:rsid w:val="009F5488"/>
    <w:rsid w:val="009F5717"/>
    <w:rsid w:val="009F683A"/>
    <w:rsid w:val="00A018A6"/>
    <w:rsid w:val="00A243CE"/>
    <w:rsid w:val="00A33626"/>
    <w:rsid w:val="00A338C8"/>
    <w:rsid w:val="00A46638"/>
    <w:rsid w:val="00A51D75"/>
    <w:rsid w:val="00A57554"/>
    <w:rsid w:val="00A64552"/>
    <w:rsid w:val="00A76D98"/>
    <w:rsid w:val="00A85C91"/>
    <w:rsid w:val="00A9111C"/>
    <w:rsid w:val="00AA12FA"/>
    <w:rsid w:val="00AC68BC"/>
    <w:rsid w:val="00AD43EB"/>
    <w:rsid w:val="00AD6D6F"/>
    <w:rsid w:val="00AE2D42"/>
    <w:rsid w:val="00AE3161"/>
    <w:rsid w:val="00AF7E4B"/>
    <w:rsid w:val="00B15A15"/>
    <w:rsid w:val="00B218D0"/>
    <w:rsid w:val="00B416FB"/>
    <w:rsid w:val="00B47510"/>
    <w:rsid w:val="00B54F4C"/>
    <w:rsid w:val="00B70450"/>
    <w:rsid w:val="00B82C1F"/>
    <w:rsid w:val="00B87231"/>
    <w:rsid w:val="00BA15E3"/>
    <w:rsid w:val="00BE0D46"/>
    <w:rsid w:val="00BE1EB1"/>
    <w:rsid w:val="00BE5488"/>
    <w:rsid w:val="00BE738F"/>
    <w:rsid w:val="00BF4186"/>
    <w:rsid w:val="00C11153"/>
    <w:rsid w:val="00C168DA"/>
    <w:rsid w:val="00C17C35"/>
    <w:rsid w:val="00C46120"/>
    <w:rsid w:val="00C532EC"/>
    <w:rsid w:val="00C740AC"/>
    <w:rsid w:val="00C80598"/>
    <w:rsid w:val="00C90A7B"/>
    <w:rsid w:val="00CA1609"/>
    <w:rsid w:val="00CA1884"/>
    <w:rsid w:val="00CB1ADB"/>
    <w:rsid w:val="00CB26F7"/>
    <w:rsid w:val="00CB402B"/>
    <w:rsid w:val="00CC43CD"/>
    <w:rsid w:val="00CD382D"/>
    <w:rsid w:val="00CD5FF1"/>
    <w:rsid w:val="00CE2633"/>
    <w:rsid w:val="00CF6ED0"/>
    <w:rsid w:val="00D0351F"/>
    <w:rsid w:val="00D16BAA"/>
    <w:rsid w:val="00D16E04"/>
    <w:rsid w:val="00D217A0"/>
    <w:rsid w:val="00D278D9"/>
    <w:rsid w:val="00D31D6E"/>
    <w:rsid w:val="00D32363"/>
    <w:rsid w:val="00D35E91"/>
    <w:rsid w:val="00D5566D"/>
    <w:rsid w:val="00D56DB4"/>
    <w:rsid w:val="00D6159B"/>
    <w:rsid w:val="00D656E2"/>
    <w:rsid w:val="00D71E3B"/>
    <w:rsid w:val="00D87661"/>
    <w:rsid w:val="00D92155"/>
    <w:rsid w:val="00D9230A"/>
    <w:rsid w:val="00D95098"/>
    <w:rsid w:val="00D95A72"/>
    <w:rsid w:val="00DB1C4A"/>
    <w:rsid w:val="00DB5506"/>
    <w:rsid w:val="00DC589E"/>
    <w:rsid w:val="00DD0C1B"/>
    <w:rsid w:val="00DD717B"/>
    <w:rsid w:val="00DE4CC1"/>
    <w:rsid w:val="00DF207E"/>
    <w:rsid w:val="00DF7C83"/>
    <w:rsid w:val="00E00E2D"/>
    <w:rsid w:val="00E24166"/>
    <w:rsid w:val="00E24746"/>
    <w:rsid w:val="00E27D18"/>
    <w:rsid w:val="00E40A5F"/>
    <w:rsid w:val="00E41BF0"/>
    <w:rsid w:val="00E44F34"/>
    <w:rsid w:val="00E45618"/>
    <w:rsid w:val="00E522DE"/>
    <w:rsid w:val="00E5258D"/>
    <w:rsid w:val="00E551E7"/>
    <w:rsid w:val="00E55B50"/>
    <w:rsid w:val="00E60AF7"/>
    <w:rsid w:val="00E631A0"/>
    <w:rsid w:val="00E85398"/>
    <w:rsid w:val="00E87361"/>
    <w:rsid w:val="00E911C9"/>
    <w:rsid w:val="00E91581"/>
    <w:rsid w:val="00EB1FFA"/>
    <w:rsid w:val="00EB4C52"/>
    <w:rsid w:val="00EB7732"/>
    <w:rsid w:val="00EC1705"/>
    <w:rsid w:val="00EC6C64"/>
    <w:rsid w:val="00ED0BB4"/>
    <w:rsid w:val="00EE7D88"/>
    <w:rsid w:val="00EF1820"/>
    <w:rsid w:val="00EF3D98"/>
    <w:rsid w:val="00EF4751"/>
    <w:rsid w:val="00F12E0E"/>
    <w:rsid w:val="00F14045"/>
    <w:rsid w:val="00F21CDA"/>
    <w:rsid w:val="00F223F1"/>
    <w:rsid w:val="00F241AE"/>
    <w:rsid w:val="00F30D96"/>
    <w:rsid w:val="00F31CA9"/>
    <w:rsid w:val="00F336CF"/>
    <w:rsid w:val="00F40B39"/>
    <w:rsid w:val="00F64218"/>
    <w:rsid w:val="00F65352"/>
    <w:rsid w:val="00F710E6"/>
    <w:rsid w:val="00F73796"/>
    <w:rsid w:val="00F848D5"/>
    <w:rsid w:val="00F96A37"/>
    <w:rsid w:val="00F97D55"/>
    <w:rsid w:val="00FA729E"/>
    <w:rsid w:val="00FB498F"/>
    <w:rsid w:val="00FC1B89"/>
    <w:rsid w:val="00FC4246"/>
    <w:rsid w:val="00FC723A"/>
    <w:rsid w:val="00FE1CF4"/>
    <w:rsid w:val="00FE4E42"/>
    <w:rsid w:val="00FF240B"/>
    <w:rsid w:val="00FF33B5"/>
    <w:rsid w:val="00FF6CE1"/>
    <w:rsid w:val="00FF7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23DC"/>
    <w:rPr>
      <w:color w:val="808080"/>
    </w:rPr>
  </w:style>
  <w:style w:type="paragraph" w:customStyle="1" w:styleId="13D594FD1A31415699710F65CA904793">
    <w:name w:val="13D594FD1A31415699710F65CA904793"/>
    <w:rsid w:val="002103F0"/>
  </w:style>
  <w:style w:type="paragraph" w:customStyle="1" w:styleId="752A7D0F89BA41C58213D1D4136C9FBC">
    <w:name w:val="752A7D0F89BA41C58213D1D4136C9FBC"/>
    <w:rsid w:val="002103F0"/>
  </w:style>
  <w:style w:type="paragraph" w:customStyle="1" w:styleId="E59135870FB14B26AC9F09477B641399">
    <w:name w:val="E59135870FB14B26AC9F09477B641399"/>
    <w:rsid w:val="002103F0"/>
  </w:style>
  <w:style w:type="paragraph" w:customStyle="1" w:styleId="12AC91C82EEE49BCB1C2B5BB063FD19F">
    <w:name w:val="12AC91C82EEE49BCB1C2B5BB063FD19F"/>
    <w:rsid w:val="002103F0"/>
  </w:style>
  <w:style w:type="paragraph" w:customStyle="1" w:styleId="8B22DAE8F06843D49C36B305B83B079A">
    <w:name w:val="8B22DAE8F06843D49C36B305B83B079A"/>
    <w:rsid w:val="002103F0"/>
  </w:style>
  <w:style w:type="paragraph" w:customStyle="1" w:styleId="A877B0F89CD24250A6DFF1D6012EFF4F">
    <w:name w:val="A877B0F89CD24250A6DFF1D6012EFF4F"/>
    <w:rsid w:val="002103F0"/>
  </w:style>
  <w:style w:type="paragraph" w:customStyle="1" w:styleId="FB16AFAD44134EE9A6542D4FA206E679">
    <w:name w:val="FB16AFAD44134EE9A6542D4FA206E679"/>
    <w:rsid w:val="00991B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ortOrder xmlns="b99a068c-3844-4a16-badd-77233eea0529" xsi:nil="true"/>
    <DocStatus xmlns="b99a068c-3844-4a16-badd-77233eea0529">21</DocStatus>
    <RefreshDate xmlns="b99a068c-3844-4a16-badd-77233eea0529">2022-06-02T17:25:27+00:00</RefreshDate>
    <DocAuthors xmlns="b99a068c-3844-4a16-badd-77233eea0529" xsi:nil="true"/>
    <SequenceNum xmlns="b99a068c-3844-4a16-badd-77233eea0529" xsi:nil="true"/>
    <Authors xmlns="b99a068c-3844-4a16-badd-77233eea0529">
      <UserInfo>
        <DisplayName/>
        <AccountId xsi:nil="true"/>
        <AccountType/>
      </UserInfo>
    </Authors>
    <Abstract xmlns="b99a068c-3844-4a16-badd-77233eea0529" xsi:nil="true"/>
    <Cordis_x0020_ID xmlns="b99a068c-3844-4a16-badd-77233eea0529">ITM00426</Cordis_x0020_ID>
    <PolicyExceptions xmlns="b99a068c-3844-4a16-badd-77233eea0529" xsi:nil="true"/>
    <Stage xmlns="b99a068c-3844-4a16-badd-77233eea0529">APR</Stage>
    <IsHidden xmlns="b99a068c-3844-4a16-badd-77233eea0529">false</IsHidden>
    <IsTemplate xmlns="b99a068c-3844-4a16-badd-77233eea0529">true</IsTemplate>
    <WBDocType xmlns="b99a068c-3844-4a16-badd-77233eea0529" xsi:nil="true"/>
    <DisclosedVersion xmlns="b99a068c-3844-4a16-badd-77233eea0529">APR:68.0,NEG:73.0,NEG:77.0,NEG:79.0</DisclosedVersion>
    <SecurityClassification xmlns="b99a068c-3844-4a16-badd-77233eea0529">Official use only</SecurityClassification>
    <IsMandatory xmlns="b99a068c-3844-4a16-badd-77233eea0529">true</IsMandatory>
    <DeliverableID xmlns="b99a068c-3844-4a16-badd-77233eea0529" xsi:nil="true"/>
    <AttachmentType xmlns="b99a068c-3844-4a16-badd-77233eea0529" xsi:nil="true"/>
    <ProjectID xmlns="b99a068c-3844-4a16-badd-77233eea0529">P177563</ProjectID>
    <LockStatus xmlns="b99a068c-3844-4a16-badd-77233eea0529" xsi:nil="true"/>
    <DocumentAction xmlns="b99a068c-3844-4a16-badd-77233eea0529" xsi:nil="true"/>
    <TemplateDocVersion xmlns="b99a068c-3844-4a16-badd-77233eea0529" xsi:nil="true"/>
    <DependentDoc xmlns="b99a068c-3844-4a16-badd-77233eea0529" xsi:nil="true"/>
    <ApprovedVersion xmlns="b99a068c-3844-4a16-badd-77233eea0529">APR:67.0,NEG:72.0,NEG:76.0,NEG:78.0</ApprovedVersion>
    <Package xmlns="b99a068c-3844-4a16-badd-77233eea0529">true</Package>
    <DocumentType xmlns="b99a068c-3844-4a16-badd-77233eea0529">ITM00426</DocumentType>
    <Task_x0020_ID xmlns="b99a068c-3844-4a16-badd-77233eea0529">TT00150743,TT00150745,TT00150746,TT00150761,TT00150763,TT00150764,TT00150819,TT00150776,TT00150867</Task_x0020_ID>
    <SAPStage xmlns="b99a068c-3844-4a16-badd-77233eea0529">APR</SAPStage>
    <HasUserUploaded xmlns="b99a068c-3844-4a16-badd-77233eea0529">true</HasUserUploaded>
    <DocumentDate xmlns="b99a068c-3844-4a16-badd-77233eea052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4117c50-33ca-4e49-9a5c-4b51d291b3ff" ContentTypeId="0x01010054E0FEF4951F9D49A6F48A35419983C7" PreviousValue="false"/>
</file>

<file path=customXml/item5.xml><?xml version="1.0" encoding="utf-8"?>
<ct:contentTypeSchema xmlns:ct="http://schemas.microsoft.com/office/2006/metadata/contentType" xmlns:ma="http://schemas.microsoft.com/office/2006/metadata/properties/metaAttributes" ct:_="" ma:_="" ma:contentTypeName="WBOpsProjectDoc" ma:contentTypeID="0x01010054E0FEF4951F9D49A6F48A35419983C7007152DEEB3201F54982126EBA727F14A3" ma:contentTypeVersion="3" ma:contentTypeDescription="" ma:contentTypeScope="" ma:versionID="2bdebb2d5f9a55c20a47a433fa31a5a2">
  <xsd:schema xmlns:xsd="http://www.w3.org/2001/XMLSchema" xmlns:xs="http://www.w3.org/2001/XMLSchema" xmlns:p="http://schemas.microsoft.com/office/2006/metadata/properties" xmlns:ns2="b99a068c-3844-4a16-badd-77233eea0529" targetNamespace="http://schemas.microsoft.com/office/2006/metadata/properties" ma:root="true" ma:fieldsID="9e5c391b06ffd9c02d8abc9ac69e1a4e" ns2:_="">
    <xsd:import namespace="b99a068c-3844-4a16-badd-77233eea0529"/>
    <xsd:element name="properties">
      <xsd:complexType>
        <xsd:sequence>
          <xsd:element name="documentManagement">
            <xsd:complexType>
              <xsd:all>
                <xsd:element ref="ns2:ProjectID" minOccurs="0"/>
                <xsd:element ref="ns2:Stage" minOccurs="0"/>
                <xsd:element ref="ns2:Package" minOccurs="0"/>
                <xsd:element ref="ns2:DocumentType" minOccurs="0"/>
                <xsd:element ref="ns2:SortOrder" minOccurs="0"/>
                <xsd:element ref="ns2:AttachmentType" minOccurs="0"/>
                <xsd:element ref="ns2:Abstract" minOccurs="0"/>
                <xsd:element ref="ns2:SecurityClassification" minOccurs="0"/>
                <xsd:element ref="ns2:Cordis_x0020_ID" minOccurs="0"/>
                <xsd:element ref="ns2:Task_x0020_ID" minOccurs="0"/>
                <xsd:element ref="ns2:DependentDoc" minOccurs="0"/>
                <xsd:element ref="ns2:DeliverableID" minOccurs="0"/>
                <xsd:element ref="ns2:RefreshDate" minOccurs="0"/>
                <xsd:element ref="ns2:DocStatus" minOccurs="0"/>
                <xsd:element ref="ns2:ApprovedVersion" minOccurs="0"/>
                <xsd:element ref="ns2:DisclosedVersion" minOccurs="0"/>
                <xsd:element ref="ns2:HasUserUploaded" minOccurs="0"/>
                <xsd:element ref="ns2:IsMandatory" minOccurs="0"/>
                <xsd:element ref="ns2:IsTemplate" minOccurs="0"/>
                <xsd:element ref="ns2:SAPStage" minOccurs="0"/>
                <xsd:element ref="ns2:Authors" minOccurs="0"/>
                <xsd:element ref="ns2:DocAuthors" minOccurs="0"/>
                <xsd:element ref="ns2:DocumentDate" minOccurs="0"/>
                <xsd:element ref="ns2:PolicyExceptions" minOccurs="0"/>
                <xsd:element ref="ns2:WBDocType" minOccurs="0"/>
                <xsd:element ref="ns2:LockStatus" minOccurs="0"/>
                <xsd:element ref="ns2:DocumentAction" minOccurs="0"/>
                <xsd:element ref="ns2:IsHidden" minOccurs="0"/>
                <xsd:element ref="ns2:TemplateDocVersion" minOccurs="0"/>
                <xsd:element ref="ns2:SequenceN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a068c-3844-4a16-badd-77233eea0529" elementFormDefault="qualified">
    <xsd:import namespace="http://schemas.microsoft.com/office/2006/documentManagement/types"/>
    <xsd:import namespace="http://schemas.microsoft.com/office/infopath/2007/PartnerControls"/>
    <xsd:element name="ProjectID" ma:index="8" nillable="true" ma:displayName="ProjectID" ma:internalName="ProjectID">
      <xsd:simpleType>
        <xsd:restriction base="dms:Text">
          <xsd:maxLength value="255"/>
        </xsd:restriction>
      </xsd:simpleType>
    </xsd:element>
    <xsd:element name="Stage" ma:index="9" nillable="true" ma:displayName="Stage" ma:internalName="Stage">
      <xsd:simpleType>
        <xsd:restriction base="dms:Text">
          <xsd:maxLength value="255"/>
        </xsd:restriction>
      </xsd:simpleType>
    </xsd:element>
    <xsd:element name="Package" ma:index="10" nillable="true" ma:displayName="Package" ma:default="1" ma:internalName="Package">
      <xsd:simpleType>
        <xsd:restriction base="dms:Boolean"/>
      </xsd:simpleType>
    </xsd:element>
    <xsd:element name="DocumentType" ma:index="11" nillable="true" ma:displayName="DocumentType" ma:internalName="DocumentType">
      <xsd:simpleType>
        <xsd:restriction base="dms:Text">
          <xsd:maxLength value="255"/>
        </xsd:restriction>
      </xsd:simpleType>
    </xsd:element>
    <xsd:element name="SortOrder" ma:index="12" nillable="true" ma:displayName="SortOrder" ma:internalName="SortOrder">
      <xsd:simpleType>
        <xsd:restriction base="dms:Number"/>
      </xsd:simpleType>
    </xsd:element>
    <xsd:element name="AttachmentType" ma:index="13" nillable="true" ma:displayName="AttachmentType" ma:internalName="AttachmentType">
      <xsd:simpleType>
        <xsd:restriction base="dms:Text">
          <xsd:maxLength value="255"/>
        </xsd:restriction>
      </xsd:simpleType>
    </xsd:element>
    <xsd:element name="Abstract" ma:index="14" nillable="true" ma:displayName="Abstract" ma:internalName="Abstract">
      <xsd:simpleType>
        <xsd:restriction base="dms:Note"/>
      </xsd:simpleType>
    </xsd:element>
    <xsd:element name="SecurityClassification" ma:index="15" nillable="true" ma:displayName="SecurityClassification" ma:format="Dropdown" ma:internalName="SecurityClassification">
      <xsd:simpleType>
        <xsd:restriction base="dms:Choice">
          <xsd:enumeration value="Official use only"/>
          <xsd:enumeration value="Public"/>
        </xsd:restriction>
      </xsd:simpleType>
    </xsd:element>
    <xsd:element name="Cordis_x0020_ID" ma:index="16" nillable="true" ma:displayName="Cordis ID" ma:internalName="Cordis_x0020_ID">
      <xsd:simpleType>
        <xsd:restriction base="dms:Note"/>
      </xsd:simpleType>
    </xsd:element>
    <xsd:element name="Task_x0020_ID" ma:index="17" nillable="true" ma:displayName="Task ID" ma:internalName="Task_x0020_ID">
      <xsd:simpleType>
        <xsd:restriction base="dms:Note"/>
      </xsd:simpleType>
    </xsd:element>
    <xsd:element name="DependentDoc" ma:index="18" nillable="true" ma:displayName="DependentDoc" ma:internalName="DependentDoc">
      <xsd:simpleType>
        <xsd:restriction base="dms:Note"/>
      </xsd:simpleType>
    </xsd:element>
    <xsd:element name="DeliverableID" ma:index="19" nillable="true" ma:displayName="DeliverableID" ma:internalName="DeliverableID">
      <xsd:simpleType>
        <xsd:restriction base="dms:Note"/>
      </xsd:simpleType>
    </xsd:element>
    <xsd:element name="RefreshDate" ma:index="20" nillable="true" ma:displayName="RefreshDate" ma:format="DateTime" ma:internalName="RefreshDate">
      <xsd:simpleType>
        <xsd:restriction base="dms:DateTime"/>
      </xsd:simpleType>
    </xsd:element>
    <xsd:element name="DocStatus" ma:index="21" nillable="true" ma:displayName="DocStatus" ma:internalName="DocStatus">
      <xsd:simpleType>
        <xsd:restriction base="dms:Text">
          <xsd:maxLength value="255"/>
        </xsd:restriction>
      </xsd:simpleType>
    </xsd:element>
    <xsd:element name="ApprovedVersion" ma:index="22" nillable="true" ma:displayName="ApprovedVersion" ma:internalName="ApprovedVersion">
      <xsd:simpleType>
        <xsd:restriction base="dms:Text">
          <xsd:maxLength value="255"/>
        </xsd:restriction>
      </xsd:simpleType>
    </xsd:element>
    <xsd:element name="DisclosedVersion" ma:index="23" nillable="true" ma:displayName="DisclosedVersion" ma:internalName="DisclosedVersion">
      <xsd:simpleType>
        <xsd:restriction base="dms:Note"/>
      </xsd:simpleType>
    </xsd:element>
    <xsd:element name="HasUserUploaded" ma:index="24" nillable="true" ma:displayName="HasUserUploaded" ma:default="0" ma:internalName="HasUserUploaded">
      <xsd:simpleType>
        <xsd:restriction base="dms:Boolean"/>
      </xsd:simpleType>
    </xsd:element>
    <xsd:element name="IsMandatory" ma:index="25" nillable="true" ma:displayName="IsMandatory" ma:default="0" ma:internalName="IsMandatory">
      <xsd:simpleType>
        <xsd:restriction base="dms:Boolean"/>
      </xsd:simpleType>
    </xsd:element>
    <xsd:element name="IsTemplate" ma:index="26" nillable="true" ma:displayName="IsTemplate" ma:default="0" ma:internalName="IsTemplate">
      <xsd:simpleType>
        <xsd:restriction base="dms:Boolean"/>
      </xsd:simpleType>
    </xsd:element>
    <xsd:element name="SAPStage" ma:index="27" nillable="true" ma:displayName="SAPStage" ma:internalName="SAPStage">
      <xsd:simpleType>
        <xsd:restriction base="dms:Text">
          <xsd:maxLength value="255"/>
        </xsd:restriction>
      </xsd:simpleType>
    </xsd:element>
    <xsd:element name="Authors" ma:index="28" nillable="true" ma:displayName="Authors" ma:list="UserInfo"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Authors" ma:index="29" nillable="true" ma:displayName="DocAuthors" ma:internalName="DocAuthors">
      <xsd:simpleType>
        <xsd:restriction base="dms:Note">
          <xsd:maxLength value="255"/>
        </xsd:restriction>
      </xsd:simpleType>
    </xsd:element>
    <xsd:element name="DocumentDate" ma:index="30" nillable="true" ma:displayName="DocumentDate" ma:format="DateOnly" ma:internalName="DocumentDate">
      <xsd:simpleType>
        <xsd:restriction base="dms:DateTime"/>
      </xsd:simpleType>
    </xsd:element>
    <xsd:element name="PolicyExceptions" ma:index="31" nillable="true" ma:displayName="PolicyExceptions" ma:internalName="PolicyExceptions">
      <xsd:simpleType>
        <xsd:restriction base="dms:Note">
          <xsd:maxLength value="255"/>
        </xsd:restriction>
      </xsd:simpleType>
    </xsd:element>
    <xsd:element name="WBDocType" ma:index="32" nillable="true" ma:displayName="WBDocType" ma:internalName="WBDocType">
      <xsd:simpleType>
        <xsd:restriction base="dms:Text">
          <xsd:maxLength value="255"/>
        </xsd:restriction>
      </xsd:simpleType>
    </xsd:element>
    <xsd:element name="LockStatus" ma:index="33" nillable="true" ma:displayName="LockStatus" ma:internalName="LockStatus">
      <xsd:simpleType>
        <xsd:restriction base="dms:Text">
          <xsd:maxLength value="255"/>
        </xsd:restriction>
      </xsd:simpleType>
    </xsd:element>
    <xsd:element name="DocumentAction" ma:index="34" nillable="true" ma:displayName="DocumentAction" ma:internalName="DocumentAction">
      <xsd:simpleType>
        <xsd:restriction base="dms:Text">
          <xsd:maxLength value="255"/>
        </xsd:restriction>
      </xsd:simpleType>
    </xsd:element>
    <xsd:element name="IsHidden" ma:index="35" nillable="true" ma:displayName="IsHidden" ma:default="0" ma:internalName="IsHidden">
      <xsd:simpleType>
        <xsd:restriction base="dms:Boolean"/>
      </xsd:simpleType>
    </xsd:element>
    <xsd:element name="TemplateDocVersion" ma:index="36" nillable="true" ma:displayName="TemplateDocVersion" ma:internalName="TemplateDocVersion">
      <xsd:simpleType>
        <xsd:restriction base="dms:Text">
          <xsd:maxLength value="255"/>
        </xsd:restriction>
      </xsd:simpleType>
    </xsd:element>
    <xsd:element name="SequenceNum" ma:index="37" nillable="true" ma:displayName="SequenceNum" ma:internalName="SequenceNu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8E7961-4191-405B-9B5D-9D25EB23124C}">
  <ds:schemaRefs>
    <ds:schemaRef ds:uri="http://schemas.microsoft.com/office/2006/metadata/properties"/>
    <ds:schemaRef ds:uri="http://schemas.microsoft.com/office/infopath/2007/PartnerControls"/>
    <ds:schemaRef ds:uri="b99a068c-3844-4a16-badd-77233eea0529"/>
  </ds:schemaRefs>
</ds:datastoreItem>
</file>

<file path=customXml/itemProps2.xml><?xml version="1.0" encoding="utf-8"?>
<ds:datastoreItem xmlns:ds="http://schemas.openxmlformats.org/officeDocument/2006/customXml" ds:itemID="{D2881D44-D07F-43BB-A4BF-89D1F84080DA}">
  <ds:schemaRefs>
    <ds:schemaRef ds:uri="http://schemas.openxmlformats.org/officeDocument/2006/bibliography"/>
  </ds:schemaRefs>
</ds:datastoreItem>
</file>

<file path=customXml/itemProps3.xml><?xml version="1.0" encoding="utf-8"?>
<ds:datastoreItem xmlns:ds="http://schemas.openxmlformats.org/officeDocument/2006/customXml" ds:itemID="{7DDD8F8F-CDE6-4B57-A0F8-1785C0E1A2C8}">
  <ds:schemaRefs>
    <ds:schemaRef ds:uri="http://schemas.microsoft.com/sharepoint/v3/contenttype/forms"/>
  </ds:schemaRefs>
</ds:datastoreItem>
</file>

<file path=customXml/itemProps4.xml><?xml version="1.0" encoding="utf-8"?>
<ds:datastoreItem xmlns:ds="http://schemas.openxmlformats.org/officeDocument/2006/customXml" ds:itemID="{B50A7E6E-7DC5-4BF3-A02C-E7C0047D462C}">
  <ds:schemaRefs>
    <ds:schemaRef ds:uri="Microsoft.SharePoint.Taxonomy.ContentTypeSync"/>
  </ds:schemaRefs>
</ds:datastoreItem>
</file>

<file path=customXml/itemProps5.xml><?xml version="1.0" encoding="utf-8"?>
<ds:datastoreItem xmlns:ds="http://schemas.openxmlformats.org/officeDocument/2006/customXml" ds:itemID="{98E2DAE4-F37C-4CA3-9963-713FEEEA8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a068c-3844-4a16-badd-77233eea0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1506</TotalTime>
  <Pages>121</Pages>
  <Words>41422</Words>
  <Characters>236108</Characters>
  <Application>Microsoft Office Word</Application>
  <DocSecurity>0</DocSecurity>
  <Lines>1967</Lines>
  <Paragraphs>553</Paragraphs>
  <ScaleCrop>false</ScaleCrop>
  <HeadingPairs>
    <vt:vector size="2" baseType="variant">
      <vt:variant>
        <vt:lpstr>Title</vt:lpstr>
      </vt:variant>
      <vt:variant>
        <vt:i4>1</vt:i4>
      </vt:variant>
    </vt:vector>
  </HeadingPairs>
  <TitlesOfParts>
    <vt:vector size="1" baseType="lpstr">
      <vt:lpstr>Program Paper Document</vt:lpstr>
    </vt:vector>
  </TitlesOfParts>
  <Company/>
  <LinksUpToDate>false</LinksUpToDate>
  <CharactersWithSpaces>276977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Paper Document</dc:title>
  <dc:creator>Arthur Kochnakyan</dc:creator>
  <cp:lastModifiedBy>Farida Mamadaslamova</cp:lastModifiedBy>
  <cp:revision>113</cp:revision>
  <dcterms:created xsi:type="dcterms:W3CDTF">2022-06-01T01:24:00Z</dcterms:created>
  <dcterms:modified xsi:type="dcterms:W3CDTF">2023-09-01T11:49:00Z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0x01010054E0FEF4951F9D49A6F48A35419983C7007152DEEB3201F54982126EBA727F14A3</vt:lpwstr>
  </property>
  <property fmtid="{D5CDD505-2E9C-101B-9397-08002B2CF9AE}" pid="3" name="RatedBy">
    <vt:lpwstr/>
  </property>
  <property fmtid="{D5CDD505-2E9C-101B-9397-08002B2CF9AE}" pid="4" name="LikedBy">
    <vt:lpwstr/>
  </property>
</Properties>
</file>